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noProof/>
        </w:rPr>
        <w:drawing>
          <wp:inline xmlns:wp="http://schemas.openxmlformats.org/drawingml/2006/wordprocessingDrawing" distT="0" distB="0" distL="0" distR="0">
            <wp:extent cx="2667000" cy="790575"/>
            <wp:docPr id="100" name="MCR Pathway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MCR Pathways logo"/>
                    <pic:cNvPicPr/>
                  </pic:nvPicPr>
                  <pic:blipFill>
                    <a:blip xmlns:r="http://schemas.openxmlformats.org/officeDocument/2006/relationships" r:embed="rIdMCRLogo"/>
                    <a:stretch>
                      <a:fillRect/>
                    </a:stretch>
                  </pic:blipFill>
                  <pic:spPr>
                    <a:xfrm>
                      <a:off x="0" y="0"/>
                      <a:ext cx="2667000" cy="790575"/>
                    </a:xfrm>
                    <a:prstGeom prst="rect">
                      <a:avLst/>
                    </a:prstGeom>
                  </pic:spPr>
                </pic:pic>
              </a:graphicData>
            </a:graphic>
          </wp:inline>
        </w:drawing>
      </w:r>
    </w:p>
    <w:p>
      <w:pPr>
        <w:spacing w:after="200"/>
        <w:jc w:val="center"/>
      </w:pPr>
      <w:r>
        <w:rPr>
          <w:rFonts w:ascii="Arial" w:cs="Arial" w:eastAsia="Arial" w:hAnsi="Arial"/>
          <w:b/>
          <w:bCs/>
          <w:i w:val="false"/>
          <w:iCs w:val="false"/>
          <w:sz w:val="32"/>
          <w:szCs w:val="32"/>
        </w:rPr>
        <w:t xml:space="preserve">DATA SHARING AGREEMENT</w:t>
      </w:r>
    </w:p>
    <w:p>
      <w:pPr>
        <w:spacing w:after="200"/>
        <w:jc w:val="center"/>
      </w:pPr>
      <w:r>
        <w:rPr>
          <w:rFonts w:ascii="Arial" w:cs="Arial" w:eastAsia="Arial" w:hAnsi="Arial"/>
          <w:b w:val="false"/>
          <w:bCs w:val="false"/>
          <w:i/>
          <w:iCs/>
          <w:sz w:val="24"/>
          <w:szCs w:val="24"/>
        </w:rPr>
        <w:t xml:space="preserve">between</w:t>
      </w:r>
    </w:p>
    <w:p>
      <w:pPr>
        <w:spacing w:after="120"/>
      </w:pPr>
      <w:r>
        <w:rPr>
          <w:rFonts w:ascii="Arial" w:cs="Arial" w:eastAsia="Arial" w:hAnsi="Arial"/>
          <w:b w:val="false"/>
          <w:bCs w:val="false"/>
          <w:i w:val="false"/>
          <w:iCs w:val="false"/>
          <w:sz w:val="22"/>
          <w:szCs w:val="22"/>
        </w:rPr>
        <w:t/>
      </w:r>
    </w:p>
    <w:p>
      <w:pPr>
        <w:spacing w:after="120"/>
      </w:pPr>
      <w:r>
        <w:rPr>
          <w:rFonts w:ascii="Arial" w:cs="Arial" w:eastAsia="Arial" w:hAnsi="Arial"/>
          <w:b w:val="false"/>
          <w:bCs w:val="false"/>
          <w:i w:val="false"/>
          <w:iCs w:val="false"/>
          <w:sz w:val="22"/>
          <w:szCs w:val="22"/>
        </w:rPr>
        <w:t xml:space="preserve">Example Academy Trust, an academy/free school operated by an academy trust (a company limited by guarantee and an exempt charity) under a funding agreement made under the Academies Act 2010 and located at 1 Example Street, Example Town, EX1 1EX (the "Counterparty");</w:t>
      </w:r>
    </w:p>
    <w:p>
      <w:pPr>
        <w:spacing w:after="120"/>
        <w:jc w:val="center"/>
      </w:pPr>
      <w:r>
        <w:rPr>
          <w:rFonts w:ascii="Arial" w:cs="Arial" w:eastAsia="Arial" w:hAnsi="Arial"/>
          <w:b w:val="false"/>
          <w:bCs w:val="false"/>
          <w:i w:val="false"/>
          <w:iCs w:val="false"/>
          <w:sz w:val="22"/>
          <w:szCs w:val="22"/>
        </w:rPr>
        <w:t xml:space="preserve">and</w:t>
      </w:r>
    </w:p>
    <w:p>
      <w:pPr>
        <w:spacing w:after="120"/>
      </w:pPr>
      <w:r>
        <w:rPr>
          <w:rFonts w:ascii="Arial" w:cs="Arial" w:eastAsia="Arial" w:hAnsi="Arial"/>
          <w:b w:val="false"/>
          <w:bCs w:val="false"/>
          <w:i w:val="false"/>
          <w:iCs w:val="false"/>
          <w:sz w:val="22"/>
          <w:szCs w:val="22"/>
        </w:rPr>
        <w:t xml:space="preserve">MCR PATHWAYS, a Scottish Charitable Incorporated Organisation (SCIO) regulated by the Scottish Charity Regulator (OSCR), Scottish charity number SC045816 and having its principal office at Anderston Hub, Mitchell Library, Berkeley Street, Glasgow, G3 7DN ("MCR"),</w:t>
      </w:r>
    </w:p>
    <w:p>
      <w:pPr>
        <w:spacing w:after="200"/>
        <w:jc w:val="center"/>
      </w:pPr>
      <w:r>
        <w:rPr>
          <w:rFonts w:ascii="Arial" w:cs="Arial" w:eastAsia="Arial" w:hAnsi="Arial"/>
          <w:b w:val="false"/>
          <w:bCs w:val="false"/>
          <w:i w:val="false"/>
          <w:iCs w:val="false"/>
          <w:sz w:val="22"/>
          <w:szCs w:val="22"/>
        </w:rPr>
        <w:t xml:space="preserve">(each a "Party" and together the "Parties").</w:t>
      </w:r>
    </w:p>
    <w:p>
      <w:pPr>
        <w:pStyle w:val="Heading1"/>
        <w:spacing w:after="180" w:before="320"/>
      </w:pPr>
      <w:r>
        <w:rPr>
          <w:rFonts w:ascii="Arial" w:cs="Arial" w:eastAsia="Arial" w:hAnsi="Arial"/>
          <w:b/>
          <w:bCs/>
          <w:sz w:val="28"/>
          <w:szCs w:val="28"/>
        </w:rPr>
        <w:t xml:space="preserve">BACKGROUND</w:t>
      </w:r>
    </w:p>
    <w:p>
      <w:pPr>
        <w:spacing w:after="120"/>
      </w:pPr>
      <w:r>
        <w:rPr>
          <w:rFonts w:ascii="Arial" w:cs="Arial" w:eastAsia="Arial" w:hAnsi="Arial"/>
          <w:b w:val="false"/>
          <w:bCs w:val="false"/>
          <w:i w:val="false"/>
          <w:iCs w:val="false"/>
          <w:sz w:val="22"/>
          <w:szCs w:val="22"/>
        </w:rPr>
        <w:t xml:space="preserve">The Parties agree to enter into a Data Sharing Agreement to allow the provision by MCR of a Mentoring Programme in the Academy;</w:t>
      </w:r>
    </w:p>
    <w:p>
      <w:pPr>
        <w:spacing w:after="120"/>
      </w:pPr>
      <w:r>
        <w:rPr>
          <w:rFonts w:ascii="Arial" w:cs="Arial" w:eastAsia="Arial" w:hAnsi="Arial"/>
          <w:b w:val="false"/>
          <w:bCs w:val="false"/>
          <w:i w:val="false"/>
          <w:iCs w:val="false"/>
          <w:sz w:val="22"/>
          <w:szCs w:val="22"/>
        </w:rPr>
        <w:t xml:space="preserve">MCR will, subject to a separate partnership agreement, be providing a Mentoring Programme, for the Academy;</w:t>
      </w:r>
    </w:p>
    <w:p>
      <w:pPr>
        <w:spacing w:after="120"/>
      </w:pPr>
      <w:r>
        <w:rPr>
          <w:rFonts w:ascii="Arial" w:cs="Arial" w:eastAsia="Arial" w:hAnsi="Arial"/>
          <w:b w:val="false"/>
          <w:bCs w:val="false"/>
          <w:i w:val="false"/>
          <w:iCs w:val="false"/>
          <w:sz w:val="22"/>
          <w:szCs w:val="22"/>
        </w:rPr>
        <w:t xml:space="preserve">The provision of the Mentoring Programme entails the exchange of Data between the Parties; and</w:t>
      </w:r>
    </w:p>
    <w:p>
      <w:pPr>
        <w:spacing w:after="120"/>
      </w:pPr>
      <w:r>
        <w:rPr>
          <w:rFonts w:ascii="Arial" w:cs="Arial" w:eastAsia="Arial" w:hAnsi="Arial"/>
          <w:b w:val="false"/>
          <w:bCs w:val="false"/>
          <w:i w:val="false"/>
          <w:iCs w:val="false"/>
          <w:sz w:val="22"/>
          <w:szCs w:val="22"/>
        </w:rPr>
        <w:t xml:space="preserve">The Parties have agreed to exchange Data by means of this Data Sharing Agreement in order to ensure appropriate protections are in place in respect of such data and to comply with Data Protection Law.</w:t>
      </w:r>
    </w:p>
    <w:p>
      <w:pPr>
        <w:spacing w:after="200" w:before="200"/>
      </w:pPr>
      <w:r>
        <w:rPr>
          <w:rFonts w:ascii="Arial" w:cs="Arial" w:eastAsia="Arial" w:hAnsi="Arial"/>
          <w:b/>
          <w:bCs/>
          <w:i w:val="false"/>
          <w:iCs w:val="false"/>
          <w:sz w:val="22"/>
          <w:szCs w:val="22"/>
        </w:rPr>
        <w:t xml:space="preserve">NOW THEREFORE IT IS AGREED AS FOLLOWS:</w:t>
      </w:r>
    </w:p>
    <w:p>
      <w:pPr>
        <w:pStyle w:val="Heading1"/>
        <w:spacing w:after="180" w:before="320"/>
      </w:pPr>
      <w:r>
        <w:rPr>
          <w:rFonts w:ascii="Arial" w:cs="Arial" w:eastAsia="Arial" w:hAnsi="Arial"/>
          <w:b/>
          <w:bCs/>
          <w:sz w:val="28"/>
          <w:szCs w:val="28"/>
        </w:rPr>
        <w:t xml:space="preserve">1. DEFINITIONS</w:t>
      </w:r>
    </w:p>
    <w:p>
      <w:pPr>
        <w:spacing w:after="120"/>
      </w:pPr>
      <w:r>
        <w:rPr>
          <w:rFonts w:ascii="Arial" w:cs="Arial" w:eastAsia="Arial" w:hAnsi="Arial"/>
          <w:b w:val="false"/>
          <w:bCs w:val="false"/>
          <w:i w:val="false"/>
          <w:iCs w:val="false"/>
          <w:sz w:val="22"/>
          <w:szCs w:val="22"/>
        </w:rPr>
        <w:t xml:space="preserve">In construing this Agreement, capitalised words and expressions shall have the meaning set out opposite:</w:t>
      </w:r>
    </w:p>
    <w:p>
      <w:pPr>
        <w:spacing w:after="120"/>
      </w:pPr>
      <w:r>
        <w:rPr>
          <w:rFonts w:ascii="Arial" w:cs="Arial" w:eastAsia="Arial" w:hAnsi="Arial"/>
          <w:b/>
          <w:bCs/>
          <w:i w:val="false"/>
          <w:iCs w:val="false"/>
          <w:sz w:val="22"/>
          <w:szCs w:val="22"/>
        </w:rPr>
        <w:t xml:space="preserve">"Agreement"</w:t>
      </w:r>
      <w:r>
        <w:rPr>
          <w:rFonts w:ascii="Arial" w:cs="Arial" w:eastAsia="Arial" w:hAnsi="Arial"/>
          <w:b w:val="false"/>
          <w:bCs w:val="false"/>
          <w:i w:val="false"/>
          <w:iCs w:val="false"/>
          <w:sz w:val="22"/>
          <w:szCs w:val="22"/>
        </w:rPr>
        <w:t xml:space="preserve"> means this Data Sharing Agreement, as amended from time to time in accordance with its terms, including the Schedule;</w:t>
      </w:r>
    </w:p>
    <w:p>
      <w:pPr>
        <w:spacing w:after="120"/>
      </w:pPr>
      <w:r>
        <w:rPr>
          <w:rFonts w:ascii="Arial" w:cs="Arial" w:eastAsia="Arial" w:hAnsi="Arial"/>
          <w:b/>
          <w:bCs/>
          <w:i w:val="false"/>
          <w:iCs w:val="false"/>
          <w:sz w:val="22"/>
          <w:szCs w:val="22"/>
        </w:rPr>
        <w:t xml:space="preserve">"Business Day"</w:t>
      </w:r>
      <w:r>
        <w:rPr>
          <w:rFonts w:ascii="Arial" w:cs="Arial" w:eastAsia="Arial" w:hAnsi="Arial"/>
          <w:b w:val="false"/>
          <w:bCs w:val="false"/>
          <w:i w:val="false"/>
          <w:iCs w:val="false"/>
          <w:sz w:val="22"/>
          <w:szCs w:val="22"/>
        </w:rPr>
        <w:t xml:space="preserve"> means any day which is not a Saturday, a Sunday or a bank or public holiday throughout Scotland and England;</w:t>
      </w:r>
    </w:p>
    <w:p>
      <w:pPr>
        <w:spacing w:after="120"/>
      </w:pPr>
      <w:r>
        <w:rPr>
          <w:rFonts w:ascii="Arial" w:cs="Arial" w:eastAsia="Arial" w:hAnsi="Arial"/>
          <w:b/>
          <w:bCs/>
          <w:i w:val="false"/>
          <w:iCs w:val="false"/>
          <w:sz w:val="22"/>
          <w:szCs w:val="22"/>
        </w:rPr>
        <w:t xml:space="preserve">"Child"</w:t>
      </w:r>
      <w:r>
        <w:rPr>
          <w:rFonts w:ascii="Arial" w:cs="Arial" w:eastAsia="Arial" w:hAnsi="Arial"/>
          <w:b w:val="false"/>
          <w:bCs w:val="false"/>
          <w:i w:val="false"/>
          <w:iCs w:val="false"/>
          <w:sz w:val="22"/>
          <w:szCs w:val="22"/>
        </w:rPr>
        <w:t xml:space="preserve"> or </w:t>
      </w:r>
      <w:r>
        <w:rPr>
          <w:rFonts w:ascii="Arial" w:cs="Arial" w:eastAsia="Arial" w:hAnsi="Arial"/>
          <w:b/>
          <w:bCs/>
          <w:i w:val="false"/>
          <w:iCs w:val="false"/>
          <w:sz w:val="22"/>
          <w:szCs w:val="22"/>
        </w:rPr>
        <w:t xml:space="preserve">"Young Person"</w:t>
      </w:r>
      <w:r>
        <w:rPr>
          <w:rFonts w:ascii="Arial" w:cs="Arial" w:eastAsia="Arial" w:hAnsi="Arial"/>
          <w:b w:val="false"/>
          <w:bCs w:val="false"/>
          <w:i w:val="false"/>
          <w:iCs w:val="false"/>
          <w:sz w:val="22"/>
          <w:szCs w:val="22"/>
        </w:rPr>
        <w:t xml:space="preserve"> means any person whose care and educational needs are the responsibility of the Academy and of the relevant local authority under the Children Act 1989 and the Children Act 2004 or any person who the Parties identify as benefiting from the Mentoring Programme;</w:t>
      </w:r>
    </w:p>
    <w:p>
      <w:pPr>
        <w:spacing w:after="120"/>
      </w:pPr>
      <w:r>
        <w:rPr>
          <w:rFonts w:ascii="Arial" w:cs="Arial" w:eastAsia="Arial" w:hAnsi="Arial"/>
          <w:b/>
          <w:bCs/>
          <w:i w:val="false"/>
          <w:iCs w:val="false"/>
          <w:sz w:val="22"/>
          <w:szCs w:val="22"/>
        </w:rPr>
        <w:t xml:space="preserve">"Confidential Information"</w:t>
      </w:r>
      <w:r>
        <w:rPr>
          <w:rFonts w:ascii="Arial" w:cs="Arial" w:eastAsia="Arial" w:hAnsi="Arial"/>
          <w:b w:val="false"/>
          <w:bCs w:val="false"/>
          <w:i w:val="false"/>
          <w:iCs w:val="false"/>
          <w:sz w:val="22"/>
          <w:szCs w:val="22"/>
        </w:rPr>
        <w:t xml:space="preserve"> means, in relation to either Party, information of a confidential or proprietary nature (whether in oral, written or electronic form) belonging or relating to that Party, its business affairs or activities which (i) either Party has marked as confidential or proprietary; or (ii) either Party, orally or in writing has advised the other Party is of a confidential nature; or (iii) due to its character or nature, a reasonable person in a like position and under like circumstances would treat as confidential;</w:t>
      </w:r>
    </w:p>
    <w:p>
      <w:pPr>
        <w:spacing w:after="120"/>
      </w:pPr>
      <w:r>
        <w:rPr>
          <w:rFonts w:ascii="Arial" w:cs="Arial" w:eastAsia="Arial" w:hAnsi="Arial"/>
          <w:b/>
          <w:bCs/>
          <w:i w:val="false"/>
          <w:iCs w:val="false"/>
          <w:sz w:val="22"/>
          <w:szCs w:val="22"/>
        </w:rPr>
        <w:t xml:space="preserve">"Commencement Date"</w:t>
      </w:r>
      <w:r>
        <w:rPr>
          <w:rFonts w:ascii="Arial" w:cs="Arial" w:eastAsia="Arial" w:hAnsi="Arial"/>
          <w:b w:val="false"/>
          <w:bCs w:val="false"/>
          <w:i w:val="false"/>
          <w:iCs w:val="false"/>
          <w:sz w:val="22"/>
          <w:szCs w:val="22"/>
        </w:rPr>
        <w:t xml:space="preserve"> means the last date of execution hereof;</w:t>
      </w:r>
    </w:p>
    <w:p>
      <w:pPr>
        <w:spacing w:after="120"/>
      </w:pPr>
      <w:r>
        <w:rPr>
          <w:rFonts w:ascii="Arial" w:cs="Arial" w:eastAsia="Arial" w:hAnsi="Arial"/>
          <w:b/>
          <w:bCs/>
          <w:i w:val="false"/>
          <w:iCs w:val="false"/>
          <w:sz w:val="22"/>
          <w:szCs w:val="22"/>
        </w:rPr>
        <w:t xml:space="preserve">"Controller"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"Data Subject"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"Process"</w:t>
      </w:r>
      <w:r>
        <w:rPr>
          <w:rFonts w:ascii="Arial" w:cs="Arial" w:eastAsia="Arial" w:hAnsi="Arial"/>
          <w:b w:val="false"/>
          <w:bCs w:val="false"/>
          <w:i w:val="false"/>
          <w:iCs w:val="false"/>
          <w:sz w:val="22"/>
          <w:szCs w:val="22"/>
        </w:rPr>
        <w:t xml:space="preserve"> (and related terms such as "Processed" and “Processing") and </w:t>
      </w:r>
      <w:r>
        <w:rPr>
          <w:rFonts w:ascii="Arial" w:cs="Arial" w:eastAsia="Arial" w:hAnsi="Arial"/>
          <w:b/>
          <w:bCs/>
          <w:i w:val="false"/>
          <w:iCs w:val="false"/>
          <w:sz w:val="22"/>
          <w:szCs w:val="22"/>
        </w:rPr>
        <w:t xml:space="preserve">"Processor"</w:t>
      </w:r>
      <w:r>
        <w:rPr>
          <w:rFonts w:ascii="Arial" w:cs="Arial" w:eastAsia="Arial" w:hAnsi="Arial"/>
          <w:b w:val="false"/>
          <w:bCs w:val="false"/>
          <w:i w:val="false"/>
          <w:iCs w:val="false"/>
          <w:sz w:val="22"/>
          <w:szCs w:val="22"/>
        </w:rPr>
        <w:t xml:space="preserve"> shall each have the meaning ascribed to them in Data Protection Law;</w:t>
      </w:r>
    </w:p>
    <w:p>
      <w:pPr>
        <w:spacing w:after="120"/>
      </w:pPr>
      <w:r>
        <w:rPr>
          <w:rFonts w:ascii="Arial" w:cs="Arial" w:eastAsia="Arial" w:hAnsi="Arial"/>
          <w:b/>
          <w:bCs/>
          <w:i w:val="false"/>
          <w:iCs w:val="false"/>
          <w:sz w:val="22"/>
          <w:szCs w:val="22"/>
        </w:rPr>
        <w:t xml:space="preserve">"Data"</w:t>
      </w:r>
      <w:r>
        <w:rPr>
          <w:rFonts w:ascii="Arial" w:cs="Arial" w:eastAsia="Arial" w:hAnsi="Arial"/>
          <w:b w:val="false"/>
          <w:bCs w:val="false"/>
          <w:i w:val="false"/>
          <w:iCs w:val="false"/>
          <w:sz w:val="22"/>
          <w:szCs w:val="22"/>
        </w:rPr>
        <w:t xml:space="preserve"> means the information which contains Personal Data described in Part 1 of the Schedule;</w:t>
      </w:r>
    </w:p>
    <w:p>
      <w:pPr>
        <w:spacing w:after="120"/>
      </w:pPr>
      <w:r>
        <w:rPr>
          <w:rFonts w:ascii="Arial" w:cs="Arial" w:eastAsia="Arial" w:hAnsi="Arial"/>
          <w:b/>
          <w:bCs/>
          <w:i w:val="false"/>
          <w:iCs w:val="false"/>
          <w:sz w:val="22"/>
          <w:szCs w:val="22"/>
        </w:rPr>
        <w:t xml:space="preserve">"Data Protection Law"</w:t>
      </w:r>
      <w:r>
        <w:rPr>
          <w:rFonts w:ascii="Arial" w:cs="Arial" w:eastAsia="Arial" w:hAnsi="Arial"/>
          <w:b w:val="false"/>
          <w:bCs w:val="false"/>
          <w:i w:val="false"/>
          <w:iCs w:val="false"/>
          <w:sz w:val="22"/>
          <w:szCs w:val="22"/>
        </w:rPr>
        <w:t xml:space="preserve"> means Law in the UK relating to data protection, the processing of personal data and privacy from time to time, including the GDPR as it forms part of the law of England and Wales, Scotland and Northern Ireland by virtue of section 3 of the European Union (Withdrawal) Act 2018 (including as further amended or modified by the laws of the United Kingdom or a part of the United Kingdom from time to time) and the Data Protection Act 2018, and all other applicable laws and regulations relating to processing of personal data;</w:t>
      </w:r>
    </w:p>
    <w:p>
      <w:pPr>
        <w:spacing w:after="120"/>
      </w:pPr>
      <w:r>
        <w:rPr>
          <w:rFonts w:ascii="Arial" w:cs="Arial" w:eastAsia="Arial" w:hAnsi="Arial"/>
          <w:b/>
          <w:bCs/>
          <w:i w:val="false"/>
          <w:iCs w:val="false"/>
          <w:sz w:val="22"/>
          <w:szCs w:val="22"/>
        </w:rPr>
        <w:t xml:space="preserve">"Data Subject"</w:t>
      </w:r>
      <w:r>
        <w:rPr>
          <w:rFonts w:ascii="Arial" w:cs="Arial" w:eastAsia="Arial" w:hAnsi="Arial"/>
          <w:b w:val="false"/>
          <w:bCs w:val="false"/>
          <w:i w:val="false"/>
          <w:iCs w:val="false"/>
          <w:sz w:val="22"/>
          <w:szCs w:val="22"/>
        </w:rPr>
        <w:t xml:space="preserve"> has the meaning ascribed to it in Data Protection Law, and the categories of Data Subjects within the scope of this Agreement are listed in Part 1 of the Schedule;</w:t>
      </w:r>
    </w:p>
    <w:p>
      <w:pPr>
        <w:spacing w:after="120"/>
      </w:pPr>
      <w:r>
        <w:rPr>
          <w:rFonts w:ascii="Arial" w:cs="Arial" w:eastAsia="Arial" w:hAnsi="Arial"/>
          <w:b/>
          <w:bCs/>
          <w:i w:val="false"/>
          <w:iCs w:val="false"/>
          <w:sz w:val="22"/>
          <w:szCs w:val="22"/>
        </w:rPr>
        <w:t xml:space="preserve">"Data Subject Request"</w:t>
      </w:r>
      <w:r>
        <w:rPr>
          <w:rFonts w:ascii="Arial" w:cs="Arial" w:eastAsia="Arial" w:hAnsi="Arial"/>
          <w:b w:val="false"/>
          <w:bCs w:val="false"/>
          <w:i w:val="false"/>
          <w:iCs w:val="false"/>
          <w:sz w:val="22"/>
          <w:szCs w:val="22"/>
        </w:rPr>
        <w:t xml:space="preserve"> means a written request made to either party as Data Controller, by or on behalf of a Data Subject, to exercise any rights conferred by Data Protection Law in relation to the data or the activities of the parties contemplated by this Agreement;</w:t>
      </w:r>
    </w:p>
    <w:p>
      <w:pPr>
        <w:spacing w:after="120"/>
      </w:pPr>
      <w:r>
        <w:rPr>
          <w:rFonts w:ascii="Arial" w:cs="Arial" w:eastAsia="Arial" w:hAnsi="Arial"/>
          <w:b/>
          <w:bCs/>
          <w:i w:val="false"/>
          <w:iCs w:val="false"/>
          <w:sz w:val="22"/>
          <w:szCs w:val="22"/>
        </w:rPr>
        <w:t xml:space="preserve">"Disclosing Party"</w:t>
      </w:r>
      <w:r>
        <w:rPr>
          <w:rFonts w:ascii="Arial" w:cs="Arial" w:eastAsia="Arial" w:hAnsi="Arial"/>
          <w:b w:val="false"/>
          <w:bCs w:val="false"/>
          <w:i w:val="false"/>
          <w:iCs w:val="false"/>
          <w:sz w:val="22"/>
          <w:szCs w:val="22"/>
        </w:rPr>
        <w:t xml:space="preserve"> means the Party (being either the Academy or MCR, as appropriate) disclosing Data (or on behalf of whom Data is disclosed) to the Receiving Party;</w:t>
      </w:r>
    </w:p>
    <w:p>
      <w:pPr>
        <w:spacing w:after="120"/>
      </w:pPr>
      <w:r>
        <w:rPr>
          <w:rFonts w:ascii="Arial" w:cs="Arial" w:eastAsia="Arial" w:hAnsi="Arial"/>
          <w:b/>
          <w:bCs/>
          <w:i w:val="false"/>
          <w:iCs w:val="false"/>
          <w:sz w:val="22"/>
          <w:szCs w:val="22"/>
        </w:rPr>
        <w:t xml:space="preserve">"FOIA"</w:t>
      </w:r>
      <w:r>
        <w:rPr>
          <w:rFonts w:ascii="Arial" w:cs="Arial" w:eastAsia="Arial" w:hAnsi="Arial"/>
          <w:b w:val="false"/>
          <w:bCs w:val="false"/>
          <w:i w:val="false"/>
          <w:iCs w:val="false"/>
          <w:sz w:val="22"/>
          <w:szCs w:val="22"/>
        </w:rPr>
        <w:t xml:space="preserve"> means the Freedom of Information Act 2000;</w:t>
      </w:r>
    </w:p>
    <w:p>
      <w:pPr>
        <w:spacing w:after="120"/>
      </w:pPr>
      <w:r>
        <w:rPr>
          <w:rFonts w:ascii="Arial" w:cs="Arial" w:eastAsia="Arial" w:hAnsi="Arial"/>
          <w:b/>
          <w:bCs/>
          <w:i w:val="false"/>
          <w:iCs w:val="false"/>
          <w:sz w:val="22"/>
          <w:szCs w:val="22"/>
        </w:rPr>
        <w:t xml:space="preserve">"GDPR"</w:t>
      </w:r>
      <w:r>
        <w:rPr>
          <w:rFonts w:ascii="Arial" w:cs="Arial" w:eastAsia="Arial" w:hAnsi="Arial"/>
          <w:b w:val="false"/>
          <w:bCs w:val="false"/>
          <w:i w:val="false"/>
          <w:iCs w:val="false"/>
          <w:sz w:val="22"/>
          <w:szCs w:val="22"/>
        </w:rPr>
        <w:t xml:space="preserve"> means the European Union Regulation on the protection of natural persons with regard to the processing of personal data and on the free movement of such data (Regulation 2016/679);</w:t>
      </w:r>
    </w:p>
    <w:p>
      <w:pPr>
        <w:spacing w:after="120"/>
      </w:pPr>
      <w:r>
        <w:rPr>
          <w:rFonts w:ascii="Arial" w:cs="Arial" w:eastAsia="Arial" w:hAnsi="Arial"/>
          <w:b/>
          <w:bCs/>
          <w:i w:val="false"/>
          <w:iCs w:val="false"/>
          <w:sz w:val="22"/>
          <w:szCs w:val="22"/>
        </w:rPr>
        <w:t xml:space="preserve">"Individual"</w:t>
      </w:r>
      <w:r>
        <w:rPr>
          <w:rFonts w:ascii="Arial" w:cs="Arial" w:eastAsia="Arial" w:hAnsi="Arial"/>
          <w:b w:val="false"/>
          <w:bCs w:val="false"/>
          <w:i w:val="false"/>
          <w:iCs w:val="false"/>
          <w:sz w:val="22"/>
          <w:szCs w:val="22"/>
        </w:rPr>
        <w:t xml:space="preserve"> means any person who is (i) in receipt of the Service; or (ii) directly involved in the provision of the Service;</w:t>
      </w:r>
    </w:p>
    <w:p>
      <w:pPr>
        <w:spacing w:after="120"/>
      </w:pPr>
      <w:r>
        <w:rPr>
          <w:rFonts w:ascii="Arial" w:cs="Arial" w:eastAsia="Arial" w:hAnsi="Arial"/>
          <w:b/>
          <w:bCs/>
          <w:i w:val="false"/>
          <w:iCs w:val="false"/>
          <w:sz w:val="22"/>
          <w:szCs w:val="22"/>
        </w:rPr>
        <w:t xml:space="preserve">"Information Commissioner"</w:t>
      </w:r>
      <w:r>
        <w:rPr>
          <w:rFonts w:ascii="Arial" w:cs="Arial" w:eastAsia="Arial" w:hAnsi="Arial"/>
          <w:b w:val="false"/>
          <w:bCs w:val="false"/>
          <w:i w:val="false"/>
          <w:iCs w:val="false"/>
          <w:sz w:val="22"/>
          <w:szCs w:val="22"/>
        </w:rPr>
        <w:t xml:space="preserve"> means the UK Information Commissioner and any successor;</w:t>
      </w:r>
    </w:p>
    <w:p>
      <w:pPr>
        <w:spacing w:after="120"/>
      </w:pPr>
      <w:r>
        <w:rPr>
          <w:rFonts w:ascii="Arial" w:cs="Arial" w:eastAsia="Arial" w:hAnsi="Arial"/>
          <w:b/>
          <w:bCs/>
          <w:i w:val="false"/>
          <w:iCs w:val="false"/>
          <w:sz w:val="22"/>
          <w:szCs w:val="22"/>
        </w:rPr>
        <w:t xml:space="preserve">"Law"</w:t>
      </w:r>
      <w:r>
        <w:rPr>
          <w:rFonts w:ascii="Arial" w:cs="Arial" w:eastAsia="Arial" w:hAnsi="Arial"/>
          <w:b w:val="false"/>
          <w:bCs w:val="false"/>
          <w:i w:val="false"/>
          <w:iCs w:val="false"/>
          <w:sz w:val="22"/>
          <w:szCs w:val="22"/>
        </w:rPr>
        <w:t xml:space="preserve"> means any statute, directive, other legislation, law or regulation in whatever form, delegated act (under any of the foregoing), rule, order of any court having valid jurisdiction or other binding restriction, decision or guidance in force from time to time;</w:t>
      </w:r>
    </w:p>
    <w:p>
      <w:pPr>
        <w:spacing w:after="120"/>
      </w:pPr>
      <w:r>
        <w:rPr>
          <w:rFonts w:ascii="Arial" w:cs="Arial" w:eastAsia="Arial" w:hAnsi="Arial"/>
          <w:b/>
          <w:bCs/>
          <w:i w:val="false"/>
          <w:iCs w:val="false"/>
          <w:sz w:val="22"/>
          <w:szCs w:val="22"/>
        </w:rPr>
        <w:t xml:space="preserve">"Legal Basis"</w:t>
      </w:r>
      <w:r>
        <w:rPr>
          <w:rFonts w:ascii="Arial" w:cs="Arial" w:eastAsia="Arial" w:hAnsi="Arial"/>
          <w:b w:val="false"/>
          <w:bCs w:val="false"/>
          <w:i w:val="false"/>
          <w:iCs w:val="false"/>
          <w:sz w:val="22"/>
          <w:szCs w:val="22"/>
        </w:rPr>
        <w:t xml:space="preserve"> means in relation to either Party, the legal basis for sharing the Data as referred to in Clause 2.3 and as set out in Part 2 of the Schedule;</w:t>
      </w:r>
    </w:p>
    <w:p>
      <w:pPr>
        <w:spacing w:after="120"/>
      </w:pPr>
      <w:r>
        <w:rPr>
          <w:rFonts w:ascii="Arial" w:cs="Arial" w:eastAsia="Arial" w:hAnsi="Arial"/>
          <w:b/>
          <w:bCs/>
          <w:i w:val="false"/>
          <w:iCs w:val="false"/>
          <w:sz w:val="22"/>
          <w:szCs w:val="22"/>
        </w:rPr>
        <w:t xml:space="preserve">"Mentoring Programme"</w:t>
      </w:r>
      <w:r>
        <w:rPr>
          <w:rFonts w:ascii="Arial" w:cs="Arial" w:eastAsia="Arial" w:hAnsi="Arial"/>
          <w:b w:val="false"/>
          <w:bCs w:val="false"/>
          <w:i w:val="false"/>
          <w:iCs w:val="false"/>
          <w:sz w:val="22"/>
          <w:szCs w:val="22"/>
        </w:rPr>
        <w:t xml:space="preserve"> means mentoring services to support a Child or Young Person within the Academy in order to influence them to engage in opportunities for better educational outcomes and routes to positive post-school destinations, all as more fully described in Part 7 of the Schedule;</w:t>
      </w:r>
    </w:p>
    <w:p>
      <w:pPr>
        <w:spacing w:after="120"/>
      </w:pPr>
      <w:r>
        <w:rPr>
          <w:rFonts w:ascii="Arial" w:cs="Arial" w:eastAsia="Arial" w:hAnsi="Arial"/>
          <w:b/>
          <w:bCs/>
          <w:i w:val="false"/>
          <w:iCs w:val="false"/>
          <w:sz w:val="22"/>
          <w:szCs w:val="22"/>
        </w:rPr>
        <w:t xml:space="preserve">"Part"</w:t>
      </w:r>
      <w:r>
        <w:rPr>
          <w:rFonts w:ascii="Arial" w:cs="Arial" w:eastAsia="Arial" w:hAnsi="Arial"/>
          <w:b w:val="false"/>
          <w:bCs w:val="false"/>
          <w:i w:val="false"/>
          <w:iCs w:val="false"/>
          <w:sz w:val="22"/>
          <w:szCs w:val="22"/>
        </w:rPr>
        <w:t xml:space="preserve"> means a numbered part of the Schedule;</w:t>
      </w:r>
    </w:p>
    <w:p>
      <w:pPr>
        <w:spacing w:after="120"/>
      </w:pPr>
      <w:r>
        <w:rPr>
          <w:rFonts w:ascii="Arial" w:cs="Arial" w:eastAsia="Arial" w:hAnsi="Arial"/>
          <w:b/>
          <w:bCs/>
          <w:i w:val="false"/>
          <w:iCs w:val="false"/>
          <w:sz w:val="22"/>
          <w:szCs w:val="22"/>
        </w:rPr>
        <w:t xml:space="preserve">"Personal Data Breach"</w:t>
      </w:r>
      <w:r>
        <w:rPr>
          <w:rFonts w:ascii="Arial" w:cs="Arial" w:eastAsia="Arial" w:hAnsi="Arial"/>
          <w:b w:val="false"/>
          <w:bCs w:val="false"/>
          <w:i w:val="false"/>
          <w:iCs w:val="false"/>
          <w:sz w:val="22"/>
          <w:szCs w:val="22"/>
        </w:rPr>
        <w:t xml:space="preserve"> has the meaning given to it in the GDPR;</w:t>
      </w:r>
    </w:p>
    <w:p>
      <w:pPr>
        <w:spacing w:after="120"/>
      </w:pPr>
      <w:r>
        <w:rPr>
          <w:rFonts w:ascii="Arial" w:cs="Arial" w:eastAsia="Arial" w:hAnsi="Arial"/>
          <w:b/>
          <w:bCs/>
          <w:i w:val="false"/>
          <w:iCs w:val="false"/>
          <w:sz w:val="22"/>
          <w:szCs w:val="22"/>
        </w:rPr>
        <w:t xml:space="preserve">"Purpose"</w:t>
      </w:r>
      <w:r>
        <w:rPr>
          <w:rFonts w:ascii="Arial" w:cs="Arial" w:eastAsia="Arial" w:hAnsi="Arial"/>
          <w:b w:val="false"/>
          <w:bCs w:val="false"/>
          <w:i w:val="false"/>
          <w:iCs w:val="false"/>
          <w:sz w:val="22"/>
          <w:szCs w:val="22"/>
        </w:rPr>
        <w:t xml:space="preserve"> means the purpose referred to in Part 2 of the Schedule;</w:t>
      </w:r>
    </w:p>
    <w:p>
      <w:pPr>
        <w:spacing w:after="120"/>
      </w:pPr>
      <w:r>
        <w:rPr>
          <w:rFonts w:ascii="Arial" w:cs="Arial" w:eastAsia="Arial" w:hAnsi="Arial"/>
          <w:b/>
          <w:bCs/>
          <w:i w:val="false"/>
          <w:iCs w:val="false"/>
          <w:sz w:val="22"/>
          <w:szCs w:val="22"/>
        </w:rPr>
        <w:t xml:space="preserve">"Receiving Party"</w:t>
      </w:r>
      <w:r>
        <w:rPr>
          <w:rFonts w:ascii="Arial" w:cs="Arial" w:eastAsia="Arial" w:hAnsi="Arial"/>
          <w:b w:val="false"/>
          <w:bCs w:val="false"/>
          <w:i w:val="false"/>
          <w:iCs w:val="false"/>
          <w:sz w:val="22"/>
          <w:szCs w:val="22"/>
        </w:rPr>
        <w:t xml:space="preserve"> means the party (being either the Academy or MCR, as appropriate) to whom Data is disclosed;</w:t>
      </w:r>
    </w:p>
    <w:p>
      <w:pPr>
        <w:spacing w:after="120"/>
      </w:pPr>
      <w:r>
        <w:rPr>
          <w:rFonts w:ascii="Arial" w:cs="Arial" w:eastAsia="Arial" w:hAnsi="Arial"/>
          <w:b/>
          <w:bCs/>
          <w:i w:val="false"/>
          <w:iCs w:val="false"/>
          <w:sz w:val="22"/>
          <w:szCs w:val="22"/>
        </w:rPr>
        <w:t xml:space="preserve">"Representatives"</w:t>
      </w:r>
      <w:r>
        <w:rPr>
          <w:rFonts w:ascii="Arial" w:cs="Arial" w:eastAsia="Arial" w:hAnsi="Arial"/>
          <w:b w:val="false"/>
          <w:bCs w:val="false"/>
          <w:i w:val="false"/>
          <w:iCs w:val="false"/>
          <w:sz w:val="22"/>
          <w:szCs w:val="22"/>
        </w:rPr>
        <w:t xml:space="preserve"> means, as the context requires, the representative of the Academy and/or the representative of MCR as detailed in Part 4 of the Schedule. The same may be changed from time to time on notice by the relevant Party to the other Party;</w:t>
      </w:r>
    </w:p>
    <w:p>
      <w:pPr>
        <w:spacing w:after="120"/>
      </w:pPr>
      <w:r>
        <w:rPr>
          <w:rFonts w:ascii="Arial" w:cs="Arial" w:eastAsia="Arial" w:hAnsi="Arial"/>
          <w:b/>
          <w:bCs/>
          <w:i w:val="false"/>
          <w:iCs w:val="false"/>
          <w:sz w:val="22"/>
          <w:szCs w:val="22"/>
        </w:rPr>
        <w:t xml:space="preserve">"Schedule"</w:t>
      </w:r>
      <w:r>
        <w:rPr>
          <w:rFonts w:ascii="Arial" w:cs="Arial" w:eastAsia="Arial" w:hAnsi="Arial"/>
          <w:b w:val="false"/>
          <w:bCs w:val="false"/>
          <w:i w:val="false"/>
          <w:iCs w:val="false"/>
          <w:sz w:val="22"/>
          <w:szCs w:val="22"/>
        </w:rPr>
        <w:t xml:space="preserve"> means the Schedule in seven (7) Parts annexed to this Agreement;</w:t>
      </w:r>
    </w:p>
    <w:p>
      <w:pPr>
        <w:spacing w:after="120"/>
      </w:pPr>
      <w:r>
        <w:rPr>
          <w:rFonts w:ascii="Arial" w:cs="Arial" w:eastAsia="Arial" w:hAnsi="Arial"/>
          <w:b/>
          <w:bCs/>
          <w:i w:val="false"/>
          <w:iCs w:val="false"/>
          <w:sz w:val="22"/>
          <w:szCs w:val="22"/>
        </w:rPr>
        <w:t/>
      </w:r>
    </w:p>
    <w:p>
      <w:pPr>
        <w:spacing w:after="120"/>
      </w:pPr>
      <w:r>
        <w:rPr>
          <w:rFonts w:ascii="Arial" w:cs="Arial" w:eastAsia="Arial" w:hAnsi="Arial"/>
          <w:b/>
          <w:bCs/>
          <w:i w:val="false"/>
          <w:iCs w:val="false"/>
          <w:sz w:val="22"/>
          <w:szCs w:val="22"/>
        </w:rPr>
        <w:t/>
      </w:r>
    </w:p>
    <w:p>
      <w:pPr>
        <w:spacing w:after="120"/>
      </w:pPr>
      <w:r>
        <w:rPr>
          <w:rFonts w:ascii="Arial" w:cs="Arial" w:eastAsia="Arial" w:hAnsi="Arial"/>
          <w:b/>
          <w:bCs/>
          <w:i w:val="false"/>
          <w:iCs w:val="false"/>
          <w:sz w:val="22"/>
          <w:szCs w:val="22"/>
        </w:rPr>
        <w:t xml:space="preserve">"Service"</w:t>
      </w:r>
      <w:r>
        <w:rPr>
          <w:rFonts w:ascii="Arial" w:cs="Arial" w:eastAsia="Arial" w:hAnsi="Arial"/>
          <w:b w:val="false"/>
          <w:bCs w:val="false"/>
          <w:i w:val="false"/>
          <w:iCs w:val="false"/>
          <w:sz w:val="22"/>
          <w:szCs w:val="22"/>
        </w:rPr>
        <w:t xml:space="preserve"> means such services as are provided to any Individual/Individuals by MCR as set out in Part 7 of the Schedule; and</w:t>
      </w:r>
    </w:p>
    <w:p>
      <w:pPr>
        <w:spacing w:after="120"/>
      </w:pPr>
      <w:r>
        <w:rPr>
          <w:rFonts w:ascii="Arial" w:cs="Arial" w:eastAsia="Arial" w:hAnsi="Arial"/>
          <w:b/>
          <w:bCs/>
          <w:i w:val="false"/>
          <w:iCs w:val="false"/>
          <w:sz w:val="22"/>
          <w:szCs w:val="22"/>
        </w:rPr>
        <w:t xml:space="preserve">"Security Measures"</w:t>
      </w:r>
      <w:r>
        <w:rPr>
          <w:rFonts w:ascii="Arial" w:cs="Arial" w:eastAsia="Arial" w:hAnsi="Arial"/>
          <w:b w:val="false"/>
          <w:bCs w:val="false"/>
          <w:i w:val="false"/>
          <w:iCs w:val="false"/>
          <w:sz w:val="22"/>
          <w:szCs w:val="22"/>
        </w:rPr>
        <w:t xml:space="preserve"> has the meaning given to that term in Clause 2.5.1.4.</w:t>
      </w:r>
    </w:p>
    <w:p>
      <w:pPr>
        <w:spacing w:after="120"/>
      </w:pPr>
      <w:r>
        <w:rPr>
          <w:rFonts w:ascii="Arial" w:cs="Arial" w:eastAsia="Arial" w:hAnsi="Arial"/>
          <w:b w:val="false"/>
          <w:bCs w:val="false"/>
          <w:i w:val="false"/>
          <w:iCs w:val="false"/>
          <w:sz w:val="22"/>
          <w:szCs w:val="22"/>
        </w:rPr>
        <w:t xml:space="preserve">In this Agreement unless the context otherwise requires:</w:t>
      </w:r>
    </w:p>
    <w:p>
      <w:pPr>
        <w:pStyle w:val="ListParagraph"/>
        <w:numPr>
          <w:ilvl w:val="0"/>
          <w:numId w:val="2"/>
        </w:numPr>
        <w:spacing w:after="80"/>
      </w:pPr>
      <w:r>
        <w:rPr>
          <w:rFonts w:ascii="Arial" w:cs="Arial" w:eastAsia="Arial" w:hAnsi="Arial"/>
          <w:sz w:val="22"/>
          <w:szCs w:val="22"/>
        </w:rPr>
        <w:t xml:space="preserve">references to statutory provisions include those statutory provisions as amended, replaced, re-enacted for the time being in force and shall include any bye-laws, statutory instruments, rules, regulations, orders, notices, codes of practice, directions, consents or permissions and guidelines (together with any conditions attached to the foregoing) made thereunder;</w:t>
      </w:r>
    </w:p>
    <w:p>
      <w:pPr>
        <w:pStyle w:val="ListParagraph"/>
        <w:numPr>
          <w:ilvl w:val="0"/>
          <w:numId w:val="2"/>
        </w:numPr>
        <w:spacing w:after="80"/>
      </w:pPr>
      <w:r>
        <w:rPr>
          <w:rFonts w:ascii="Arial" w:cs="Arial" w:eastAsia="Arial" w:hAnsi="Arial"/>
          <w:sz w:val="22"/>
          <w:szCs w:val="22"/>
        </w:rPr>
        <w:t xml:space="preserve">words used in the singular will be interpreted to include the plural and vice versa and words which refer to one gender will be interpreted to include other genders;</w:t>
      </w:r>
    </w:p>
    <w:p>
      <w:pPr>
        <w:pStyle w:val="ListParagraph"/>
        <w:numPr>
          <w:ilvl w:val="0"/>
          <w:numId w:val="2"/>
        </w:numPr>
        <w:spacing w:after="80"/>
      </w:pPr>
      <w:r>
        <w:rPr>
          <w:rFonts w:ascii="Arial" w:cs="Arial" w:eastAsia="Arial" w:hAnsi="Arial"/>
          <w:sz w:val="22"/>
          <w:szCs w:val="22"/>
        </w:rPr>
        <w:t xml:space="preserve">the words “include” and “including” shall each be construed without limitation to the words following;</w:t>
      </w:r>
    </w:p>
    <w:p>
      <w:pPr>
        <w:pStyle w:val="ListParagraph"/>
        <w:numPr>
          <w:ilvl w:val="0"/>
          <w:numId w:val="2"/>
        </w:numPr>
        <w:spacing w:after="80"/>
      </w:pPr>
      <w:r>
        <w:rPr>
          <w:rFonts w:ascii="Arial" w:cs="Arial" w:eastAsia="Arial" w:hAnsi="Arial"/>
          <w:sz w:val="22"/>
          <w:szCs w:val="22"/>
        </w:rPr>
        <w:t xml:space="preserve">“disclose” includes permitting a person to access Data or imparting that Data orally or by demonstration including directly or indirectly giving that person or arranging for that person to have access to that Data in any manner and in any format whatsoever and “disclosure” and “disclosed” will be interpreted accordingly;</w:t>
      </w:r>
    </w:p>
    <w:p>
      <w:pPr>
        <w:pStyle w:val="ListParagraph"/>
        <w:numPr>
          <w:ilvl w:val="0"/>
          <w:numId w:val="2"/>
        </w:numPr>
        <w:spacing w:after="80"/>
      </w:pPr>
      <w:r>
        <w:rPr>
          <w:rFonts w:ascii="Arial" w:cs="Arial" w:eastAsia="Arial" w:hAnsi="Arial"/>
          <w:sz w:val="22"/>
          <w:szCs w:val="22"/>
        </w:rPr>
        <w:t xml:space="preserve">references to Clauses and Parts are to the relevant Clauses and Parts of this Agreement respectively;</w:t>
      </w:r>
    </w:p>
    <w:p>
      <w:pPr>
        <w:pStyle w:val="ListParagraph"/>
        <w:numPr>
          <w:ilvl w:val="0"/>
          <w:numId w:val="2"/>
        </w:numPr>
        <w:spacing w:after="80"/>
      </w:pPr>
      <w:r>
        <w:rPr>
          <w:rFonts w:ascii="Arial" w:cs="Arial" w:eastAsia="Arial" w:hAnsi="Arial"/>
          <w:sz w:val="22"/>
          <w:szCs w:val="22"/>
        </w:rPr>
        <w:t xml:space="preserve">the headings of Clauses do not affect their interpretation;</w:t>
      </w:r>
    </w:p>
    <w:p>
      <w:pPr>
        <w:pStyle w:val="ListParagraph"/>
        <w:numPr>
          <w:ilvl w:val="0"/>
          <w:numId w:val="2"/>
        </w:numPr>
        <w:spacing w:after="80"/>
      </w:pPr>
      <w:r>
        <w:rPr>
          <w:rFonts w:ascii="Arial" w:cs="Arial" w:eastAsia="Arial" w:hAnsi="Arial"/>
          <w:sz w:val="22"/>
          <w:szCs w:val="22"/>
        </w:rPr>
        <w:t xml:space="preserve">any reference to a “sub-contractor” of a Party will be deemed to include any agent, consultant, or contractor of that Party; and</w:t>
      </w:r>
    </w:p>
    <w:p>
      <w:pPr>
        <w:pStyle w:val="ListParagraph"/>
        <w:numPr>
          <w:ilvl w:val="0"/>
          <w:numId w:val="2"/>
        </w:numPr>
        <w:spacing w:after="80"/>
      </w:pPr>
      <w:r>
        <w:rPr>
          <w:rFonts w:ascii="Arial" w:cs="Arial" w:eastAsia="Arial" w:hAnsi="Arial"/>
          <w:sz w:val="22"/>
          <w:szCs w:val="22"/>
        </w:rPr>
        <w:t xml:space="preserve">in the case of conflict or ambiguity between any provision contained in the body of this Agreement and any provision contained in the Schedule, the provision contained in the body of this Agreement shall take precedence.</w:t>
      </w:r>
    </w:p>
    <w:p>
      <w:pPr>
        <w:pStyle w:val="Heading1"/>
        <w:spacing w:after="180" w:before="320"/>
      </w:pPr>
      <w:r>
        <w:rPr>
          <w:rFonts w:ascii="Arial" w:cs="Arial" w:eastAsia="Arial" w:hAnsi="Arial"/>
          <w:b/>
          <w:bCs/>
          <w:sz w:val="28"/>
          <w:szCs w:val="28"/>
        </w:rPr>
        <w:t xml:space="preserve">2. DATA SHARING</w:t>
      </w:r>
    </w:p>
    <w:p>
      <w:pPr>
        <w:pStyle w:val="Heading2"/>
        <w:spacing w:after="120" w:before="240"/>
      </w:pPr>
      <w:r>
        <w:rPr>
          <w:rFonts w:ascii="Arial" w:cs="Arial" w:eastAsia="Arial" w:hAnsi="Arial"/>
          <w:b/>
          <w:bCs/>
          <w:sz w:val="24"/>
          <w:szCs w:val="24"/>
        </w:rPr>
        <w:t xml:space="preserve">2.1 Purpose and Legal Basis</w:t>
      </w:r>
    </w:p>
    <w:p>
      <w:pPr>
        <w:pStyle w:val="ListParagraph"/>
        <w:numPr>
          <w:ilvl w:val="0"/>
          <w:numId w:val="3"/>
        </w:numPr>
        <w:spacing w:after="100"/>
      </w:pPr>
      <w:r>
        <w:rPr>
          <w:rFonts w:ascii="Arial" w:cs="Arial" w:eastAsia="Arial" w:hAnsi="Arial"/>
          <w:sz w:val="22"/>
          <w:szCs w:val="22"/>
        </w:rPr>
        <w:t xml:space="preserve">The Parties agree to share the Data for use in connection with the Purpose only.</w:t>
      </w:r>
    </w:p>
    <w:p>
      <w:pPr>
        <w:pStyle w:val="ListParagraph"/>
        <w:numPr>
          <w:ilvl w:val="0"/>
          <w:numId w:val="3"/>
        </w:numPr>
        <w:spacing w:after="100"/>
      </w:pPr>
      <w:r>
        <w:rPr>
          <w:rFonts w:ascii="Arial" w:cs="Arial" w:eastAsia="Arial" w:hAnsi="Arial"/>
          <w:sz w:val="22"/>
          <w:szCs w:val="22"/>
        </w:rPr>
        <w:t xml:space="preserve">Save as provided for in this Agreement, each of the Parties agrees not to use any Data disclosed to it in terms of this Agreement in a way that is incompatible with the Purpose.</w:t>
      </w:r>
    </w:p>
    <w:p>
      <w:pPr>
        <w:pStyle w:val="ListParagraph"/>
        <w:numPr>
          <w:ilvl w:val="0"/>
          <w:numId w:val="3"/>
        </w:numPr>
        <w:spacing w:after="100"/>
      </w:pPr>
      <w:r>
        <w:rPr>
          <w:rFonts w:ascii="Arial" w:cs="Arial" w:eastAsia="Arial" w:hAnsi="Arial"/>
          <w:sz w:val="22"/>
          <w:szCs w:val="22"/>
        </w:rPr>
        <w:t xml:space="preserve">Each Party shall ensure that it Processes the Data fairly and lawfully in accordance with Data Protection Law and each Party, when acting as Disclosing Party, warrants to the other Party in relation to any Data disclosed, that such disclosure is justified by a Legal Basis.</w:t>
      </w:r>
    </w:p>
    <w:p>
      <w:pPr>
        <w:pStyle w:val="Heading2"/>
        <w:spacing w:after="120" w:before="240"/>
      </w:pPr>
      <w:r>
        <w:rPr>
          <w:rFonts w:ascii="Arial" w:cs="Arial" w:eastAsia="Arial" w:hAnsi="Arial"/>
          <w:b/>
          <w:bCs/>
          <w:sz w:val="24"/>
          <w:szCs w:val="24"/>
        </w:rPr>
        <w:t xml:space="preserve">2.2 Relationship of the Parties</w:t>
      </w:r>
    </w:p>
    <w:p>
      <w:pPr>
        <w:pStyle w:val="ListParagraph"/>
        <w:numPr>
          <w:ilvl w:val="0"/>
          <w:numId w:val="3"/>
        </w:numPr>
        <w:spacing w:after="100"/>
      </w:pPr>
      <w:r>
        <w:rPr>
          <w:rFonts w:ascii="Arial" w:cs="Arial" w:eastAsia="Arial" w:hAnsi="Arial"/>
          <w:sz w:val="22"/>
          <w:szCs w:val="22"/>
        </w:rPr>
        <w:t xml:space="preserve">The Parties agree that the factual circumstances in respect of Data transferred between them will determine whether the relationship is that of (i) independent Controller to Controller data sharing or (ii) Controller to Processor data processing. It is nevertheless envisaged by the Parties that the arrangement will primarily be one of Controller to Controller.</w:t>
      </w:r>
    </w:p>
    <w:p>
      <w:pPr>
        <w:pStyle w:val="ListParagraph"/>
        <w:numPr>
          <w:ilvl w:val="0"/>
          <w:numId w:val="3"/>
        </w:numPr>
        <w:spacing w:after="100"/>
      </w:pPr>
      <w:r>
        <w:rPr>
          <w:rFonts w:ascii="Arial" w:cs="Arial" w:eastAsia="Arial" w:hAnsi="Arial"/>
          <w:sz w:val="22"/>
          <w:szCs w:val="22"/>
        </w:rPr>
        <w:t xml:space="preserve">Where Data is being shared on a Controller to Controller basis the Receiving Party agrees that:</w:t>
      </w:r>
    </w:p>
    <w:p>
      <w:pPr>
        <w:pStyle w:val="ListParagraph"/>
        <w:numPr>
          <w:ilvl w:val="0"/>
          <w:numId w:val="2"/>
        </w:numPr>
        <w:spacing w:after="80"/>
      </w:pPr>
      <w:r>
        <w:rPr>
          <w:rFonts w:ascii="Arial" w:cs="Arial" w:eastAsia="Arial" w:hAnsi="Arial"/>
          <w:sz w:val="22"/>
          <w:szCs w:val="22"/>
        </w:rPr>
        <w:t xml:space="preserve">it is a separate and independent Controller in respect of that Data, and that the Parties are not joint Controllers;</w:t>
      </w:r>
    </w:p>
    <w:p>
      <w:pPr>
        <w:pStyle w:val="ListParagraph"/>
        <w:numPr>
          <w:ilvl w:val="0"/>
          <w:numId w:val="2"/>
        </w:numPr>
        <w:spacing w:after="80"/>
      </w:pPr>
      <w:r>
        <w:rPr>
          <w:rFonts w:ascii="Arial" w:cs="Arial" w:eastAsia="Arial" w:hAnsi="Arial"/>
          <w:sz w:val="22"/>
          <w:szCs w:val="22"/>
        </w:rPr>
        <w:t xml:space="preserve">it is responsible for complying with the obligations incumbent on it as a Controller under Data Protection Law (including responding to any Data Subject Request);</w:t>
      </w:r>
    </w:p>
    <w:p>
      <w:pPr>
        <w:pStyle w:val="ListParagraph"/>
        <w:numPr>
          <w:ilvl w:val="0"/>
          <w:numId w:val="2"/>
        </w:numPr>
        <w:spacing w:after="80"/>
      </w:pPr>
      <w:r>
        <w:rPr>
          <w:rFonts w:ascii="Arial" w:cs="Arial" w:eastAsia="Arial" w:hAnsi="Arial"/>
          <w:sz w:val="22"/>
          <w:szCs w:val="22"/>
        </w:rPr>
        <w:t xml:space="preserve">it shall not transfer any of the Data to outside the United Kingdom and the European Economic Area except to the extent agreed by the Disclosing Party; and</w:t>
      </w:r>
    </w:p>
    <w:p>
      <w:pPr>
        <w:pStyle w:val="ListParagraph"/>
        <w:numPr>
          <w:ilvl w:val="0"/>
          <w:numId w:val="2"/>
        </w:numPr>
        <w:spacing w:after="80"/>
      </w:pPr>
      <w:r>
        <w:rPr>
          <w:rFonts w:ascii="Arial" w:cs="Arial" w:eastAsia="Arial" w:hAnsi="Arial"/>
          <w:sz w:val="22"/>
          <w:szCs w:val="22"/>
        </w:rPr>
        <w:t xml:space="preserve">it shall implement appropriate technical and organisational measures including the security measures set out in Part 5 of the Schedule (the “Security Measures”), so as to ensure an appropriate level of security is adopted to mitigate the risks associated with its Processing of the Data, including against unauthorised or unlawful Processing, accidental or unlawful destruction, loss, alteration, unauthorised disclosure of or damage or access to such Data.</w:t>
      </w:r>
    </w:p>
    <w:p>
      <w:pPr>
        <w:pStyle w:val="ListParagraph"/>
        <w:numPr>
          <w:ilvl w:val="0"/>
          <w:numId w:val="3"/>
        </w:numPr>
        <w:spacing w:after="100"/>
      </w:pPr>
      <w:r>
        <w:rPr>
          <w:rFonts w:ascii="Arial" w:cs="Arial" w:eastAsia="Arial" w:hAnsi="Arial"/>
          <w:sz w:val="22"/>
          <w:szCs w:val="22"/>
        </w:rPr>
        <w:t xml:space="preserve">The Disclosing Party agrees and undertakes to notify the Receiving Party as soon as practicable if an error is discovered in Data which has been provided to the Receiving Party, to ensure that the Receiving Party is then able to correct its records. This will happen whether the error is discovered through existing Data quality initiatives or is flagged up through some other route (such as the existence of errors being directly notified to the Disclosing Party by the Data Subjects themselves).</w:t>
      </w:r>
    </w:p>
    <w:p>
      <w:pPr>
        <w:pStyle w:val="ListParagraph"/>
        <w:numPr>
          <w:ilvl w:val="0"/>
          <w:numId w:val="3"/>
        </w:numPr>
        <w:spacing w:after="100"/>
      </w:pPr>
      <w:r>
        <w:rPr>
          <w:rFonts w:ascii="Arial" w:cs="Arial" w:eastAsia="Arial" w:hAnsi="Arial"/>
          <w:sz w:val="22"/>
          <w:szCs w:val="22"/>
        </w:rPr>
        <w:t xml:space="preserve">The Parties shall seek to act by agreement in determining how to discharge their responsibilities and for these purposes each Party shall appoint a Representative who shall have authority to bind the Party whom they represent on all matters within the scope of the matters set out in this Agreement. The Representatives shall meet or otherwise communicate with each other on a regular basis to discuss the responsibilities of the parties under this Agreement, without limitation such discussions shall include (i) information exchange, (ii) Data quality and (iii) business continuity and service recovery.</w:t>
      </w:r>
    </w:p>
    <w:p>
      <w:pPr>
        <w:pStyle w:val="ListParagraph"/>
        <w:numPr>
          <w:ilvl w:val="0"/>
          <w:numId w:val="3"/>
        </w:numPr>
        <w:spacing w:after="100"/>
      </w:pPr>
      <w:r>
        <w:rPr>
          <w:rFonts w:ascii="Arial" w:cs="Arial" w:eastAsia="Arial" w:hAnsi="Arial"/>
          <w:sz w:val="22"/>
          <w:szCs w:val="22"/>
        </w:rPr>
        <w:t xml:space="preserve">If and when data is to be transferred between the Parties on a Controller to Processor basis, the provisions of Part 6 of the Schedule (Data Processing Terms) shall apply, and the Parties hereby agree and undertake to comply with such provisions whenever relevant. Where those provisions are to be engaged (and where possible prior to such processing occurring) the Parties shall, as soon as practicable, populate the ‘Data Processing Details’ specified in Part 6 of the Schedule to ensure compliance with Data Protection Law.</w:t>
      </w:r>
    </w:p>
    <w:p>
      <w:pPr>
        <w:pStyle w:val="ListParagraph"/>
        <w:numPr>
          <w:ilvl w:val="0"/>
          <w:numId w:val="3"/>
        </w:numPr>
        <w:spacing w:after="100"/>
      </w:pPr>
      <w:r>
        <w:rPr>
          <w:rFonts w:ascii="Arial" w:cs="Arial" w:eastAsia="Arial" w:hAnsi="Arial"/>
          <w:sz w:val="22"/>
          <w:szCs w:val="22"/>
        </w:rPr>
        <w:t xml:space="preserve">Any decisions shall be agreed and documented in writing by the Representatives (and signed) and any disputes or disagreements may be referred by either Representative for resolution in accordance with Clause 7 (Dispute Resolution). The initial Representatives of each Party are detailed in Part 4 of the Schedule.</w:t>
      </w:r>
    </w:p>
    <w:p>
      <w:pPr>
        <w:pStyle w:val="Heading2"/>
        <w:spacing w:after="120" w:before="240"/>
      </w:pPr>
      <w:r>
        <w:rPr>
          <w:rFonts w:ascii="Arial" w:cs="Arial" w:eastAsia="Arial" w:hAnsi="Arial"/>
          <w:b/>
          <w:bCs/>
          <w:sz w:val="24"/>
          <w:szCs w:val="24"/>
        </w:rPr>
        <w:t xml:space="preserve">2.3 Transferring Data</w:t>
      </w:r>
    </w:p>
    <w:p>
      <w:pPr>
        <w:pStyle w:val="ListParagraph"/>
        <w:numPr>
          <w:ilvl w:val="0"/>
          <w:numId w:val="3"/>
        </w:numPr>
        <w:spacing w:after="100"/>
      </w:pPr>
      <w:r>
        <w:rPr>
          <w:rFonts w:ascii="Arial" w:cs="Arial" w:eastAsia="Arial" w:hAnsi="Arial"/>
          <w:sz w:val="22"/>
          <w:szCs w:val="22"/>
        </w:rPr>
        <w:t xml:space="preserve">Subject to the Receiving Party’s compliance with the terms of this Agreement, the Disclosing Party undertakes to endeavour to provide the Data to the Receiving Party on a non-exclusive basis in accordance with the transfer arrangements detailed in Part 3 of the Schedule.</w:t>
      </w:r>
    </w:p>
    <w:p>
      <w:pPr>
        <w:pStyle w:val="Heading1"/>
        <w:spacing w:after="180" w:before="320"/>
      </w:pPr>
      <w:r>
        <w:rPr>
          <w:rFonts w:ascii="Arial" w:cs="Arial" w:eastAsia="Arial" w:hAnsi="Arial"/>
          <w:b/>
          <w:bCs/>
          <w:sz w:val="28"/>
          <w:szCs w:val="28"/>
        </w:rPr>
        <w:t xml:space="preserve">3. FREEDOM OF INFORMATION</w:t>
      </w:r>
    </w:p>
    <w:p>
      <w:pPr>
        <w:pStyle w:val="ListParagraph"/>
        <w:numPr>
          <w:ilvl w:val="0"/>
          <w:numId w:val="3"/>
        </w:numPr>
        <w:spacing w:after="100"/>
      </w:pPr>
      <w:r>
        <w:rPr>
          <w:rFonts w:ascii="Arial" w:cs="Arial" w:eastAsia="Arial" w:hAnsi="Arial"/>
          <w:sz w:val="22"/>
          <w:szCs w:val="22"/>
        </w:rPr>
        <w:t xml:space="preserve">MCR acknowledges the Academy’s obligations under FOIA and agrees that the Academy shall be entitled to disclose information relating to this Agreement to any person on request where it considers, in its absolute discretion, it is required in terms of FOIA (subject to a “Request for Information”) to disclose such information or such disclosure would otherwise be in the public interest to disclose. For the avoidance of doubt, MCR acknowledges and agrees that any decision as to whether any exemption applies to a FOIA request for disclosure of information (and/or, where appropriate, whether the public interest in disclosing the information is outweighed by that in maintaining that exemption) is a decision solely for the Academy.</w:t>
      </w:r>
    </w:p>
    <w:p>
      <w:pPr>
        <w:pStyle w:val="ListParagraph"/>
        <w:numPr>
          <w:ilvl w:val="0"/>
          <w:numId w:val="3"/>
        </w:numPr>
        <w:spacing w:after="100"/>
      </w:pPr>
      <w:r>
        <w:rPr>
          <w:rFonts w:ascii="Arial" w:cs="Arial" w:eastAsia="Arial" w:hAnsi="Arial"/>
          <w:sz w:val="22"/>
          <w:szCs w:val="22"/>
        </w:rPr>
        <w:t xml:space="preserve">Without prejudice to the provisions of Clause 3.1, the Academy hereby agrees that, prior to releasing any information belonging or relating to MCR and/or relating to this Agreement in response to a Request for Information, the Academy shall discuss and consult with MCR regarding such request and shall give due consideration to the views of MCR.</w:t>
      </w:r>
    </w:p>
    <w:p>
      <w:pPr>
        <w:pStyle w:val="Heading1"/>
        <w:spacing w:after="180" w:before="320"/>
      </w:pPr>
      <w:r>
        <w:rPr>
          <w:rFonts w:ascii="Arial" w:cs="Arial" w:eastAsia="Arial" w:hAnsi="Arial"/>
          <w:b/>
          <w:bCs/>
          <w:sz w:val="28"/>
          <w:szCs w:val="28"/>
        </w:rPr>
        <w:t xml:space="preserve">4. BREACH NOTIFICATION</w:t>
      </w:r>
    </w:p>
    <w:p>
      <w:pPr>
        <w:pStyle w:val="ListParagraph"/>
        <w:numPr>
          <w:ilvl w:val="0"/>
          <w:numId w:val="3"/>
        </w:numPr>
        <w:spacing w:after="100"/>
      </w:pPr>
      <w:r>
        <w:rPr>
          <w:rFonts w:ascii="Arial" w:cs="Arial" w:eastAsia="Arial" w:hAnsi="Arial"/>
          <w:sz w:val="22"/>
          <w:szCs w:val="22"/>
        </w:rPr>
        <w:t xml:space="preserve">Each Party shall, promptly (and, in any event, no later than 24 hours after becoming aware of the same), inform the other party of any Personal Data Breach or suspected Personal Data Breach affecting Data that has been shared pursuant to this Agreement. Such notification shall specify (as a minimum):</w:t>
      </w:r>
    </w:p>
    <w:p>
      <w:pPr>
        <w:pStyle w:val="ListParagraph"/>
        <w:numPr>
          <w:ilvl w:val="0"/>
          <w:numId w:val="2"/>
        </w:numPr>
        <w:spacing w:after="80"/>
      </w:pPr>
      <w:r>
        <w:rPr>
          <w:rFonts w:ascii="Arial" w:cs="Arial" w:eastAsia="Arial" w:hAnsi="Arial"/>
          <w:sz w:val="22"/>
          <w:szCs w:val="22"/>
        </w:rPr>
        <w:t xml:space="preserve">the nature of the Personal Data Breach or suspected breach;</w:t>
      </w:r>
    </w:p>
    <w:p>
      <w:pPr>
        <w:pStyle w:val="ListParagraph"/>
        <w:numPr>
          <w:ilvl w:val="0"/>
          <w:numId w:val="2"/>
        </w:numPr>
        <w:spacing w:after="80"/>
      </w:pPr>
      <w:r>
        <w:rPr>
          <w:rFonts w:ascii="Arial" w:cs="Arial" w:eastAsia="Arial" w:hAnsi="Arial"/>
          <w:sz w:val="22"/>
          <w:szCs w:val="22"/>
        </w:rPr>
        <w:t xml:space="preserve">the date and time of occurrence;</w:t>
      </w:r>
    </w:p>
    <w:p>
      <w:pPr>
        <w:pStyle w:val="ListParagraph"/>
        <w:numPr>
          <w:ilvl w:val="0"/>
          <w:numId w:val="2"/>
        </w:numPr>
        <w:spacing w:after="80"/>
      </w:pPr>
      <w:r>
        <w:rPr>
          <w:rFonts w:ascii="Arial" w:cs="Arial" w:eastAsia="Arial" w:hAnsi="Arial"/>
          <w:sz w:val="22"/>
          <w:szCs w:val="22"/>
        </w:rPr>
        <w:t xml:space="preserve">the extent of the Data and Data Subjects affected or potentially affected, the likely consequences of such breach (in the case of a suspected breach, should it have occurred) for Data Subjects affected by it and any measures taken or proposed to be taken by the that party to contain the breach or suspected breach; and</w:t>
      </w:r>
    </w:p>
    <w:p>
      <w:pPr>
        <w:pStyle w:val="ListParagraph"/>
        <w:numPr>
          <w:ilvl w:val="0"/>
          <w:numId w:val="2"/>
        </w:numPr>
        <w:spacing w:after="80"/>
      </w:pPr>
      <w:r>
        <w:rPr>
          <w:rFonts w:ascii="Arial" w:cs="Arial" w:eastAsia="Arial" w:hAnsi="Arial"/>
          <w:sz w:val="22"/>
          <w:szCs w:val="22"/>
        </w:rPr>
        <w:t xml:space="preserve">any other information that the other Party shall require in order to discharge its responsibilities under Data Protection Law in relation to such breach or suspected breach.</w:t>
      </w:r>
    </w:p>
    <w:p>
      <w:pPr>
        <w:pStyle w:val="ListParagraph"/>
        <w:numPr>
          <w:ilvl w:val="0"/>
          <w:numId w:val="3"/>
        </w:numPr>
        <w:spacing w:after="100"/>
      </w:pPr>
      <w:r>
        <w:rPr>
          <w:rFonts w:ascii="Arial" w:cs="Arial" w:eastAsia="Arial" w:hAnsi="Arial"/>
          <w:sz w:val="22"/>
          <w:szCs w:val="22"/>
        </w:rPr>
        <w:t xml:space="preserve">The Party that has suffered the breach or suspected breach shall thereafter promptly, at the other Party's request (i) provide the other Party with all such information as that other Party requests in connection with such occurrence; (ii) take such steps as the other Party requires it to take to mitigate the detrimental effects of any such breach or suspected breach on any of the Data Subjects and/or on the other Party; and (iii) otherwise cooperate with the other Party in investigating and dealing with such breach or suspected breach and its consequences, including if it is determined that a notification needs to be made to the Information Commissioner and/or any of the affected Data Subjects.</w:t>
      </w:r>
    </w:p>
    <w:p>
      <w:pPr>
        <w:pStyle w:val="ListParagraph"/>
        <w:numPr>
          <w:ilvl w:val="0"/>
          <w:numId w:val="3"/>
        </w:numPr>
        <w:spacing w:after="100"/>
      </w:pPr>
      <w:r>
        <w:rPr>
          <w:rFonts w:ascii="Arial" w:cs="Arial" w:eastAsia="Arial" w:hAnsi="Arial"/>
          <w:sz w:val="22"/>
          <w:szCs w:val="22"/>
        </w:rPr>
        <w:t xml:space="preserve">The rights conferred under this Clause 4 are without prejudice to any other rights and remedies for breach of this Agreement whether in contract or otherwise in law.</w:t>
      </w:r>
    </w:p>
    <w:p>
      <w:pPr>
        <w:pStyle w:val="Heading1"/>
        <w:spacing w:after="180" w:before="320"/>
      </w:pPr>
      <w:r>
        <w:rPr>
          <w:rFonts w:ascii="Arial" w:cs="Arial" w:eastAsia="Arial" w:hAnsi="Arial"/>
          <w:b/>
          <w:bCs/>
          <w:sz w:val="28"/>
          <w:szCs w:val="28"/>
        </w:rPr>
        <w:t xml:space="preserve">5. DURATION, REVIEW AND AMENDMENT</w:t>
      </w:r>
    </w:p>
    <w:p>
      <w:pPr>
        <w:pStyle w:val="ListParagraph"/>
        <w:numPr>
          <w:ilvl w:val="0"/>
          <w:numId w:val="3"/>
        </w:numPr>
        <w:spacing w:after="100"/>
      </w:pPr>
      <w:r>
        <w:rPr>
          <w:rFonts w:ascii="Arial" w:cs="Arial" w:eastAsia="Arial" w:hAnsi="Arial"/>
          <w:sz w:val="22"/>
          <w:szCs w:val="22"/>
        </w:rPr>
        <w:t xml:space="preserve">This Agreement shall come into force on the Commencement Date and continue for the duration of the Service; unless terminated earlier by the Disclosing Party in accordance with Clause 5.5.</w:t>
      </w:r>
    </w:p>
    <w:p>
      <w:pPr>
        <w:pStyle w:val="ListParagraph"/>
        <w:numPr>
          <w:ilvl w:val="0"/>
          <w:numId w:val="3"/>
        </w:numPr>
        <w:spacing w:after="100"/>
      </w:pPr>
      <w:r>
        <w:rPr>
          <w:rFonts w:ascii="Arial" w:cs="Arial" w:eastAsia="Arial" w:hAnsi="Arial"/>
          <w:sz w:val="22"/>
          <w:szCs w:val="22"/>
        </w:rPr>
        <w:t xml:space="preserve">This Agreement may be reviewed at the Academy’s or MCR’s discretion after it comes into force.</w:t>
      </w:r>
    </w:p>
    <w:p>
      <w:pPr>
        <w:pStyle w:val="ListParagraph"/>
        <w:numPr>
          <w:ilvl w:val="0"/>
          <w:numId w:val="3"/>
        </w:numPr>
        <w:spacing w:after="100"/>
      </w:pPr>
      <w:r>
        <w:rPr>
          <w:rFonts w:ascii="Arial" w:cs="Arial" w:eastAsia="Arial" w:hAnsi="Arial"/>
          <w:sz w:val="22"/>
          <w:szCs w:val="22"/>
        </w:rPr>
        <w:t xml:space="preserve">Without prejudice to Clause 5.2, the Parties will review this Agreement and the operational arrangements which give effect to it, if any of the following events takes place:</w:t>
      </w:r>
    </w:p>
    <w:p>
      <w:pPr>
        <w:pStyle w:val="ListParagraph"/>
        <w:numPr>
          <w:ilvl w:val="0"/>
          <w:numId w:val="2"/>
        </w:numPr>
        <w:spacing w:after="80"/>
      </w:pPr>
      <w:r>
        <w:rPr>
          <w:rFonts w:ascii="Arial" w:cs="Arial" w:eastAsia="Arial" w:hAnsi="Arial"/>
          <w:sz w:val="22"/>
          <w:szCs w:val="22"/>
        </w:rPr>
        <w:t xml:space="preserve">the terms of this Agreement have been breached in any material aspect, including any Personal Data Breach or other data loss incident in respect of Data which is subject to this Agreement; or</w:t>
      </w:r>
    </w:p>
    <w:p>
      <w:pPr>
        <w:pStyle w:val="ListParagraph"/>
        <w:numPr>
          <w:ilvl w:val="0"/>
          <w:numId w:val="2"/>
        </w:numPr>
        <w:spacing w:after="80"/>
      </w:pPr>
      <w:r>
        <w:rPr>
          <w:rFonts w:ascii="Arial" w:cs="Arial" w:eastAsia="Arial" w:hAnsi="Arial"/>
          <w:sz w:val="22"/>
          <w:szCs w:val="22"/>
        </w:rPr>
        <w:t xml:space="preserve">the Information Commissioner or any of his or her authorised staff recommends that the Agreement be reviewed.</w:t>
      </w:r>
    </w:p>
    <w:p>
      <w:pPr>
        <w:pStyle w:val="ListParagraph"/>
        <w:numPr>
          <w:ilvl w:val="0"/>
          <w:numId w:val="3"/>
        </w:numPr>
        <w:spacing w:after="100"/>
      </w:pPr>
      <w:r>
        <w:rPr>
          <w:rFonts w:ascii="Arial" w:cs="Arial" w:eastAsia="Arial" w:hAnsi="Arial"/>
          <w:sz w:val="22"/>
          <w:szCs w:val="22"/>
        </w:rPr>
        <w:t xml:space="preserve">Any amendments to this Agreement will only be effective when contained within a formal amendment document which is formally executed in writing by both Parties.</w:t>
      </w:r>
    </w:p>
    <w:p>
      <w:pPr>
        <w:pStyle w:val="ListParagraph"/>
        <w:numPr>
          <w:ilvl w:val="0"/>
          <w:numId w:val="3"/>
        </w:numPr>
        <w:spacing w:after="100"/>
      </w:pPr>
      <w:r>
        <w:rPr>
          <w:rFonts w:ascii="Arial" w:cs="Arial" w:eastAsia="Arial" w:hAnsi="Arial"/>
          <w:sz w:val="22"/>
          <w:szCs w:val="22"/>
        </w:rPr>
        <w:t xml:space="preserve">In the event that the Disclosing Party has any reason to believe that the Receiving Party is in breach of any of its obligations under this Agreement, the Disclosing Party may at its sole discretion:</w:t>
      </w:r>
    </w:p>
    <w:p>
      <w:pPr>
        <w:pStyle w:val="ListParagraph"/>
        <w:numPr>
          <w:ilvl w:val="0"/>
          <w:numId w:val="2"/>
        </w:numPr>
        <w:spacing w:after="80"/>
      </w:pPr>
      <w:r>
        <w:rPr>
          <w:rFonts w:ascii="Arial" w:cs="Arial" w:eastAsia="Arial" w:hAnsi="Arial"/>
          <w:sz w:val="22"/>
          <w:szCs w:val="22"/>
        </w:rPr>
        <w:t xml:space="preserve">suspend the sharing of Data until such time as the Disclosing Party is reasonably satisfied that such breach will not re-occur; and/or</w:t>
      </w:r>
    </w:p>
    <w:p>
      <w:pPr>
        <w:pStyle w:val="ListParagraph"/>
        <w:numPr>
          <w:ilvl w:val="0"/>
          <w:numId w:val="2"/>
        </w:numPr>
        <w:spacing w:after="80"/>
      </w:pPr>
      <w:r>
        <w:rPr>
          <w:rFonts w:ascii="Arial" w:cs="Arial" w:eastAsia="Arial" w:hAnsi="Arial"/>
          <w:sz w:val="22"/>
          <w:szCs w:val="22"/>
        </w:rPr>
        <w:t xml:space="preserve">terminate this Agreement immediately by written notice to the Receiving Party if the Receiving Party commits a material breach of this Agreement which (in the case of a breach capable of a remedy) it does not remedy within ten (10) Business Days of receiving written notice of the breach.</w:t>
      </w:r>
    </w:p>
    <w:p>
      <w:pPr>
        <w:pStyle w:val="ListParagraph"/>
        <w:numPr>
          <w:ilvl w:val="0"/>
          <w:numId w:val="3"/>
        </w:numPr>
        <w:spacing w:after="100"/>
      </w:pPr>
      <w:r>
        <w:rPr>
          <w:rFonts w:ascii="Arial" w:cs="Arial" w:eastAsia="Arial" w:hAnsi="Arial"/>
          <w:sz w:val="22"/>
          <w:szCs w:val="22"/>
        </w:rPr>
        <w:t xml:space="preserve">Where the Disclosing Party exercises its rights under Clause 5.5, it may request the return of the Data (in which case the Receiving Party shall, no later than ten (10) Business Days after receipt of such a written request from the Disclosing Party, at the Disclosing Party’s option, return or permanently erase/destroy all materials held by or under the control of the Receiving Party which contain or reflect the Data and shall not retain any copies, extracts or other reproductions of the Data either in whole or in part), save that the Receiving Party will be permitted to retain one copy for the purpose of complying with, and for so long as required by, any law or judicial or administrative process or for its legitimate internal compliance and/or record keeping requirements.</w:t>
      </w:r>
    </w:p>
    <w:p>
      <w:pPr>
        <w:pStyle w:val="Heading1"/>
        <w:spacing w:after="180" w:before="320"/>
      </w:pPr>
      <w:r>
        <w:rPr>
          <w:rFonts w:ascii="Arial" w:cs="Arial" w:eastAsia="Arial" w:hAnsi="Arial"/>
          <w:b/>
          <w:bCs/>
          <w:sz w:val="28"/>
          <w:szCs w:val="28"/>
        </w:rPr>
        <w:t xml:space="preserve">6. LIABILITY</w:t>
      </w:r>
    </w:p>
    <w:p>
      <w:pPr>
        <w:pStyle w:val="ListParagraph"/>
        <w:numPr>
          <w:ilvl w:val="0"/>
          <w:numId w:val="3"/>
        </w:numPr>
        <w:spacing w:after="100"/>
      </w:pPr>
      <w:r>
        <w:rPr>
          <w:rFonts w:ascii="Arial" w:cs="Arial" w:eastAsia="Arial" w:hAnsi="Arial"/>
          <w:sz w:val="22"/>
          <w:szCs w:val="22"/>
        </w:rPr>
        <w:t xml:space="preserve">Nothing in this Agreement limits or excludes the liability of either Party for:</w:t>
      </w:r>
    </w:p>
    <w:p>
      <w:pPr>
        <w:pStyle w:val="ListParagraph"/>
        <w:numPr>
          <w:ilvl w:val="0"/>
          <w:numId w:val="2"/>
        </w:numPr>
        <w:spacing w:after="80"/>
      </w:pPr>
      <w:r>
        <w:rPr>
          <w:rFonts w:ascii="Arial" w:cs="Arial" w:eastAsia="Arial" w:hAnsi="Arial"/>
          <w:sz w:val="22"/>
          <w:szCs w:val="22"/>
        </w:rPr>
        <w:t xml:space="preserve">death or personal injury resulting from its negligence; or</w:t>
      </w:r>
    </w:p>
    <w:p>
      <w:pPr>
        <w:pStyle w:val="ListParagraph"/>
        <w:numPr>
          <w:ilvl w:val="0"/>
          <w:numId w:val="2"/>
        </w:numPr>
        <w:spacing w:after="80"/>
      </w:pPr>
      <w:r>
        <w:rPr>
          <w:rFonts w:ascii="Arial" w:cs="Arial" w:eastAsia="Arial" w:hAnsi="Arial"/>
          <w:sz w:val="22"/>
          <w:szCs w:val="22"/>
        </w:rPr>
        <w:t xml:space="preserve">any damage or liability incurred as a result of fraud by its personnel; or</w:t>
      </w:r>
    </w:p>
    <w:p>
      <w:pPr>
        <w:pStyle w:val="ListParagraph"/>
        <w:numPr>
          <w:ilvl w:val="0"/>
          <w:numId w:val="2"/>
        </w:numPr>
        <w:spacing w:after="80"/>
      </w:pPr>
      <w:r>
        <w:rPr>
          <w:rFonts w:ascii="Arial" w:cs="Arial" w:eastAsia="Arial" w:hAnsi="Arial"/>
          <w:sz w:val="22"/>
          <w:szCs w:val="22"/>
        </w:rPr>
        <w:t xml:space="preserve">any other matter to the extent that the exclusion or limitation of liability for that matter is not permitted by law.</w:t>
      </w:r>
    </w:p>
    <w:p>
      <w:pPr>
        <w:pStyle w:val="ListParagraph"/>
        <w:numPr>
          <w:ilvl w:val="0"/>
          <w:numId w:val="3"/>
        </w:numPr>
        <w:spacing w:after="100"/>
      </w:pPr>
      <w:r>
        <w:rPr>
          <w:rFonts w:ascii="Arial" w:cs="Arial" w:eastAsia="Arial" w:hAnsi="Arial"/>
          <w:sz w:val="22"/>
          <w:szCs w:val="22"/>
        </w:rPr>
        <w:t xml:space="preserve">The Receiving Party indemnifies the Disclosing Party against any losses, costs, damages, awards of compensation, any monetary penalty notices or administrative fines for breach of Data Protection Law and/or expenses (including legal fees and expenses) suffered, incurred by the Disclosing Party, or awarded, levied or imposed against the other party, as a result of any breach by the Receiving Party of its obligations under this Agreement.</w:t>
      </w:r>
    </w:p>
    <w:p>
      <w:pPr>
        <w:pStyle w:val="ListParagraph"/>
        <w:numPr>
          <w:ilvl w:val="0"/>
          <w:numId w:val="3"/>
        </w:numPr>
        <w:spacing w:after="100"/>
      </w:pPr>
      <w:r>
        <w:rPr>
          <w:rFonts w:ascii="Arial" w:cs="Arial" w:eastAsia="Arial" w:hAnsi="Arial"/>
          <w:sz w:val="22"/>
          <w:szCs w:val="22"/>
        </w:rPr>
        <w:t xml:space="preserve">Subject to Clauses 6.1 and 6.2 above:</w:t>
      </w:r>
    </w:p>
    <w:p>
      <w:pPr>
        <w:pStyle w:val="ListParagraph"/>
        <w:numPr>
          <w:ilvl w:val="0"/>
          <w:numId w:val="2"/>
        </w:numPr>
        <w:spacing w:after="80"/>
      </w:pPr>
      <w:r>
        <w:rPr>
          <w:rFonts w:ascii="Arial" w:cs="Arial" w:eastAsia="Arial" w:hAnsi="Arial"/>
          <w:sz w:val="22"/>
          <w:szCs w:val="22"/>
        </w:rPr>
        <w:t xml:space="preserve">each Party excludes all liability for breach of any conditions implied by law (including any conditions of accuracy, security, completeness, satisfactory quality, fitness for purpose, freedom from viruses, worms, trojans or other hostile computer programs, non-infringement of proprietary rights and the use of reasonable care and skill) which but for this Agreement might have effect in relation to the Data;</w:t>
      </w:r>
    </w:p>
    <w:p>
      <w:pPr>
        <w:pStyle w:val="ListParagraph"/>
        <w:numPr>
          <w:ilvl w:val="0"/>
          <w:numId w:val="2"/>
        </w:numPr>
        <w:spacing w:after="80"/>
      </w:pPr>
      <w:r>
        <w:rPr>
          <w:rFonts w:ascii="Arial" w:cs="Arial" w:eastAsia="Arial" w:hAnsi="Arial"/>
          <w:sz w:val="22"/>
          <w:szCs w:val="22"/>
        </w:rPr>
        <w:t xml:space="preserve">neither Party shall in any circumstances be liable to the other party for any actions, claims, demands, liabilities, damages, losses, costs, charges and expenses that the other party may suffer or incur in connection with, or arising (directly or indirectly) from, any use of or reliance on the Data; and</w:t>
      </w:r>
    </w:p>
    <w:p>
      <w:pPr>
        <w:pStyle w:val="ListParagraph"/>
        <w:numPr>
          <w:ilvl w:val="0"/>
          <w:numId w:val="2"/>
        </w:numPr>
        <w:spacing w:after="80"/>
      </w:pPr>
      <w:r>
        <w:rPr>
          <w:rFonts w:ascii="Arial" w:cs="Arial" w:eastAsia="Arial" w:hAnsi="Arial"/>
          <w:sz w:val="22"/>
          <w:szCs w:val="22"/>
        </w:rPr>
        <w:t xml:space="preserve">use of the Data by both Parties is entirely at their own risk and each party shall make its own decisions based on the Data, notwithstanding that this Clause shall not prevent one party from offering clarification and guidance to the other party as to appropriate interpretation of the Data.</w:t>
      </w:r>
    </w:p>
    <w:p>
      <w:pPr>
        <w:pStyle w:val="Heading1"/>
        <w:spacing w:after="180" w:before="320"/>
      </w:pPr>
      <w:r>
        <w:rPr>
          <w:rFonts w:ascii="Arial" w:cs="Arial" w:eastAsia="Arial" w:hAnsi="Arial"/>
          <w:b/>
          <w:bCs/>
          <w:sz w:val="28"/>
          <w:szCs w:val="28"/>
        </w:rPr>
        <w:t xml:space="preserve">7. DISPUTE RESOLUTION</w:t>
      </w:r>
    </w:p>
    <w:p>
      <w:pPr>
        <w:pStyle w:val="ListParagraph"/>
        <w:numPr>
          <w:ilvl w:val="0"/>
          <w:numId w:val="3"/>
        </w:numPr>
        <w:spacing w:after="100"/>
      </w:pPr>
      <w:r>
        <w:rPr>
          <w:rFonts w:ascii="Arial" w:cs="Arial" w:eastAsia="Arial" w:hAnsi="Arial"/>
          <w:sz w:val="22"/>
          <w:szCs w:val="22"/>
        </w:rPr>
        <w:t xml:space="preserve">The Parties hereby agree to act in good faith at all times to attempt to resolve any dispute or difference relating to the subject matter of, and arising under, this Agreement.</w:t>
      </w:r>
    </w:p>
    <w:p>
      <w:pPr>
        <w:pStyle w:val="ListParagraph"/>
        <w:numPr>
          <w:ilvl w:val="0"/>
          <w:numId w:val="3"/>
        </w:numPr>
        <w:spacing w:after="100"/>
      </w:pPr>
      <w:r>
        <w:rPr>
          <w:rFonts w:ascii="Arial" w:cs="Arial" w:eastAsia="Arial" w:hAnsi="Arial"/>
          <w:sz w:val="22"/>
          <w:szCs w:val="22"/>
        </w:rPr>
        <w:t xml:space="preserve">If the Representatives dealing with a dispute or difference are unable to resolve this themselves within twenty (20) Business Days of the issue arising, the matter shall be escalated to the individuals in Part 4 of the Schedule identified as escalation points who will endeavour in good faith to resolve the issue.</w:t>
      </w:r>
    </w:p>
    <w:p>
      <w:pPr>
        <w:pStyle w:val="ListParagraph"/>
        <w:numPr>
          <w:ilvl w:val="0"/>
          <w:numId w:val="3"/>
        </w:numPr>
        <w:spacing w:after="100"/>
      </w:pPr>
      <w:r>
        <w:rPr>
          <w:rFonts w:ascii="Arial" w:cs="Arial" w:eastAsia="Arial" w:hAnsi="Arial"/>
          <w:sz w:val="22"/>
          <w:szCs w:val="22"/>
        </w:rPr>
        <w:t xml:space="preserve">In the event that the Parties are unable to resolve the dispute amicably within a period of twenty (20) Business Days from date on which the dispute or difference was escalated in terms of Clause 7.2, the matter may be referred to a mutually agreed mediator. If the identity of the mediator cannot be agreed, a mediator shall be chosen by the Dean of the Royal Faculty of Procurators in Glasgow or the equivalent office holder in the local authority area.</w:t>
      </w:r>
    </w:p>
    <w:p>
      <w:pPr>
        <w:pStyle w:val="ListParagraph"/>
        <w:numPr>
          <w:ilvl w:val="0"/>
          <w:numId w:val="3"/>
        </w:numPr>
        <w:spacing w:after="100"/>
      </w:pPr>
      <w:r>
        <w:rPr>
          <w:rFonts w:ascii="Arial" w:cs="Arial" w:eastAsia="Arial" w:hAnsi="Arial"/>
          <w:sz w:val="22"/>
          <w:szCs w:val="22"/>
        </w:rPr>
        <w:t xml:space="preserve">If mediation fails to resolve the dispute or if the chosen mediator indicates that the dispute is not suitable for mediation, and the Parties remain unable to resolve any dispute or difference in accordance with Clauses 7.1 to 7.3, then either Party may, by notice in writing to the other Party, refer the dispute for determination by the courts in accordance with Clause 9 (Governing Law).</w:t>
      </w:r>
    </w:p>
    <w:p>
      <w:pPr>
        <w:pStyle w:val="ListParagraph"/>
        <w:numPr>
          <w:ilvl w:val="0"/>
          <w:numId w:val="3"/>
        </w:numPr>
        <w:spacing w:after="100"/>
      </w:pPr>
      <w:r>
        <w:rPr>
          <w:rFonts w:ascii="Arial" w:cs="Arial" w:eastAsia="Arial" w:hAnsi="Arial"/>
          <w:sz w:val="22"/>
          <w:szCs w:val="22"/>
        </w:rPr>
        <w:t xml:space="preserve">The provisions of Clauses 7.1 to 7.4 do not prevent either Party from applying for an interim court order whilst the Parties attempt to resolve a dispute.</w:t>
      </w:r>
    </w:p>
    <w:p>
      <w:pPr>
        <w:pStyle w:val="Heading1"/>
        <w:spacing w:after="180" w:before="320"/>
      </w:pPr>
      <w:r>
        <w:rPr>
          <w:rFonts w:ascii="Arial" w:cs="Arial" w:eastAsia="Arial" w:hAnsi="Arial"/>
          <w:b/>
          <w:bCs/>
          <w:sz w:val="28"/>
          <w:szCs w:val="28"/>
        </w:rPr>
        <w:t xml:space="preserve">8. CONFIDENTIALITY</w:t>
      </w:r>
    </w:p>
    <w:p>
      <w:pPr>
        <w:pStyle w:val="ListParagraph"/>
        <w:numPr>
          <w:ilvl w:val="0"/>
          <w:numId w:val="3"/>
        </w:numPr>
        <w:spacing w:after="100"/>
      </w:pPr>
      <w:r>
        <w:rPr>
          <w:rFonts w:ascii="Arial" w:cs="Arial" w:eastAsia="Arial" w:hAnsi="Arial"/>
          <w:sz w:val="22"/>
          <w:szCs w:val="22"/>
        </w:rPr>
        <w:t xml:space="preserve">Where the Data includes the disclosure of information of a confidential nature, the provisions of this Clause 8 shall apply.</w:t>
      </w:r>
    </w:p>
    <w:p>
      <w:pPr>
        <w:pStyle w:val="ListParagraph"/>
        <w:numPr>
          <w:ilvl w:val="0"/>
          <w:numId w:val="3"/>
        </w:numPr>
        <w:spacing w:after="100"/>
      </w:pPr>
      <w:r>
        <w:rPr>
          <w:rFonts w:ascii="Arial" w:cs="Arial" w:eastAsia="Arial" w:hAnsi="Arial"/>
          <w:sz w:val="22"/>
          <w:szCs w:val="22"/>
        </w:rPr>
        <w:t xml:space="preserve">On the termination of this Agreement for whatever reason, notwithstanding that the Academy has the express right to have returned to it all the Young Person's Personal Data and Confidential Information provided by the Academy to MCR in the course of this Agreement within ten (10) Business Days of its termination, MCR shall liaise directly with the Academy to agree a procedure relative to return to the Academy of the said Personal Data and Confidential Information.</w:t>
      </w:r>
    </w:p>
    <w:p>
      <w:pPr>
        <w:pStyle w:val="ListParagraph"/>
        <w:numPr>
          <w:ilvl w:val="0"/>
          <w:numId w:val="3"/>
        </w:numPr>
        <w:spacing w:after="100"/>
      </w:pPr>
      <w:r>
        <w:rPr>
          <w:rFonts w:ascii="Arial" w:cs="Arial" w:eastAsia="Arial" w:hAnsi="Arial"/>
          <w:sz w:val="22"/>
          <w:szCs w:val="22"/>
        </w:rPr>
        <w:t xml:space="preserve">Where the Young Person's Personal Data and Confidential Information has been passed to any agents or subcontractors of MCR, MCR undertakes to retrieve from the agent or subcontractor at the end of the agency or subcontract or on termination of this Agreement, whichever occurs first, all Young Person's Personal Data and Confidential Information and return it to the Academy.</w:t>
      </w:r>
    </w:p>
    <w:p>
      <w:pPr>
        <w:pStyle w:val="ListParagraph"/>
        <w:numPr>
          <w:ilvl w:val="0"/>
          <w:numId w:val="3"/>
        </w:numPr>
        <w:spacing w:after="100"/>
      </w:pPr>
      <w:r>
        <w:rPr>
          <w:rFonts w:ascii="Arial" w:cs="Arial" w:eastAsia="Arial" w:hAnsi="Arial"/>
          <w:sz w:val="22"/>
          <w:szCs w:val="22"/>
        </w:rPr>
        <w:t xml:space="preserve">In this Clause 8 the expression “return” means that, subject to Clause 8.5, MCR shall provide the Academy with all requested hard copies of the information concerned together with any portable electronic storage media on which the Personal Data and Confidential Information has been stored and shall then securely and irretrievably delete any copies of the Personal Data from MCR's own computer systems.</w:t>
      </w:r>
    </w:p>
    <w:p>
      <w:pPr>
        <w:pStyle w:val="ListParagraph"/>
        <w:numPr>
          <w:ilvl w:val="0"/>
          <w:numId w:val="3"/>
        </w:numPr>
        <w:spacing w:after="100"/>
      </w:pPr>
      <w:r>
        <w:rPr>
          <w:rFonts w:ascii="Arial" w:cs="Arial" w:eastAsia="Arial" w:hAnsi="Arial"/>
          <w:sz w:val="22"/>
          <w:szCs w:val="22"/>
        </w:rPr>
        <w:t xml:space="preserve">Where MCR demonstrates to the reasonable satisfaction of the Academy that MCR requires to retain certain Personal Data and/or Confidential Information for a specified period of time in order to comply with a legal/audit/compliance or other regulatory purpose, in such circumstances MCR will be entitled to hold the Personal Data and/or Confidential Information for the said specified period of time, but always subject to Data Protection Law. Thereafter, on the expiry of the specified period of time MCR shall immediately liaise directly with the Academy to agree a procedure relative to return to the Academy of the said Personal Data and Confidential Information.</w:t>
      </w:r>
    </w:p>
    <w:p>
      <w:pPr>
        <w:pStyle w:val="ListParagraph"/>
        <w:numPr>
          <w:ilvl w:val="0"/>
          <w:numId w:val="3"/>
        </w:numPr>
        <w:spacing w:after="100"/>
      </w:pPr>
      <w:r>
        <w:rPr>
          <w:rFonts w:ascii="Arial" w:cs="Arial" w:eastAsia="Arial" w:hAnsi="Arial"/>
          <w:sz w:val="22"/>
          <w:szCs w:val="22"/>
        </w:rPr>
        <w:t xml:space="preserve">In the event that this Agreement is terminated for any reason or where either Party withdraws from this Agreement, any duties of confidentiality imposed on the Parties in respect of this Agreement shall subsist indefinitely.</w:t>
      </w:r>
    </w:p>
    <w:p>
      <w:pPr>
        <w:pStyle w:val="Heading1"/>
        <w:spacing w:after="180" w:before="320"/>
      </w:pPr>
      <w:r>
        <w:rPr>
          <w:rFonts w:ascii="Arial" w:cs="Arial" w:eastAsia="Arial" w:hAnsi="Arial"/>
          <w:b/>
          <w:bCs/>
          <w:sz w:val="28"/>
          <w:szCs w:val="28"/>
        </w:rPr>
        <w:t xml:space="preserve">9. GENERAL</w:t>
      </w:r>
    </w:p>
    <w:p>
      <w:pPr>
        <w:pStyle w:val="ListParagraph"/>
        <w:numPr>
          <w:ilvl w:val="0"/>
          <w:numId w:val="3"/>
        </w:numPr>
        <w:spacing w:after="100"/>
      </w:pPr>
      <w:r>
        <w:rPr>
          <w:rFonts w:ascii="Arial" w:cs="Arial" w:eastAsia="Arial" w:hAnsi="Arial"/>
          <w:b/>
          <w:bCs/>
          <w:i w:val="false"/>
          <w:iCs w:val="false"/>
          <w:sz w:val="22"/>
          <w:szCs w:val="22"/>
        </w:rPr>
        <w:t xml:space="preserve">Notices.</w:t>
      </w:r>
      <w:r>
        <w:rPr>
          <w:rFonts w:ascii="Arial" w:cs="Arial" w:eastAsia="Arial" w:hAnsi="Arial"/>
          <w:b w:val="false"/>
          <w:bCs w:val="false"/>
          <w:i w:val="false"/>
          <w:iCs w:val="false"/>
          <w:sz w:val="22"/>
          <w:szCs w:val="22"/>
        </w:rPr>
        <w:t xml:space="preserve"> Any notice to be given or served by either Party to the other under this Agreement shall be in writing and shall be delivered personally or posted by first class pre-paid post to the address set out at the start of this Agreement or to such other address as one Party notifies to the other in writing. Service shall be deemed to have been affected as follows:</w:t>
      </w:r>
    </w:p>
    <w:p>
      <w:pPr>
        <w:pStyle w:val="ListParagraph"/>
        <w:numPr>
          <w:ilvl w:val="0"/>
          <w:numId w:val="2"/>
        </w:numPr>
        <w:spacing w:after="80"/>
      </w:pPr>
      <w:r>
        <w:rPr>
          <w:rFonts w:ascii="Arial" w:cs="Arial" w:eastAsia="Arial" w:hAnsi="Arial"/>
          <w:sz w:val="22"/>
          <w:szCs w:val="22"/>
        </w:rPr>
        <w:t xml:space="preserve">if personally delivered, at the time of delivery to the addressee during working hours, or if not during working hours, at 10.00am the following Business Day; or</w:t>
      </w:r>
    </w:p>
    <w:p>
      <w:pPr>
        <w:pStyle w:val="ListParagraph"/>
        <w:numPr>
          <w:ilvl w:val="0"/>
          <w:numId w:val="2"/>
        </w:numPr>
        <w:spacing w:after="80"/>
      </w:pPr>
      <w:r>
        <w:rPr>
          <w:rFonts w:ascii="Arial" w:cs="Arial" w:eastAsia="Arial" w:hAnsi="Arial"/>
          <w:sz w:val="22"/>
          <w:szCs w:val="22"/>
        </w:rPr>
        <w:t xml:space="preserve">if sent by first class pre-paid post, on the second Business Day after it has been put in the post.</w:t>
      </w:r>
    </w:p>
    <w:p>
      <w:pPr>
        <w:spacing w:after="120"/>
      </w:pPr>
      <w:r>
        <w:rPr>
          <w:rFonts w:ascii="Arial" w:cs="Arial" w:eastAsia="Arial" w:hAnsi="Arial"/>
          <w:b w:val="false"/>
          <w:bCs w:val="false"/>
          <w:i w:val="false"/>
          <w:iCs w:val="false"/>
          <w:sz w:val="22"/>
          <w:szCs w:val="22"/>
        </w:rPr>
        <w:t xml:space="preserve">In providing service under this Clause 9.1 it shall be sufficient to prove that personal delivery was made or that the letter was properly addressed and posted.</w:t>
      </w:r>
    </w:p>
    <w:p>
      <w:pPr>
        <w:pStyle w:val="ListParagraph"/>
        <w:numPr>
          <w:ilvl w:val="0"/>
          <w:numId w:val="3"/>
        </w:numPr>
        <w:spacing w:after="100"/>
      </w:pPr>
      <w:r>
        <w:rPr>
          <w:rFonts w:ascii="Arial" w:cs="Arial" w:eastAsia="Arial" w:hAnsi="Arial"/>
          <w:b/>
          <w:bCs/>
          <w:i w:val="false"/>
          <w:iCs w:val="false"/>
          <w:sz w:val="22"/>
          <w:szCs w:val="22"/>
        </w:rPr>
        <w:t xml:space="preserve">Rights of third parties.</w:t>
      </w:r>
      <w:r>
        <w:rPr>
          <w:rFonts w:ascii="Arial" w:cs="Arial" w:eastAsia="Arial" w:hAnsi="Arial"/>
          <w:b w:val="false"/>
          <w:bCs w:val="false"/>
          <w:i w:val="false"/>
          <w:iCs w:val="false"/>
          <w:sz w:val="22"/>
          <w:szCs w:val="22"/>
        </w:rPr>
        <w:t xml:space="preserve"> The Parties to this Agreement do not intend that any of its provisions should be enforceable by any persons by virtue of the Contracts (Rights of Third Parties) Act 1999.</w:t>
      </w:r>
    </w:p>
    <w:p>
      <w:pPr>
        <w:pStyle w:val="ListParagraph"/>
        <w:numPr>
          <w:ilvl w:val="0"/>
          <w:numId w:val="3"/>
        </w:numPr>
        <w:spacing w:after="100"/>
      </w:pPr>
      <w:r>
        <w:rPr>
          <w:rFonts w:ascii="Arial" w:cs="Arial" w:eastAsia="Arial" w:hAnsi="Arial"/>
          <w:b/>
          <w:bCs/>
          <w:i w:val="false"/>
          <w:iCs w:val="false"/>
          <w:sz w:val="22"/>
          <w:szCs w:val="22"/>
        </w:rPr>
        <w:t xml:space="preserve">Entire Agreement and variations.</w:t>
      </w:r>
      <w:r>
        <w:rPr>
          <w:rFonts w:ascii="Arial" w:cs="Arial" w:eastAsia="Arial" w:hAnsi="Arial"/>
          <w:b w:val="false"/>
          <w:bCs w:val="false"/>
          <w:i w:val="false"/>
          <w:iCs w:val="false"/>
          <w:sz w:val="22"/>
          <w:szCs w:val="22"/>
        </w:rPr>
        <w:t xml:space="preserve"> This Agreement represents the entire agreement between the Parties relating to the sharing or otherwise processing of Data. It is not capable of being amended except in writing by or with the specific consent of the Parties.</w:t>
      </w:r>
    </w:p>
    <w:p>
      <w:pPr>
        <w:pStyle w:val="ListParagraph"/>
        <w:numPr>
          <w:ilvl w:val="0"/>
          <w:numId w:val="3"/>
        </w:numPr>
        <w:spacing w:after="100"/>
      </w:pPr>
      <w:r>
        <w:rPr>
          <w:rFonts w:ascii="Arial" w:cs="Arial" w:eastAsia="Arial" w:hAnsi="Arial"/>
          <w:b/>
          <w:bCs/>
          <w:i w:val="false"/>
          <w:iCs w:val="false"/>
          <w:sz w:val="22"/>
          <w:szCs w:val="22"/>
        </w:rPr>
        <w:t xml:space="preserve">Counterparts.</w:t>
      </w:r>
      <w:r>
        <w:rPr>
          <w:rFonts w:ascii="Arial" w:cs="Arial" w:eastAsia="Arial" w:hAnsi="Arial"/>
          <w:b w:val="false"/>
          <w:bCs w:val="false"/>
          <w:i w:val="false"/>
          <w:iCs w:val="false"/>
          <w:sz w:val="22"/>
          <w:szCs w:val="22"/>
        </w:rPr>
        <w:t xml:space="preserve"> This Agreement may be executed in any number of counterparts, and by the Parties on separate counterparts, but shall not be effective until each of the Parties has executed at least one counterpart. Each counterpart shall constitute an original of this Agreement, but all the counterparts shall together constitute one and the same instrument.</w:t>
      </w:r>
    </w:p>
    <w:p>
      <w:pPr>
        <w:pStyle w:val="ListParagraph"/>
        <w:numPr>
          <w:ilvl w:val="0"/>
          <w:numId w:val="3"/>
        </w:numPr>
        <w:spacing w:after="100"/>
      </w:pPr>
      <w:r>
        <w:rPr>
          <w:rFonts w:ascii="Arial" w:cs="Arial" w:eastAsia="Arial" w:hAnsi="Arial"/>
          <w:b/>
          <w:bCs/>
          <w:i w:val="false"/>
          <w:iCs w:val="false"/>
          <w:sz w:val="22"/>
          <w:szCs w:val="22"/>
        </w:rPr>
        <w:t xml:space="preserve">Costs and Expenses.</w:t>
      </w:r>
      <w:r>
        <w:rPr>
          <w:rFonts w:ascii="Arial" w:cs="Arial" w:eastAsia="Arial" w:hAnsi="Arial"/>
          <w:b w:val="false"/>
          <w:bCs w:val="false"/>
          <w:i w:val="false"/>
          <w:iCs w:val="false"/>
          <w:sz w:val="22"/>
          <w:szCs w:val="22"/>
        </w:rPr>
        <w:t xml:space="preserve"> Each Party shall be responsible for paying its own costs and expenses incurred in connection with the negotiation, preparation, execution and completion of this Agreement.</w:t>
      </w:r>
    </w:p>
    <w:p>
      <w:pPr>
        <w:pStyle w:val="ListParagraph"/>
        <w:numPr>
          <w:ilvl w:val="0"/>
          <w:numId w:val="3"/>
        </w:numPr>
        <w:spacing w:after="100"/>
      </w:pPr>
      <w:r>
        <w:rPr>
          <w:rFonts w:ascii="Arial" w:cs="Arial" w:eastAsia="Arial" w:hAnsi="Arial"/>
          <w:b/>
          <w:bCs/>
          <w:i w:val="false"/>
          <w:iCs w:val="false"/>
          <w:sz w:val="22"/>
          <w:szCs w:val="22"/>
        </w:rPr>
        <w:t xml:space="preserve">Waiver.</w:t>
      </w:r>
      <w:r>
        <w:rPr>
          <w:rFonts w:ascii="Arial" w:cs="Arial" w:eastAsia="Arial" w:hAnsi="Arial"/>
          <w:b w:val="false"/>
          <w:bCs w:val="false"/>
          <w:i w:val="false"/>
          <w:iCs w:val="false"/>
          <w:sz w:val="22"/>
          <w:szCs w:val="22"/>
        </w:rPr>
        <w:t xml:space="preserve"> Any relaxation, forbearance, indulgence or delay of any Party in exercising any right shall not be construed as a waiver of the right and shall not affect the ability of that Party subsequently to exercise that right or to pursue any remedy, nor shall it constitute a waiver of any other right.</w:t>
      </w:r>
    </w:p>
    <w:p>
      <w:pPr>
        <w:pStyle w:val="ListParagraph"/>
        <w:numPr>
          <w:ilvl w:val="0"/>
          <w:numId w:val="3"/>
        </w:numPr>
        <w:spacing w:after="100"/>
      </w:pPr>
      <w:r>
        <w:rPr>
          <w:rFonts w:ascii="Arial" w:cs="Arial" w:eastAsia="Arial" w:hAnsi="Arial"/>
          <w:b/>
          <w:bCs/>
          <w:i w:val="false"/>
          <w:iCs w:val="false"/>
          <w:sz w:val="22"/>
          <w:szCs w:val="22"/>
        </w:rPr>
        <w:t xml:space="preserve">Severance.</w:t>
      </w:r>
      <w:r>
        <w:rPr>
          <w:rFonts w:ascii="Arial" w:cs="Arial" w:eastAsia="Arial" w:hAnsi="Arial"/>
          <w:b w:val="false"/>
          <w:bCs w:val="false"/>
          <w:i w:val="false"/>
          <w:iCs w:val="false"/>
          <w:sz w:val="22"/>
          <w:szCs w:val="22"/>
        </w:rPr>
        <w:t xml:space="preserve"> If any word or provision of this Agreement is prohibited by law or judged by a court to be unlawful, void or unenforceable, the word or provision shall, to the extent required, be severed from this Agreement and rendered ineffective as far as possible without modifying the remaining words or provisions of this Agreement.</w:t>
      </w:r>
    </w:p>
    <w:p>
      <w:pPr>
        <w:pStyle w:val="Heading1"/>
        <w:spacing w:after="180" w:before="320"/>
      </w:pPr>
      <w:r>
        <w:rPr>
          <w:rFonts w:ascii="Arial" w:cs="Arial" w:eastAsia="Arial" w:hAnsi="Arial"/>
          <w:b/>
          <w:bCs/>
          <w:sz w:val="28"/>
          <w:szCs w:val="28"/>
        </w:rPr>
        <w:t xml:space="preserve">10. GOVERNING LAW AND JURISDICTION</w:t>
      </w:r>
    </w:p>
    <w:p>
      <w:pPr>
        <w:spacing w:after="120"/>
      </w:pPr>
      <w:r>
        <w:rPr>
          <w:rFonts w:ascii="Arial" w:cs="Arial" w:eastAsia="Arial" w:hAnsi="Arial"/>
          <w:b w:val="false"/>
          <w:bCs w:val="false"/>
          <w:i w:val="false"/>
          <w:iCs w:val="false"/>
          <w:sz w:val="22"/>
          <w:szCs w:val="22"/>
        </w:rPr>
        <w:t xml:space="preserve">This Agreement and any dispute or claim arising out of or in connection with it or its subject matter or formation (including non-contractual disputes or claims) (a “Dispute”) shall, in all respects, be governed by and construed in accordance with the law of Scotland. Subject to Clause 7 (Dispute Resolution), the Parties agree that the Scottish Courts shall have exclusive jurisdiction in relation to any Dispute.</w:t>
      </w:r>
    </w:p>
    <w:p>
      <w:pPr>
        <w:spacing w:after="200" w:before="200"/>
      </w:pPr>
      <w:r>
        <w:rPr>
          <w:rFonts w:ascii="Arial" w:cs="Arial" w:eastAsia="Arial" w:hAnsi="Arial"/>
          <w:b/>
          <w:bCs/>
          <w:i w:val="false"/>
          <w:iCs w:val="false"/>
          <w:sz w:val="22"/>
          <w:szCs w:val="22"/>
        </w:rPr>
        <w:t xml:space="preserve">IN WITNESS WHEREOF these presents consisting of this and the preceding nine (9) pages together with the Schedule in seven (7) parts hereto are executed by the Parties hereto as follows:</w:t>
      </w:r>
    </w:p>
    <w:p>
      <w:pPr>
        <w:spacing w:after="120" w:before="200"/>
      </w:pPr>
      <w:r>
        <w:rPr>
          <w:rFonts w:ascii="Arial" w:cs="Arial" w:eastAsia="Arial" w:hAnsi="Arial"/>
          <w:b/>
          <w:bCs/>
          <w:i w:val="false"/>
          <w:iCs w:val="false"/>
          <w:sz w:val="22"/>
          <w:szCs w:val="22"/>
        </w:rPr>
        <w:t xml:space="preserve">SIGNED on behalf of Example Academy Trust by</w:t>
      </w:r>
    </w:p>
    <w:p>
      <w:pPr>
        <w:spacing w:after="100"/>
      </w:pPr>
      <w:r>
        <w:rPr>
          <w:rFonts w:ascii="Arial" w:cs="Arial" w:eastAsia="Arial" w:hAnsi="Arial"/>
          <w:b w:val="false"/>
          <w:bCs w:val="false"/>
          <w:i w:val="false"/>
          <w:iCs w:val="false"/>
          <w:sz w:val="22"/>
          <w:szCs w:val="22"/>
        </w:rPr>
        <w:t/>
      </w:r>
    </w:p>
    <w:p>
      <w:pPr>
        <w:spacing w:after="120"/>
      </w:pPr>
      <w:r>
        <w:rPr>
          <w:rFonts w:ascii="Arial" w:cs="Arial" w:eastAsia="Arial" w:hAnsi="Arial"/>
          <w:b w:val="false"/>
          <w:bCs w:val="false"/>
          <w:i w:val="false"/>
          <w:iCs w:val="false"/>
          <w:sz w:val="22"/>
          <w:szCs w:val="22"/>
        </w:rPr>
        <w:t xml:space="preserve">Signed:                                                        Position: Headteacher</w:t>
      </w:r>
    </w:p>
    <w:p>
      <w:pPr>
        <w:spacing w:after="120"/>
      </w:pPr>
      <w:r>
        <w:rPr>
          <w:rFonts w:ascii="Arial" w:cs="Arial" w:eastAsia="Arial" w:hAnsi="Arial"/>
          <w:b w:val="false"/>
          <w:bCs w:val="false"/>
          <w:i w:val="false"/>
          <w:iCs w:val="false"/>
          <w:sz w:val="22"/>
          <w:szCs w:val="22"/>
        </w:rPr>
        <w:t xml:space="preserve">Full Name: [insert]                                  Date: [insert]</w:t>
      </w:r>
    </w:p>
    <w:p>
      <w:pPr>
        <w:spacing w:after="120"/>
      </w:pPr>
      <w:r>
        <w:rPr>
          <w:rFonts w:ascii="Arial" w:cs="Arial" w:eastAsia="Arial" w:hAnsi="Arial"/>
          <w:b w:val="false"/>
          <w:bCs w:val="false"/>
          <w:i w:val="false"/>
          <w:iCs w:val="false"/>
          <w:sz w:val="22"/>
          <w:szCs w:val="22"/>
        </w:rPr>
        <w:t xml:space="preserve">Place: 1 Example Street, Example Town, EX1 1EX</w:t>
      </w:r>
    </w:p>
    <w:p>
      <w:pPr>
        <w:spacing w:after="120"/>
      </w:pPr>
      <w:r>
        <w:rPr>
          <w:rFonts w:ascii="Arial" w:cs="Arial" w:eastAsia="Arial" w:hAnsi="Arial"/>
          <w:b w:val="false"/>
          <w:bCs w:val="false"/>
          <w:i w:val="false"/>
          <w:iCs w:val="false"/>
          <w:sz w:val="22"/>
          <w:szCs w:val="22"/>
        </w:rPr>
        <w:t xml:space="preserve">In the presence of:</w:t>
      </w:r>
    </w:p>
    <w:p>
      <w:pPr>
        <w:spacing w:after="120"/>
      </w:pPr>
      <w:r>
        <w:rPr>
          <w:rFonts w:ascii="Arial" w:cs="Arial" w:eastAsia="Arial" w:hAnsi="Arial"/>
          <w:b w:val="false"/>
          <w:bCs w:val="false"/>
          <w:i w:val="false"/>
          <w:iCs w:val="false"/>
          <w:sz w:val="22"/>
          <w:szCs w:val="22"/>
        </w:rPr>
        <w:t xml:space="preserve">Witness:                                                      Position: School Business Manager</w:t>
      </w:r>
    </w:p>
    <w:p>
      <w:pPr>
        <w:spacing w:after="120"/>
      </w:pPr>
      <w:r>
        <w:rPr>
          <w:rFonts w:ascii="Arial" w:cs="Arial" w:eastAsia="Arial" w:hAnsi="Arial"/>
          <w:b w:val="false"/>
          <w:bCs w:val="false"/>
          <w:i w:val="false"/>
          <w:iCs w:val="false"/>
          <w:sz w:val="22"/>
          <w:szCs w:val="22"/>
        </w:rPr>
        <w:t xml:space="preserve">Full Name: [insert]                                    Date: [insert]</w:t>
      </w:r>
    </w:p>
    <w:p>
      <w:pPr>
        <w:spacing w:after="120"/>
      </w:pPr>
      <w:r>
        <w:rPr>
          <w:rFonts w:ascii="Arial" w:cs="Arial" w:eastAsia="Arial" w:hAnsi="Arial"/>
          <w:b w:val="false"/>
          <w:bCs w:val="false"/>
          <w:i w:val="false"/>
          <w:iCs w:val="false"/>
          <w:sz w:val="22"/>
          <w:szCs w:val="22"/>
        </w:rPr>
        <w:t xml:space="preserve">Address: 1 Example Street, Example Town, EX1 1EX</w:t>
      </w:r>
    </w:p>
    <w:p>
      <w:pPr>
        <w:spacing w:after="120"/>
      </w:pPr>
      <w:r>
        <w:rPr>
          <w:rFonts w:ascii="Arial" w:cs="Arial" w:eastAsia="Arial" w:hAnsi="Arial"/>
          <w:b w:val="false"/>
          <w:bCs w:val="false"/>
          <w:i w:val="false"/>
          <w:iCs w:val="false"/>
          <w:sz w:val="22"/>
          <w:szCs w:val="22"/>
        </w:rPr>
        <w:t xml:space="preserve"> </w:t>
      </w:r>
    </w:p>
    <w:p>
      <w:pPr>
        <w:spacing w:after="120" w:before="200"/>
      </w:pPr>
      <w:r>
        <w:rPr>
          <w:rFonts w:ascii="Arial" w:cs="Arial" w:eastAsia="Arial" w:hAnsi="Arial"/>
          <w:b/>
          <w:bCs/>
          <w:i w:val="false"/>
          <w:iCs w:val="false"/>
          <w:sz w:val="22"/>
          <w:szCs w:val="22"/>
        </w:rPr>
        <w:t xml:space="preserve">SIGNED on behalf of MCR Pathways by</w:t>
      </w:r>
    </w:p>
    <w:p>
      <w:pPr>
        <w:spacing w:after="120"/>
      </w:pPr>
      <w:r>
        <w:rPr>
          <w:rFonts w:ascii="Arial" w:cs="Arial" w:eastAsia="Arial" w:hAnsi="Arial"/>
          <w:b w:val="false"/>
          <w:bCs w:val="false"/>
          <w:i w:val="false"/>
          <w:iCs w:val="false"/>
          <w:sz w:val="22"/>
          <w:szCs w:val="22"/>
        </w:rPr>
        <w:t xml:space="preserve">Signed:                                                       Position: Head of Schools</w:t>
      </w:r>
    </w:p>
    <w:p>
      <w:pPr>
        <w:spacing w:after="120"/>
      </w:pPr>
      <w:r>
        <w:rPr>
          <w:rFonts w:ascii="Arial" w:cs="Arial" w:eastAsia="Arial" w:hAnsi="Arial"/>
          <w:b w:val="false"/>
          <w:bCs w:val="false"/>
          <w:i w:val="false"/>
          <w:iCs w:val="false"/>
          <w:sz w:val="22"/>
          <w:szCs w:val="22"/>
        </w:rPr>
        <w:t xml:space="preserve">Full Name: Natalie Smith                                  Date: [insert]</w:t>
      </w:r>
    </w:p>
    <w:p>
      <w:pPr>
        <w:spacing w:after="120"/>
      </w:pPr>
      <w:r>
        <w:rPr>
          <w:rFonts w:ascii="Arial" w:cs="Arial" w:eastAsia="Arial" w:hAnsi="Arial"/>
          <w:b w:val="false"/>
          <w:bCs w:val="false"/>
          <w:i w:val="false"/>
          <w:iCs w:val="false"/>
          <w:sz w:val="22"/>
          <w:szCs w:val="22"/>
        </w:rPr>
        <w:t xml:space="preserve">Address: MCR Pathways, Mitchell Library, North Street, Glasgow G3 7DN</w:t>
      </w:r>
    </w:p>
    <w:p>
      <w:pPr>
        <w:spacing w:after="120"/>
      </w:pPr>
      <w:r>
        <w:rPr>
          <w:rFonts w:ascii="Arial" w:cs="Arial" w:eastAsia="Arial" w:hAnsi="Arial"/>
          <w:b w:val="false"/>
          <w:bCs w:val="false"/>
          <w:i w:val="false"/>
          <w:iCs w:val="false"/>
          <w:sz w:val="22"/>
          <w:szCs w:val="22"/>
        </w:rPr>
        <w:t xml:space="preserve">In the presence of:</w:t>
      </w:r>
    </w:p>
    <w:p>
      <w:pPr>
        <w:spacing w:after="120"/>
      </w:pPr>
      <w:r>
        <w:rPr>
          <w:rFonts w:ascii="Arial" w:cs="Arial" w:eastAsia="Arial" w:hAnsi="Arial"/>
          <w:b w:val="false"/>
          <w:bCs w:val="false"/>
          <w:i w:val="false"/>
          <w:iCs w:val="false"/>
          <w:sz w:val="22"/>
          <w:szCs w:val="22"/>
        </w:rPr>
        <w:t xml:space="preserve">Witness:                                                       Position: Programme Manager</w:t>
      </w:r>
    </w:p>
    <w:p>
      <w:pPr>
        <w:spacing w:after="120"/>
      </w:pPr>
      <w:r>
        <w:rPr>
          <w:rFonts w:ascii="Arial" w:cs="Arial" w:eastAsia="Arial" w:hAnsi="Arial"/>
          <w:b w:val="false"/>
          <w:bCs w:val="false"/>
          <w:i w:val="false"/>
          <w:iCs w:val="false"/>
          <w:sz w:val="22"/>
          <w:szCs w:val="22"/>
        </w:rPr>
        <w:t xml:space="preserve">Full Name: Donna Connell                                    Date: [insert]</w:t>
      </w:r>
    </w:p>
    <w:p>
      <w:pPr>
        <w:spacing w:after="120"/>
      </w:pPr>
      <w:r>
        <w:rPr>
          <w:rFonts w:ascii="Arial" w:cs="Arial" w:eastAsia="Arial" w:hAnsi="Arial"/>
          <w:b w:val="false"/>
          <w:bCs w:val="false"/>
          <w:i w:val="false"/>
          <w:iCs w:val="false"/>
          <w:sz w:val="22"/>
          <w:szCs w:val="22"/>
        </w:rPr>
        <w:t xml:space="preserve">Address: MCR Pathways, Mitchell Library, North Street, Glasgow G3 7DN</w:t>
      </w:r>
    </w:p>
    <w:p>
      <w:r>
        <w:br w:type="page"/>
      </w:r>
    </w:p>
    <w:p>
      <w:pPr>
        <w:spacing w:after="240"/>
      </w:pPr>
      <w:r>
        <w:rPr>
          <w:rFonts w:ascii="Arial" w:cs="Arial" w:eastAsia="Arial" w:hAnsi="Arial"/>
          <w:b/>
          <w:bCs/>
          <w:i/>
          <w:iCs/>
          <w:sz w:val="22"/>
          <w:szCs w:val="22"/>
        </w:rPr>
        <w:t xml:space="preserve">This is the Schedule referred to in the foregoing Data Sharing Agreement between Example Academy Trust and MCR PATHWAYS</w:t>
      </w:r>
    </w:p>
    <w:p>
      <w:pPr>
        <w:pStyle w:val="Heading1"/>
        <w:spacing w:after="180" w:before="320"/>
      </w:pPr>
      <w:r>
        <w:rPr>
          <w:rFonts w:ascii="Arial" w:cs="Arial" w:eastAsia="Arial" w:hAnsi="Arial"/>
          <w:b/>
          <w:bCs/>
          <w:sz w:val="28"/>
          <w:szCs w:val="28"/>
        </w:rPr>
        <w:t xml:space="preserve">Schedule Part 1 – Data &amp; Data Subjects</w:t>
      </w:r>
    </w:p>
    <w:p>
      <w:pPr>
        <w:pStyle w:val="Heading2"/>
        <w:spacing w:after="120" w:before="240"/>
      </w:pPr>
      <w:r>
        <w:rPr>
          <w:rFonts w:ascii="Arial" w:cs="Arial" w:eastAsia="Arial" w:hAnsi="Arial"/>
          <w:b/>
          <w:bCs/>
          <w:sz w:val="24"/>
          <w:szCs w:val="24"/>
        </w:rPr>
        <w:t xml:space="preserve">DATA</w:t>
      </w:r>
    </w:p>
    <w:p>
      <w:pPr>
        <w:pStyle w:val="ListParagraph"/>
        <w:numPr>
          <w:ilvl w:val="0"/>
          <w:numId w:val="2"/>
        </w:numPr>
        <w:spacing w:after="80"/>
      </w:pPr>
      <w:r>
        <w:rPr>
          <w:rFonts w:ascii="Arial" w:cs="Arial" w:eastAsia="Arial" w:hAnsi="Arial"/>
          <w:sz w:val="22"/>
          <w:szCs w:val="22"/>
        </w:rPr>
        <w:t xml:space="preserve">Demographic (personal but not special category) data including (but not restricted to) names, addresses, dates of birth and contact details.</w:t>
      </w:r>
    </w:p>
    <w:p>
      <w:pPr>
        <w:pStyle w:val="ListParagraph"/>
        <w:numPr>
          <w:ilvl w:val="0"/>
          <w:numId w:val="2"/>
        </w:numPr>
        <w:spacing w:after="80"/>
      </w:pPr>
      <w:r>
        <w:rPr>
          <w:rFonts w:ascii="Arial" w:cs="Arial" w:eastAsia="Arial" w:hAnsi="Arial"/>
          <w:sz w:val="22"/>
          <w:szCs w:val="22"/>
        </w:rPr>
        <w:t xml:space="preserve">Special category data (subject to paragraph 1 above) including (but not restricted to):</w:t>
      </w:r>
    </w:p>
    <w:p>
      <w:pPr>
        <w:pStyle w:val="ListParagraph"/>
        <w:numPr>
          <w:ilvl w:val="1"/>
          <w:numId w:val="2"/>
        </w:numPr>
        <w:spacing w:after="80"/>
      </w:pPr>
      <w:r>
        <w:rPr>
          <w:rFonts w:ascii="Arial" w:cs="Arial" w:eastAsia="Arial" w:hAnsi="Arial"/>
          <w:sz w:val="22"/>
          <w:szCs w:val="22"/>
        </w:rPr>
        <w:t xml:space="preserve">information on the impact of any caring role on the individual’s health and well being</w:t>
      </w:r>
    </w:p>
    <w:p>
      <w:pPr>
        <w:pStyle w:val="ListParagraph"/>
        <w:numPr>
          <w:ilvl w:val="1"/>
          <w:numId w:val="2"/>
        </w:numPr>
        <w:spacing w:after="80"/>
      </w:pPr>
      <w:r>
        <w:rPr>
          <w:rFonts w:ascii="Arial" w:cs="Arial" w:eastAsia="Arial" w:hAnsi="Arial"/>
          <w:sz w:val="22"/>
          <w:szCs w:val="22"/>
        </w:rPr>
        <w:t xml:space="preserve">information about an individual’s outcomes and intended pathways</w:t>
      </w:r>
    </w:p>
    <w:p>
      <w:pPr>
        <w:pStyle w:val="ListParagraph"/>
        <w:numPr>
          <w:ilvl w:val="1"/>
          <w:numId w:val="2"/>
        </w:numPr>
        <w:spacing w:after="80"/>
      </w:pPr>
      <w:r>
        <w:rPr>
          <w:rFonts w:ascii="Arial" w:cs="Arial" w:eastAsia="Arial" w:hAnsi="Arial"/>
          <w:sz w:val="22"/>
          <w:szCs w:val="22"/>
        </w:rPr>
        <w:t xml:space="preserve">medical conditions, medication, aids, adaptations, social supports, therapeutic interventions</w:t>
      </w:r>
    </w:p>
    <w:p>
      <w:pPr>
        <w:pStyle w:val="ListParagraph"/>
        <w:numPr>
          <w:ilvl w:val="1"/>
          <w:numId w:val="2"/>
        </w:numPr>
        <w:spacing w:after="80"/>
      </w:pPr>
      <w:r>
        <w:rPr>
          <w:rFonts w:ascii="Arial" w:cs="Arial" w:eastAsia="Arial" w:hAnsi="Arial"/>
          <w:sz w:val="22"/>
          <w:szCs w:val="22"/>
        </w:rPr>
        <w:t xml:space="preserve">gender, ethnicity and religion</w:t>
      </w:r>
    </w:p>
    <w:p>
      <w:pPr>
        <w:pStyle w:val="ListParagraph"/>
        <w:numPr>
          <w:ilvl w:val="1"/>
          <w:numId w:val="2"/>
        </w:numPr>
        <w:spacing w:after="80"/>
      </w:pPr>
      <w:r>
        <w:rPr>
          <w:rFonts w:ascii="Arial" w:cs="Arial" w:eastAsia="Arial" w:hAnsi="Arial"/>
          <w:sz w:val="22"/>
          <w:szCs w:val="22"/>
        </w:rPr>
        <w:t xml:space="preserve">requirements in relation to interpreting, advocacy or other support</w:t>
      </w:r>
    </w:p>
    <w:p>
      <w:pPr>
        <w:pStyle w:val="ListParagraph"/>
        <w:numPr>
          <w:ilvl w:val="1"/>
          <w:numId w:val="2"/>
        </w:numPr>
        <w:spacing w:after="80"/>
      </w:pPr>
      <w:r>
        <w:rPr>
          <w:rFonts w:ascii="Arial" w:cs="Arial" w:eastAsia="Arial" w:hAnsi="Arial"/>
          <w:sz w:val="22"/>
          <w:szCs w:val="22"/>
        </w:rPr>
        <w:t xml:space="preserve">social circumstances and environmental factors</w:t>
      </w:r>
    </w:p>
    <w:p>
      <w:pPr>
        <w:pStyle w:val="ListParagraph"/>
        <w:numPr>
          <w:ilvl w:val="1"/>
          <w:numId w:val="2"/>
        </w:numPr>
        <w:spacing w:after="80"/>
      </w:pPr>
      <w:r>
        <w:rPr>
          <w:rFonts w:ascii="Arial" w:cs="Arial" w:eastAsia="Arial" w:hAnsi="Arial"/>
          <w:sz w:val="22"/>
          <w:szCs w:val="22"/>
        </w:rPr>
        <w:t xml:space="preserve">family history/circumstances and other significant relationships (e.g. marital status, dependants)</w:t>
      </w:r>
    </w:p>
    <w:p>
      <w:pPr>
        <w:pStyle w:val="ListParagraph"/>
        <w:numPr>
          <w:ilvl w:val="1"/>
          <w:numId w:val="2"/>
        </w:numPr>
        <w:spacing w:after="80"/>
      </w:pPr>
      <w:r>
        <w:rPr>
          <w:rFonts w:ascii="Arial" w:cs="Arial" w:eastAsia="Arial" w:hAnsi="Arial"/>
          <w:sz w:val="22"/>
          <w:szCs w:val="22"/>
        </w:rPr>
        <w:t xml:space="preserve">history of violent or abusive behaviour</w:t>
      </w:r>
    </w:p>
    <w:p>
      <w:pPr>
        <w:pStyle w:val="ListParagraph"/>
        <w:numPr>
          <w:ilvl w:val="1"/>
          <w:numId w:val="2"/>
        </w:numPr>
        <w:spacing w:after="80"/>
      </w:pPr>
      <w:r>
        <w:rPr>
          <w:rFonts w:ascii="Arial" w:cs="Arial" w:eastAsia="Arial" w:hAnsi="Arial"/>
          <w:b w:val="false"/>
          <w:bCs w:val="false"/>
          <w:i w:val="false"/>
          <w:iCs w:val="false"/>
          <w:sz w:val="22"/>
          <w:szCs w:val="22"/>
        </w:rPr>
        <w:t xml:space="preserve">criminal record</w:t>
      </w:r>
    </w:p>
    <w:p>
      <w:pPr>
        <w:pStyle w:val="ListParagraph"/>
        <w:numPr>
          <w:ilvl w:val="1"/>
          <w:numId w:val="2"/>
        </w:numPr>
        <w:spacing w:after="80"/>
      </w:pPr>
      <w:r>
        <w:rPr>
          <w:rFonts w:ascii="Arial" w:cs="Arial" w:eastAsia="Arial" w:hAnsi="Arial"/>
          <w:sz w:val="22"/>
          <w:szCs w:val="22"/>
        </w:rPr>
        <w:t xml:space="preserve">assessment of risk or threat posed to or by an individual and how such risk is to be managed</w:t>
      </w:r>
    </w:p>
    <w:p>
      <w:pPr>
        <w:pStyle w:val="ListParagraph"/>
        <w:numPr>
          <w:ilvl w:val="0"/>
          <w:numId w:val="2"/>
        </w:numPr>
        <w:spacing w:after="80"/>
      </w:pPr>
      <w:r>
        <w:rPr>
          <w:rFonts w:ascii="Arial" w:cs="Arial" w:eastAsia="Arial" w:hAnsi="Arial"/>
          <w:b w:val="false"/>
          <w:bCs w:val="false"/>
          <w:i w:val="false"/>
          <w:iCs w:val="false"/>
          <w:sz w:val="22"/>
          <w:szCs w:val="22"/>
        </w:rPr>
        <w:t xml:space="preserve">data relating to the following may also be shared - KS2 levels, GCSE/A-Level attainment, attendance, exclusion, pupil premium, free school meals, additional needs, disabilities and school leaver destinations.</w:t>
      </w:r>
    </w:p>
    <w:p>
      <w:pPr>
        <w:pStyle w:val="ListParagraph"/>
        <w:numPr>
          <w:ilvl w:val="0"/>
          <w:numId w:val="2"/>
        </w:numPr>
        <w:spacing w:after="80"/>
      </w:pPr>
      <w:r>
        <w:rPr>
          <w:rFonts w:ascii="Arial" w:cs="Arial" w:eastAsia="Arial" w:hAnsi="Arial"/>
          <w:sz w:val="22"/>
          <w:szCs w:val="22"/>
        </w:rPr>
        <w:t xml:space="preserve">history of past involvement with any of the Parties or other relevant agencies.</w:t>
      </w:r>
    </w:p>
    <w:p>
      <w:pPr>
        <w:pStyle w:val="ListParagraph"/>
        <w:numPr>
          <w:ilvl w:val="0"/>
          <w:numId w:val="2"/>
        </w:numPr>
        <w:spacing w:after="80"/>
      </w:pPr>
      <w:r>
        <w:rPr>
          <w:rFonts w:ascii="Arial" w:cs="Arial" w:eastAsia="Arial" w:hAnsi="Arial"/>
          <w:sz w:val="22"/>
          <w:szCs w:val="22"/>
        </w:rPr>
        <w:t xml:space="preserve">details of current involvement / intervention including the actions of staff, advice and information given to the data subject and any record of their actions, intended actions and statements made by them.</w:t>
      </w:r>
    </w:p>
    <w:p>
      <w:pPr>
        <w:pStyle w:val="ListParagraph"/>
        <w:numPr>
          <w:ilvl w:val="0"/>
          <w:numId w:val="2"/>
        </w:numPr>
        <w:spacing w:after="80"/>
      </w:pPr>
      <w:r>
        <w:rPr>
          <w:rFonts w:ascii="Arial" w:cs="Arial" w:eastAsia="Arial" w:hAnsi="Arial"/>
          <w:sz w:val="22"/>
          <w:szCs w:val="22"/>
        </w:rPr>
        <w:t xml:space="preserve">financial information including income and state benefits.</w:t>
      </w:r>
    </w:p>
    <w:p>
      <w:pPr>
        <w:pStyle w:val="Heading2"/>
        <w:spacing w:after="120" w:before="240"/>
      </w:pPr>
      <w:r>
        <w:rPr>
          <w:rFonts w:ascii="Arial" w:cs="Arial" w:eastAsia="Arial" w:hAnsi="Arial"/>
          <w:b/>
          <w:bCs/>
          <w:sz w:val="24"/>
          <w:szCs w:val="24"/>
        </w:rPr>
        <w:t xml:space="preserve">CATEGORIES OF DATA SUBJECTS</w:t>
      </w:r>
    </w:p>
    <w:p>
      <w:pPr>
        <w:spacing w:after="120"/>
      </w:pPr>
      <w:r>
        <w:rPr>
          <w:rFonts w:ascii="Arial" w:cs="Arial" w:eastAsia="Arial" w:hAnsi="Arial"/>
          <w:b w:val="false"/>
          <w:bCs w:val="false"/>
          <w:i w:val="false"/>
          <w:iCs w:val="false"/>
          <w:sz w:val="22"/>
          <w:szCs w:val="22"/>
        </w:rPr>
        <w:t xml:space="preserve">The Data Subjects shall be:</w:t>
      </w:r>
    </w:p>
    <w:p>
      <w:pPr>
        <w:pStyle w:val="ListParagraph"/>
        <w:numPr>
          <w:ilvl w:val="0"/>
          <w:numId w:val="2"/>
        </w:numPr>
        <w:spacing w:after="80"/>
      </w:pPr>
      <w:r>
        <w:rPr>
          <w:rFonts w:ascii="Arial" w:cs="Arial" w:eastAsia="Arial" w:hAnsi="Arial"/>
          <w:sz w:val="22"/>
          <w:szCs w:val="22"/>
        </w:rPr>
        <w:t xml:space="preserve">Children</w:t>
      </w:r>
    </w:p>
    <w:p>
      <w:pPr>
        <w:pStyle w:val="ListParagraph"/>
        <w:numPr>
          <w:ilvl w:val="0"/>
          <w:numId w:val="2"/>
        </w:numPr>
        <w:spacing w:after="80"/>
      </w:pPr>
      <w:r>
        <w:rPr>
          <w:rFonts w:ascii="Arial" w:cs="Arial" w:eastAsia="Arial" w:hAnsi="Arial"/>
          <w:sz w:val="22"/>
          <w:szCs w:val="22"/>
        </w:rPr>
        <w:t xml:space="preserve">Young People</w:t>
      </w:r>
    </w:p>
    <w:p>
      <w:pPr>
        <w:pStyle w:val="ListParagraph"/>
        <w:numPr>
          <w:ilvl w:val="0"/>
          <w:numId w:val="2"/>
        </w:numPr>
        <w:spacing w:after="80"/>
      </w:pPr>
      <w:r>
        <w:rPr>
          <w:rFonts w:ascii="Arial" w:cs="Arial" w:eastAsia="Arial" w:hAnsi="Arial"/>
          <w:sz w:val="22"/>
          <w:szCs w:val="22"/>
        </w:rPr>
        <w:t xml:space="preserve">Mentors</w:t>
      </w:r>
    </w:p>
    <w:p>
      <w:pPr>
        <w:pStyle w:val="ListParagraph"/>
        <w:numPr>
          <w:ilvl w:val="0"/>
          <w:numId w:val="2"/>
        </w:numPr>
        <w:spacing w:after="80"/>
      </w:pPr>
      <w:r>
        <w:rPr>
          <w:rFonts w:ascii="Arial" w:cs="Arial" w:eastAsia="Arial" w:hAnsi="Arial"/>
          <w:sz w:val="22"/>
          <w:szCs w:val="22"/>
        </w:rPr>
        <w:t xml:space="preserve">Volunteers</w:t>
      </w:r>
    </w:p>
    <w:p>
      <w:pPr>
        <w:pStyle w:val="ListParagraph"/>
        <w:numPr>
          <w:ilvl w:val="0"/>
          <w:numId w:val="2"/>
        </w:numPr>
        <w:spacing w:after="80"/>
      </w:pPr>
      <w:r>
        <w:rPr>
          <w:rFonts w:ascii="Arial" w:cs="Arial" w:eastAsia="Arial" w:hAnsi="Arial"/>
          <w:sz w:val="22"/>
          <w:szCs w:val="22"/>
        </w:rPr>
        <w:t xml:space="preserve">Parents/Carers/Guardians</w:t>
      </w:r>
    </w:p>
    <w:p>
      <w:pPr>
        <w:pStyle w:val="ListParagraph"/>
        <w:numPr>
          <w:ilvl w:val="0"/>
          <w:numId w:val="2"/>
        </w:numPr>
        <w:spacing w:after="80"/>
      </w:pPr>
      <w:r>
        <w:rPr>
          <w:rFonts w:ascii="Arial" w:cs="Arial" w:eastAsia="Arial" w:hAnsi="Arial"/>
          <w:b w:val="false"/>
          <w:bCs w:val="false"/>
          <w:i w:val="false"/>
          <w:iCs w:val="false"/>
          <w:sz w:val="22"/>
          <w:szCs w:val="22"/>
        </w:rPr>
        <w:t xml:space="preserve">School Staff and MCR Pathways Staff</w:t>
      </w:r>
    </w:p>
    <w:p>
      <w:pPr>
        <w:pStyle w:val="Heading1"/>
        <w:spacing w:after="180" w:before="320"/>
      </w:pPr>
      <w:r>
        <w:rPr>
          <w:rFonts w:ascii="Arial" w:cs="Arial" w:eastAsia="Arial" w:hAnsi="Arial"/>
          <w:b/>
          <w:bCs/>
          <w:sz w:val="28"/>
          <w:szCs w:val="28"/>
        </w:rPr>
        <w:t xml:space="preserve">Schedule Part 2: Purpose and Legal Basis for Processing</w:t>
      </w:r>
    </w:p>
    <w:p>
      <w:pPr>
        <w:pStyle w:val="Heading2"/>
        <w:spacing w:after="120" w:before="240"/>
      </w:pPr>
      <w:r>
        <w:rPr>
          <w:rFonts w:ascii="Arial" w:cs="Arial" w:eastAsia="Arial" w:hAnsi="Arial"/>
          <w:b/>
          <w:bCs/>
          <w:sz w:val="24"/>
          <w:szCs w:val="24"/>
        </w:rPr>
        <w:t xml:space="preserve">1. Purpose</w:t>
      </w:r>
    </w:p>
    <w:p>
      <w:pPr>
        <w:spacing w:after="120"/>
      </w:pPr>
      <w:r>
        <w:rPr>
          <w:rFonts w:ascii="Arial" w:cs="Arial" w:eastAsia="Arial" w:hAnsi="Arial"/>
          <w:b w:val="false"/>
          <w:bCs w:val="false"/>
          <w:i w:val="false"/>
          <w:iCs w:val="false"/>
          <w:sz w:val="22"/>
          <w:szCs w:val="22"/>
        </w:rPr>
        <w:t xml:space="preserve">1.1 It is agreed and acknowledged by the Parties that the sharing of Data including special category data under this Agreement is necessary in order to:</w:t>
      </w:r>
    </w:p>
    <w:p>
      <w:pPr>
        <w:pStyle w:val="ListParagraph"/>
        <w:numPr>
          <w:ilvl w:val="0"/>
          <w:numId w:val="2"/>
        </w:numPr>
        <w:spacing w:after="80"/>
      </w:pPr>
      <w:r>
        <w:rPr>
          <w:rFonts w:ascii="Arial" w:cs="Arial" w:eastAsia="Arial" w:hAnsi="Arial"/>
          <w:sz w:val="22"/>
          <w:szCs w:val="22"/>
        </w:rPr>
        <w:t xml:space="preserve">ensure provision of the Service to Individuals as described in Part 7 of the Schedule.</w:t>
      </w:r>
    </w:p>
    <w:p>
      <w:pPr>
        <w:pStyle w:val="ListParagraph"/>
        <w:numPr>
          <w:ilvl w:val="0"/>
          <w:numId w:val="2"/>
        </w:numPr>
        <w:spacing w:after="80"/>
      </w:pPr>
      <w:r>
        <w:rPr>
          <w:rFonts w:ascii="Arial" w:cs="Arial" w:eastAsia="Arial" w:hAnsi="Arial"/>
          <w:sz w:val="22"/>
          <w:szCs w:val="22"/>
        </w:rPr>
        <w:t xml:space="preserve">ensure continuity and consistency of the Service to individuals.</w:t>
      </w:r>
    </w:p>
    <w:p>
      <w:pPr>
        <w:pStyle w:val="ListParagraph"/>
        <w:numPr>
          <w:ilvl w:val="0"/>
          <w:numId w:val="2"/>
        </w:numPr>
        <w:spacing w:after="80"/>
      </w:pPr>
      <w:r>
        <w:rPr>
          <w:rFonts w:ascii="Arial" w:cs="Arial" w:eastAsia="Arial" w:hAnsi="Arial"/>
          <w:sz w:val="22"/>
          <w:szCs w:val="22"/>
        </w:rPr>
        <w:t xml:space="preserve">enable all parties to discharge their respective statutory duties.</w:t>
      </w:r>
    </w:p>
    <w:p>
      <w:pPr>
        <w:pStyle w:val="ListParagraph"/>
        <w:numPr>
          <w:ilvl w:val="0"/>
          <w:numId w:val="2"/>
        </w:numPr>
        <w:spacing w:after="80"/>
      </w:pPr>
      <w:r>
        <w:rPr>
          <w:rFonts w:ascii="Arial" w:cs="Arial" w:eastAsia="Arial" w:hAnsi="Arial"/>
          <w:sz w:val="22"/>
          <w:szCs w:val="22"/>
        </w:rPr>
        <w:t xml:space="preserve">enable the protection of Children, Young Persons and MCR Pathways’ volunteers.</w:t>
      </w:r>
    </w:p>
    <w:p>
      <w:pPr>
        <w:pStyle w:val="ListParagraph"/>
        <w:numPr>
          <w:ilvl w:val="0"/>
          <w:numId w:val="2"/>
        </w:numPr>
        <w:spacing w:after="80"/>
      </w:pPr>
      <w:r>
        <w:rPr>
          <w:rFonts w:ascii="Arial" w:cs="Arial" w:eastAsia="Arial" w:hAnsi="Arial"/>
          <w:sz w:val="22"/>
          <w:szCs w:val="22"/>
        </w:rPr>
        <w:t xml:space="preserve">ensure maintenance of acceptable nationally agreed quality standards applicable to the provision of the Service.</w:t>
      </w:r>
    </w:p>
    <w:p>
      <w:pPr>
        <w:pStyle w:val="ListParagraph"/>
        <w:numPr>
          <w:ilvl w:val="0"/>
          <w:numId w:val="2"/>
        </w:numPr>
        <w:spacing w:after="80"/>
      </w:pPr>
      <w:r>
        <w:rPr>
          <w:rFonts w:ascii="Arial" w:cs="Arial" w:eastAsia="Arial" w:hAnsi="Arial"/>
          <w:sz w:val="22"/>
          <w:szCs w:val="22"/>
        </w:rPr>
        <w:t xml:space="preserve">support quality monitoring and improvement measures for the Service to Individuals.</w:t>
      </w:r>
    </w:p>
    <w:p>
      <w:pPr>
        <w:pStyle w:val="ListParagraph"/>
        <w:numPr>
          <w:ilvl w:val="0"/>
          <w:numId w:val="2"/>
        </w:numPr>
        <w:spacing w:after="80"/>
      </w:pPr>
      <w:r>
        <w:rPr>
          <w:rFonts w:ascii="Arial" w:cs="Arial" w:eastAsia="Arial" w:hAnsi="Arial"/>
          <w:sz w:val="22"/>
          <w:szCs w:val="22"/>
        </w:rPr>
        <w:t xml:space="preserve">support national initiatives, research and information exchange for the development and improvement of the School’s Education services to Children and Young Persons more generally.</w:t>
      </w:r>
    </w:p>
    <w:p>
      <w:pPr>
        <w:pStyle w:val="ListParagraph"/>
        <w:numPr>
          <w:ilvl w:val="0"/>
          <w:numId w:val="2"/>
        </w:numPr>
        <w:spacing w:after="80"/>
      </w:pPr>
      <w:r>
        <w:rPr>
          <w:rFonts w:ascii="Arial" w:cs="Arial" w:eastAsia="Arial" w:hAnsi="Arial"/>
          <w:sz w:val="22"/>
          <w:szCs w:val="22"/>
        </w:rPr>
        <w:t xml:space="preserve">support planning, management and governance of respective services by the Parties.</w:t>
      </w:r>
    </w:p>
    <w:p>
      <w:pPr>
        <w:pStyle w:val="ListParagraph"/>
        <w:numPr>
          <w:ilvl w:val="0"/>
          <w:numId w:val="2"/>
        </w:numPr>
        <w:spacing w:after="80"/>
      </w:pPr>
      <w:r>
        <w:rPr>
          <w:rFonts w:ascii="Arial" w:cs="Arial" w:eastAsia="Arial" w:hAnsi="Arial"/>
          <w:sz w:val="22"/>
          <w:szCs w:val="22"/>
        </w:rPr>
        <w:t xml:space="preserve">ensure availability of relevant information for audit, scrutiny and accountability of the Service to the Parties and to relevant regulatory and inspection bodies.</w:t>
      </w:r>
    </w:p>
    <w:p>
      <w:pPr>
        <w:pStyle w:val="ListParagraph"/>
        <w:numPr>
          <w:ilvl w:val="0"/>
          <w:numId w:val="2"/>
        </w:numPr>
        <w:spacing w:after="80"/>
      </w:pPr>
      <w:r>
        <w:rPr>
          <w:rFonts w:ascii="Arial" w:cs="Arial" w:eastAsia="Arial" w:hAnsi="Arial"/>
          <w:sz w:val="22"/>
          <w:szCs w:val="22"/>
        </w:rPr>
        <w:t xml:space="preserve">improve the achievement of Children and Young Persons in line with the School’s Education Services priorities.</w:t>
      </w:r>
    </w:p>
    <w:p>
      <w:pPr>
        <w:pStyle w:val="ListParagraph"/>
        <w:numPr>
          <w:ilvl w:val="0"/>
          <w:numId w:val="2"/>
        </w:numPr>
        <w:spacing w:after="80"/>
      </w:pPr>
      <w:r>
        <w:rPr>
          <w:rFonts w:ascii="Arial" w:cs="Arial" w:eastAsia="Arial" w:hAnsi="Arial"/>
          <w:sz w:val="22"/>
          <w:szCs w:val="22"/>
        </w:rPr>
        <w:t xml:space="preserve">other purposes which may emerge from time to time.</w:t>
      </w:r>
    </w:p>
    <w:p>
      <w:pPr>
        <w:pStyle w:val="ListParagraph"/>
        <w:numPr>
          <w:ilvl w:val="0"/>
          <w:numId w:val="2"/>
        </w:numPr>
        <w:spacing w:after="80"/>
      </w:pPr>
      <w:r>
        <w:rPr>
          <w:rFonts w:ascii="Arial" w:cs="Arial" w:eastAsia="Arial" w:hAnsi="Arial"/>
          <w:sz w:val="22"/>
          <w:szCs w:val="22"/>
        </w:rPr>
        <w:t xml:space="preserve">support independent evaluation and research purposes on behalf of MCR. MCR will be obliged to enter into an appropriate Data Sharing Agreement with any such party.</w:t>
      </w:r>
    </w:p>
    <w:p>
      <w:pPr>
        <w:spacing w:after="120"/>
      </w:pPr>
      <w:r>
        <w:rPr>
          <w:rFonts w:ascii="Arial" w:cs="Arial" w:eastAsia="Arial" w:hAnsi="Arial"/>
          <w:b w:val="false"/>
          <w:bCs w:val="false"/>
          <w:i w:val="false"/>
          <w:iCs w:val="false"/>
          <w:sz w:val="22"/>
          <w:szCs w:val="22"/>
        </w:rPr>
        <w:t xml:space="preserve">1.2 In respect of Section 1.1 above, this Data Sharing Agreement shall also apply to such other purposes as the Parties agree are necessary and proportionate for the provision of the Service and where the Processing underpinning such purposes is consistent with the over-arching principles of this Data Sharing Agreement. Any such additional functions which are identified will be added to the above list on the next review of this Data Sharing Agreement by the Parties. The Parties will exercise a high degree of scrutiny to ensure that any additional purposes identified meet all the necessary requirements of this Data Sharing Agreement.</w:t>
      </w:r>
    </w:p>
    <w:p>
      <w:pPr>
        <w:pStyle w:val="Heading2"/>
        <w:spacing w:after="120" w:before="240"/>
      </w:pPr>
      <w:r>
        <w:rPr>
          <w:rFonts w:ascii="Arial" w:cs="Arial" w:eastAsia="Arial" w:hAnsi="Arial"/>
          <w:b/>
          <w:bCs/>
          <w:sz w:val="24"/>
          <w:szCs w:val="24"/>
        </w:rPr>
        <w:t xml:space="preserve">2. Legal Basis</w:t>
      </w:r>
    </w:p>
    <w:p>
      <w:pPr>
        <w:spacing w:after="120"/>
      </w:pPr>
      <w:r>
        <w:rPr>
          <w:rFonts w:ascii="Arial" w:cs="Arial" w:eastAsia="Arial" w:hAnsi="Arial"/>
          <w:b w:val="false"/>
          <w:bCs w:val="false"/>
          <w:i w:val="false"/>
          <w:iCs w:val="false"/>
          <w:sz w:val="22"/>
          <w:szCs w:val="22"/>
        </w:rPr>
        <w:t xml:space="preserve">The Data is Processed within the School in terms of this Agreement on the following legal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Regulation</w:t>
            </w:r>
          </w:p>
        </w:tc>
        <w:tc>
          <w:tcPr>
            <w:tcW w:type="dxa" w:w="1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w:t>
            </w:r>
          </w:p>
        </w:tc>
        <w:tc>
          <w:tcPr>
            <w:tcW w:type="dxa" w:w="45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Description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The General Data Protection Regulation (EU) 2016/679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6(1)(e)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is necessary for the performance of a task carried out in the public interest or in the exercise of official authority vested in the Counterparty, in particular under the Education Act 1996, the Education Act 2002, section 175 of the Education Act 2002 (safeguarding) and section 10 of the Children Act 2004 (cooperation to improve well-being).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9(2)(g)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is necessary for reasons of substantial public interest, on the basis of European Union or Member State law which shall be proportionate to the aim pursued, respect the essence of the right to data protection and provide for suitable and specific measures to safeguard the fundamental rights and the interests of the data subject.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10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of personal data relating to criminal convictions and offences or related security measures is authorised by legislation with appropriate safeguards for the rights and freedoms of data subjects.</w:t>
            </w:r>
          </w:p>
        </w:tc>
      </w:tr>
    </w:tbl>
    <w:p>
      <w:pPr>
        <w:spacing w:after="100"/>
      </w:pPr>
      <w:r>
        <w:rPr>
          <w:rFonts w:ascii="Arial" w:cs="Arial" w:eastAsia="Arial" w:hAnsi="Arial"/>
          <w:b w:val="false"/>
          <w:bCs w:val="false"/>
          <w:i w:val="false"/>
          <w:iCs w:val="false"/>
          <w:sz w:val="22"/>
          <w:szCs w:val="22"/>
        </w:rPr>
        <w:t/>
      </w:r>
    </w:p>
    <w:p>
      <w:pPr>
        <w:spacing w:after="120"/>
      </w:pPr>
      <w:r>
        <w:rPr>
          <w:rFonts w:ascii="Arial" w:cs="Arial" w:eastAsia="Arial" w:hAnsi="Arial"/>
          <w:b w:val="false"/>
          <w:bCs w:val="false"/>
          <w:i w:val="false"/>
          <w:iCs w:val="false"/>
          <w:sz w:val="22"/>
          <w:szCs w:val="22"/>
        </w:rPr>
        <w:t xml:space="preserve">The Data will be shared with MCR and their Evaluation Partners on the following Legal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Performance of a task carried out in the public interest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6(1)(e)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is necessary for the performance of a task carried out in the public interest or in the exercise of official authority vested in the controller.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9(2)(g)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is necessary for reasons of substantial public interest, on the basis of European Union or Member State law which shall be proportionate to the aim pursued, respect the essence of the right to data protection and provide for suitable and specific measures to safeguard the fundamental rights and the interests of the data subject.</w:t>
            </w:r>
          </w:p>
        </w:tc>
      </w:tr>
    </w:tbl>
    <w:p>
      <w:pPr>
        <w:spacing w:after="100"/>
      </w:pPr>
      <w:r>
        <w:rPr>
          <w:rFonts w:ascii="Arial" w:cs="Arial" w:eastAsia="Arial" w:hAnsi="Arial"/>
          <w:b w:val="false"/>
          <w:bCs w:val="false"/>
          <w:i w:val="false"/>
          <w:iCs w:val="false"/>
          <w:sz w:val="22"/>
          <w:szCs w:val="22"/>
        </w:rPr>
        <w:t/>
      </w:r>
    </w:p>
    <w:p>
      <w:pPr>
        <w:spacing w:after="120"/>
      </w:pPr>
      <w:r>
        <w:rPr>
          <w:rFonts w:ascii="Arial" w:cs="Arial" w:eastAsia="Arial" w:hAnsi="Arial"/>
          <w:b w:val="false"/>
          <w:bCs w:val="false"/>
          <w:i w:val="false"/>
          <w:iCs w:val="false"/>
          <w:sz w:val="22"/>
          <w:szCs w:val="22"/>
        </w:rPr>
        <w:t xml:space="preserve">The sharing of Personal Data and Photographs/Film Footage with Evaluation Partners and/or for marketing/recruitment/fundraising purposes is on the following Legal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Consent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6(1)(a)</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shall be on the basis of the freely given, specific, informed and unambiguous consent of the Data Subject.</w:t>
            </w:r>
          </w:p>
        </w:tc>
      </w:tr>
    </w:tbl>
    <w:p>
      <w:pPr>
        <w:pStyle w:val="Heading1"/>
        <w:spacing w:after="180" w:before="320"/>
      </w:pPr>
      <w:r>
        <w:rPr>
          <w:rFonts w:ascii="Arial" w:cs="Arial" w:eastAsia="Arial" w:hAnsi="Arial"/>
          <w:b/>
          <w:bCs/>
          <w:sz w:val="28"/>
          <w:szCs w:val="28"/>
        </w:rPr>
        <w:t xml:space="preserve">Schedule Part 3 – Data Transfer Rules</w:t>
      </w:r>
    </w:p>
    <w:p>
      <w:pPr>
        <w:spacing w:after="120"/>
      </w:pPr>
      <w:r>
        <w:rPr>
          <w:rFonts w:ascii="Arial" w:cs="Arial" w:eastAsia="Arial" w:hAnsi="Arial"/>
          <w:b w:val="false"/>
          <w:bCs w:val="false"/>
          <w:i w:val="false"/>
          <w:iCs w:val="false"/>
          <w:sz w:val="22"/>
          <w:szCs w:val="22"/>
        </w:rPr>
        <w:t xml:space="preserve">Information exchange can only work properly in practice if it is provided in a format which the Receiving Party can utilise. It is also important that the Data is disclosed in a manner which ensures that no unauthorised reading, copying, altering or deleting of personal data occurs during electronic transmission or transportation of the Data. The Parties therefore agree that to the extent Data is physically transported, the following media are used:</w:t>
      </w:r>
    </w:p>
    <w:p>
      <w:pPr>
        <w:pStyle w:val="ListParagraph"/>
        <w:numPr>
          <w:ilvl w:val="0"/>
          <w:numId w:val="2"/>
        </w:numPr>
        <w:spacing w:after="80"/>
      </w:pPr>
      <w:r>
        <w:rPr>
          <w:rFonts w:ascii="Arial" w:cs="Arial" w:eastAsia="Arial" w:hAnsi="Arial"/>
          <w:sz w:val="22"/>
          <w:szCs w:val="22"/>
        </w:rPr>
        <w:t xml:space="preserve">Face to face</w:t>
      </w:r>
    </w:p>
    <w:p>
      <w:pPr>
        <w:pStyle w:val="ListParagraph"/>
        <w:numPr>
          <w:ilvl w:val="0"/>
          <w:numId w:val="2"/>
        </w:numPr>
        <w:spacing w:after="80"/>
      </w:pPr>
      <w:r>
        <w:rPr>
          <w:rFonts w:ascii="Arial" w:cs="Arial" w:eastAsia="Arial" w:hAnsi="Arial"/>
          <w:sz w:val="22"/>
          <w:szCs w:val="22"/>
        </w:rPr>
        <w:t xml:space="preserve">Online via secure systems</w:t>
      </w:r>
    </w:p>
    <w:p>
      <w:pPr>
        <w:pStyle w:val="ListParagraph"/>
        <w:numPr>
          <w:ilvl w:val="0"/>
          <w:numId w:val="2"/>
        </w:numPr>
        <w:spacing w:after="80"/>
      </w:pPr>
      <w:r>
        <w:rPr>
          <w:rFonts w:ascii="Arial" w:cs="Arial" w:eastAsia="Arial" w:hAnsi="Arial"/>
          <w:sz w:val="22"/>
          <w:szCs w:val="22"/>
        </w:rPr>
        <w:t xml:space="preserve">Secure email (attachments are password protected)</w:t>
      </w:r>
    </w:p>
    <w:p>
      <w:pPr>
        <w:pStyle w:val="ListParagraph"/>
        <w:numPr>
          <w:ilvl w:val="0"/>
          <w:numId w:val="2"/>
        </w:numPr>
        <w:spacing w:after="80"/>
      </w:pPr>
      <w:r>
        <w:rPr>
          <w:rFonts w:ascii="Arial" w:cs="Arial" w:eastAsia="Arial" w:hAnsi="Arial"/>
          <w:sz w:val="22"/>
          <w:szCs w:val="22"/>
        </w:rPr>
        <w:t xml:space="preserve">SFTP link</w:t>
      </w:r>
    </w:p>
    <w:p>
      <w:pPr>
        <w:pStyle w:val="ListParagraph"/>
        <w:numPr>
          <w:ilvl w:val="0"/>
          <w:numId w:val="2"/>
        </w:numPr>
        <w:spacing w:after="80"/>
      </w:pPr>
      <w:r>
        <w:rPr>
          <w:rFonts w:ascii="Arial" w:cs="Arial" w:eastAsia="Arial" w:hAnsi="Arial"/>
          <w:sz w:val="22"/>
          <w:szCs w:val="22"/>
        </w:rPr>
        <w:t xml:space="preserve">Encrypted removable media (subject to compliance with applicable MCR and/or the Academy or School policies)</w:t>
      </w:r>
    </w:p>
    <w:p>
      <w:pPr>
        <w:pStyle w:val="ListParagraph"/>
        <w:numPr>
          <w:ilvl w:val="0"/>
          <w:numId w:val="2"/>
        </w:numPr>
        <w:spacing w:after="80"/>
      </w:pPr>
      <w:r>
        <w:rPr>
          <w:rFonts w:ascii="Arial" w:cs="Arial" w:eastAsia="Arial" w:hAnsi="Arial"/>
          <w:sz w:val="22"/>
          <w:szCs w:val="22"/>
        </w:rPr>
        <w:t xml:space="preserve">Paper form (subject to compliance with applicable MCR and/or the Academy or School policies)</w:t>
      </w:r>
    </w:p>
    <w:p>
      <w:pPr>
        <w:spacing w:after="120"/>
      </w:pPr>
      <w:r>
        <w:rPr>
          <w:rFonts w:ascii="Arial" w:cs="Arial" w:eastAsia="Arial" w:hAnsi="Arial"/>
          <w:b w:val="false"/>
          <w:bCs w:val="false"/>
          <w:i w:val="false"/>
          <w:iCs w:val="false"/>
          <w:sz w:val="22"/>
          <w:szCs w:val="22"/>
        </w:rPr>
        <w:t xml:space="preserve">Where documents containing Data cannot be forwarded to the Data Controller on the same day the information was obtained, the documents must be stored securely in accordance with the Data Controller’s instructions and in accordance with applicable policies to ensure the security of data contained therein.</w:t>
      </w:r>
    </w:p>
    <w:p>
      <w:pPr>
        <w:pStyle w:val="Heading1"/>
        <w:spacing w:after="180" w:before="320"/>
      </w:pPr>
      <w:r>
        <w:rPr>
          <w:rFonts w:ascii="Arial" w:cs="Arial" w:eastAsia="Arial" w:hAnsi="Arial"/>
          <w:b/>
          <w:bCs/>
          <w:sz w:val="28"/>
          <w:szCs w:val="28"/>
        </w:rPr>
        <w:t xml:space="preserve">Schedule Part 4 – Representatives</w:t>
      </w:r>
    </w:p>
    <w:p>
      <w:pPr>
        <w:pStyle w:val="Heading2"/>
        <w:spacing w:after="120" w:before="240"/>
      </w:pPr>
      <w:r>
        <w:rPr>
          <w:rFonts w:ascii="Arial" w:cs="Arial" w:eastAsia="Arial" w:hAnsi="Arial"/>
          <w:b/>
          <w:bCs/>
          <w:sz w:val="24"/>
          <w:szCs w:val="24"/>
        </w:rPr>
        <w:t xml:space="preserve">Representatives and contact details</w:t>
      </w:r>
    </w:p>
    <w:p>
      <w:pPr>
        <w:spacing w:after="120"/>
      </w:pPr>
      <w:r>
        <w:rPr>
          <w:rFonts w:ascii="Arial" w:cs="Arial" w:eastAsia="Arial" w:hAnsi="Arial"/>
          <w:b/>
          <w:bCs/>
          <w:i w:val="false"/>
          <w:iCs w:val="false"/>
          <w:sz w:val="22"/>
          <w:szCs w:val="22"/>
        </w:rPr>
        <w:t xml:space="preserve">For Example Academy Trust:</w:t>
      </w:r>
    </w:p>
    <w:p>
      <w:pPr>
        <w:spacing w:after="120"/>
      </w:pPr>
      <w:r>
        <w:rPr>
          <w:rFonts w:ascii="Arial" w:cs="Arial" w:eastAsia="Arial" w:hAnsi="Arial"/>
          <w:b w:val="false"/>
          <w:bCs w:val="false"/>
          <w:i w:val="false"/>
          <w:iCs w:val="false"/>
          <w:sz w:val="22"/>
          <w:szCs w:val="22"/>
        </w:rPr>
        <w:t xml:space="preserve">Job Title: Designated Safeguarding Lead</w:t>
      </w:r>
    </w:p>
    <w:p>
      <w:pPr>
        <w:spacing w:after="120"/>
      </w:pPr>
      <w:r>
        <w:rPr>
          <w:rFonts w:ascii="Arial" w:cs="Arial" w:eastAsia="Arial" w:hAnsi="Arial"/>
          <w:b w:val="false"/>
          <w:bCs w:val="false"/>
          <w:i w:val="false"/>
          <w:iCs w:val="false"/>
          <w:sz w:val="22"/>
          <w:szCs w:val="22"/>
        </w:rPr>
        <w:t xml:space="preserve">Address: 1 Example Street, Example Town, EX1 1EX</w:t>
      </w:r>
    </w:p>
    <w:p>
      <w:pPr>
        <w:spacing w:after="120"/>
      </w:pPr>
      <w:r>
        <w:rPr>
          <w:rFonts w:ascii="Arial" w:cs="Arial" w:eastAsia="Arial" w:hAnsi="Arial"/>
          <w:b w:val="false"/>
          <w:bCs w:val="false"/>
          <w:i w:val="false"/>
          <w:iCs w:val="false"/>
          <w:sz w:val="22"/>
          <w:szCs w:val="22"/>
        </w:rPr>
        <w:t xml:space="preserve">Email: [insert school contact]</w:t>
      </w:r>
    </w:p>
    <w:p>
      <w:pPr>
        <w:spacing w:after="120"/>
      </w:pPr>
      <w:r>
        <w:rPr>
          <w:rFonts w:ascii="Arial" w:cs="Arial" w:eastAsia="Arial" w:hAnsi="Arial"/>
          <w:b w:val="false"/>
          <w:bCs w:val="false"/>
          <w:i w:val="false"/>
          <w:iCs w:val="false"/>
          <w:sz w:val="22"/>
          <w:szCs w:val="22"/>
        </w:rPr>
        <w:t xml:space="preserve">Phone: [insert]</w:t>
      </w:r>
    </w:p>
    <w:p>
      <w:pPr>
        <w:spacing w:after="120"/>
      </w:pPr>
      <w:r>
        <w:rPr>
          <w:rFonts w:ascii="Arial" w:cs="Arial" w:eastAsia="Arial" w:hAnsi="Arial"/>
          <w:b/>
          <w:bCs/>
          <w:i w:val="false"/>
          <w:iCs w:val="false"/>
          <w:sz w:val="22"/>
          <w:szCs w:val="22"/>
        </w:rPr>
        <w:t xml:space="preserve">For MCR Pathways:</w:t>
      </w:r>
    </w:p>
    <w:p>
      <w:pPr>
        <w:spacing w:after="120"/>
      </w:pPr>
      <w:r>
        <w:rPr>
          <w:rFonts w:ascii="Arial" w:cs="Arial" w:eastAsia="Arial" w:hAnsi="Arial"/>
          <w:b w:val="false"/>
          <w:bCs w:val="false"/>
          <w:i w:val="false"/>
          <w:iCs w:val="false"/>
          <w:sz w:val="22"/>
          <w:szCs w:val="22"/>
        </w:rPr>
        <w:t xml:space="preserve">Job Title: Head of Systems, Evidence and Impact</w:t>
      </w:r>
    </w:p>
    <w:p>
      <w:pPr>
        <w:spacing w:after="120"/>
      </w:pPr>
      <w:r>
        <w:rPr>
          <w:rFonts w:ascii="Arial" w:cs="Arial" w:eastAsia="Arial" w:hAnsi="Arial"/>
          <w:b w:val="false"/>
          <w:bCs w:val="false"/>
          <w:i w:val="false"/>
          <w:iCs w:val="false"/>
          <w:sz w:val="22"/>
          <w:szCs w:val="22"/>
        </w:rPr>
        <w:t xml:space="preserve">Address: MCR Pathways, Anderston Hub, Mitchell Library, Berkeley St, Glasgow, G3 7DN</w:t>
      </w:r>
    </w:p>
    <w:p>
      <w:pPr>
        <w:spacing w:after="120"/>
      </w:pPr>
      <w:r>
        <w:rPr>
          <w:rFonts w:ascii="Arial" w:cs="Arial" w:eastAsia="Arial" w:hAnsi="Arial"/>
          <w:b w:val="false"/>
          <w:bCs w:val="false"/>
          <w:i w:val="false"/>
          <w:iCs w:val="false"/>
          <w:sz w:val="22"/>
          <w:szCs w:val="22"/>
        </w:rPr>
        <w:t xml:space="preserve">Email: info@mcrpathways.org</w:t>
      </w:r>
    </w:p>
    <w:p>
      <w:pPr>
        <w:spacing w:after="120"/>
      </w:pPr>
      <w:r>
        <w:rPr>
          <w:rFonts w:ascii="Arial" w:cs="Arial" w:eastAsia="Arial" w:hAnsi="Arial"/>
          <w:b w:val="false"/>
          <w:bCs w:val="false"/>
          <w:i w:val="false"/>
          <w:iCs w:val="false"/>
          <w:sz w:val="22"/>
          <w:szCs w:val="22"/>
        </w:rPr>
        <w:t xml:space="preserve">Phone: 0141 221 0200</w:t>
      </w:r>
    </w:p>
    <w:p>
      <w:pPr>
        <w:pStyle w:val="Heading2"/>
        <w:spacing w:after="120" w:before="240"/>
      </w:pPr>
      <w:r>
        <w:rPr>
          <w:rFonts w:ascii="Arial" w:cs="Arial" w:eastAsia="Arial" w:hAnsi="Arial"/>
          <w:b/>
          <w:bCs/>
          <w:sz w:val="24"/>
          <w:szCs w:val="24"/>
        </w:rPr>
        <w:t xml:space="preserve">Escalation contact details</w:t>
      </w:r>
    </w:p>
    <w:p>
      <w:pPr>
        <w:spacing w:after="120"/>
      </w:pPr>
      <w:r>
        <w:rPr>
          <w:rFonts w:ascii="Arial" w:cs="Arial" w:eastAsia="Arial" w:hAnsi="Arial"/>
          <w:b/>
          <w:bCs/>
          <w:i w:val="false"/>
          <w:iCs w:val="false"/>
          <w:sz w:val="22"/>
          <w:szCs w:val="22"/>
        </w:rPr>
        <w:t xml:space="preserve">For Example Academy Trust:</w:t>
      </w:r>
    </w:p>
    <w:p>
      <w:pPr>
        <w:spacing w:after="120"/>
      </w:pPr>
      <w:r>
        <w:rPr>
          <w:rFonts w:ascii="Arial" w:cs="Arial" w:eastAsia="Arial" w:hAnsi="Arial"/>
          <w:b w:val="false"/>
          <w:bCs w:val="false"/>
          <w:i w:val="false"/>
          <w:iCs w:val="false"/>
          <w:sz w:val="22"/>
          <w:szCs w:val="22"/>
        </w:rPr>
        <w:t xml:space="preserve">Job Title: Headteacher</w:t>
      </w:r>
    </w:p>
    <w:p>
      <w:pPr>
        <w:spacing w:after="120"/>
      </w:pPr>
      <w:r>
        <w:rPr>
          <w:rFonts w:ascii="Arial" w:cs="Arial" w:eastAsia="Arial" w:hAnsi="Arial"/>
          <w:b w:val="false"/>
          <w:bCs w:val="false"/>
          <w:i w:val="false"/>
          <w:iCs w:val="false"/>
          <w:sz w:val="22"/>
          <w:szCs w:val="22"/>
        </w:rPr>
        <w:t xml:space="preserve">Address: 1 Example Street, Example Town, EX1 1EX</w:t>
      </w:r>
    </w:p>
    <w:p>
      <w:pPr>
        <w:spacing w:after="120"/>
      </w:pPr>
      <w:r>
        <w:rPr>
          <w:rFonts w:ascii="Arial" w:cs="Arial" w:eastAsia="Arial" w:hAnsi="Arial"/>
          <w:b w:val="false"/>
          <w:bCs w:val="false"/>
          <w:i w:val="false"/>
          <w:iCs w:val="false"/>
          <w:sz w:val="22"/>
          <w:szCs w:val="22"/>
        </w:rPr>
        <w:t xml:space="preserve">Email: [insert escalation contact]</w:t>
      </w:r>
    </w:p>
    <w:p>
      <w:pPr>
        <w:spacing w:after="120"/>
      </w:pPr>
      <w:r>
        <w:rPr>
          <w:rFonts w:ascii="Arial" w:cs="Arial" w:eastAsia="Arial" w:hAnsi="Arial"/>
          <w:b w:val="false"/>
          <w:bCs w:val="false"/>
          <w:i w:val="false"/>
          <w:iCs w:val="false"/>
          <w:sz w:val="22"/>
          <w:szCs w:val="22"/>
        </w:rPr>
        <w:t xml:space="preserve">Phone: [insert]</w:t>
      </w:r>
    </w:p>
    <w:p>
      <w:pPr>
        <w:spacing w:after="120"/>
      </w:pPr>
      <w:r>
        <w:rPr>
          <w:rFonts w:ascii="Arial" w:cs="Arial" w:eastAsia="Arial" w:hAnsi="Arial"/>
          <w:b/>
          <w:bCs/>
          <w:i w:val="false"/>
          <w:iCs w:val="false"/>
          <w:sz w:val="22"/>
          <w:szCs w:val="22"/>
        </w:rPr>
        <w:t xml:space="preserve">For MCR Pathways:</w:t>
      </w:r>
    </w:p>
    <w:p>
      <w:pPr>
        <w:spacing w:after="120"/>
      </w:pPr>
      <w:r>
        <w:rPr>
          <w:rFonts w:ascii="Arial" w:cs="Arial" w:eastAsia="Arial" w:hAnsi="Arial"/>
          <w:b w:val="false"/>
          <w:bCs w:val="false"/>
          <w:i w:val="false"/>
          <w:iCs w:val="false"/>
          <w:sz w:val="22"/>
          <w:szCs w:val="22"/>
        </w:rPr>
        <w:t xml:space="preserve">Job Title: Chief Executive Officer</w:t>
      </w:r>
    </w:p>
    <w:p>
      <w:pPr>
        <w:spacing w:after="120"/>
      </w:pPr>
      <w:r>
        <w:rPr>
          <w:rFonts w:ascii="Arial" w:cs="Arial" w:eastAsia="Arial" w:hAnsi="Arial"/>
          <w:b w:val="false"/>
          <w:bCs w:val="false"/>
          <w:i w:val="false"/>
          <w:iCs w:val="false"/>
          <w:sz w:val="22"/>
          <w:szCs w:val="22"/>
        </w:rPr>
        <w:t xml:space="preserve">Address: MCR Pathways, Anderston Hub, Mitchell Library, Berkeley St, Glasgow, G3 7DN</w:t>
      </w:r>
    </w:p>
    <w:p>
      <w:pPr>
        <w:spacing w:after="120"/>
      </w:pPr>
      <w:r>
        <w:rPr>
          <w:rFonts w:ascii="Arial" w:cs="Arial" w:eastAsia="Arial" w:hAnsi="Arial"/>
          <w:b w:val="false"/>
          <w:bCs w:val="false"/>
          <w:i w:val="false"/>
          <w:iCs w:val="false"/>
          <w:sz w:val="22"/>
          <w:szCs w:val="22"/>
        </w:rPr>
        <w:t xml:space="preserve">Email: sharon.mcintyre@mcrpathways.org</w:t>
      </w:r>
    </w:p>
    <w:p>
      <w:pPr>
        <w:spacing w:after="120"/>
      </w:pPr>
      <w:r>
        <w:rPr>
          <w:rFonts w:ascii="Arial" w:cs="Arial" w:eastAsia="Arial" w:hAnsi="Arial"/>
          <w:b w:val="false"/>
          <w:bCs w:val="false"/>
          <w:i w:val="false"/>
          <w:iCs w:val="false"/>
          <w:sz w:val="22"/>
          <w:szCs w:val="22"/>
        </w:rPr>
        <w:t xml:space="preserve">Phone: 0141 221 0200</w:t>
      </w:r>
    </w:p>
    <w:p>
      <w:pPr>
        <w:pStyle w:val="Heading1"/>
        <w:spacing w:after="180" w:before="320"/>
      </w:pPr>
      <w:r>
        <w:rPr>
          <w:rFonts w:ascii="Arial" w:cs="Arial" w:eastAsia="Arial" w:hAnsi="Arial"/>
          <w:b/>
          <w:bCs/>
          <w:sz w:val="28"/>
          <w:szCs w:val="28"/>
        </w:rPr>
        <w:t xml:space="preserve">Schedule Part 5 – Security Measures</w:t>
      </w:r>
    </w:p>
    <w:p>
      <w:pPr>
        <w:spacing w:after="120"/>
      </w:pPr>
      <w:r>
        <w:rPr>
          <w:rFonts w:ascii="Arial" w:cs="Arial" w:eastAsia="Arial" w:hAnsi="Arial"/>
          <w:b w:val="false"/>
          <w:bCs w:val="false"/>
          <w:i w:val="false"/>
          <w:iCs w:val="false"/>
          <w:sz w:val="22"/>
          <w:szCs w:val="22"/>
        </w:rPr>
        <w:t xml:space="preserve">The Parties shall each implement:</w:t>
      </w:r>
    </w:p>
    <w:p>
      <w:pPr>
        <w:pStyle w:val="ListParagraph"/>
        <w:numPr>
          <w:ilvl w:val="0"/>
          <w:numId w:val="2"/>
        </w:numPr>
        <w:spacing w:after="80"/>
      </w:pPr>
      <w:r>
        <w:rPr>
          <w:rFonts w:ascii="Arial" w:cs="Arial" w:eastAsia="Arial" w:hAnsi="Arial"/>
          <w:sz w:val="22"/>
          <w:szCs w:val="22"/>
        </w:rPr>
        <w:t xml:space="preserve">an organisational information security policy aligned to ISO 27001 or other similar standards;</w:t>
      </w:r>
    </w:p>
    <w:p>
      <w:pPr>
        <w:pStyle w:val="ListParagraph"/>
        <w:numPr>
          <w:ilvl w:val="0"/>
          <w:numId w:val="2"/>
        </w:numPr>
        <w:spacing w:after="80"/>
      </w:pPr>
      <w:r>
        <w:rPr>
          <w:rFonts w:ascii="Arial" w:cs="Arial" w:eastAsia="Arial" w:hAnsi="Arial"/>
          <w:sz w:val="22"/>
          <w:szCs w:val="22"/>
        </w:rPr>
        <w:t xml:space="preserve">procedures to protect organisational assets, including information, hardware and software;</w:t>
      </w:r>
    </w:p>
    <w:p>
      <w:pPr>
        <w:pStyle w:val="ListParagraph"/>
        <w:numPr>
          <w:ilvl w:val="0"/>
          <w:numId w:val="2"/>
        </w:numPr>
        <w:spacing w:after="80"/>
      </w:pPr>
      <w:r>
        <w:rPr>
          <w:rFonts w:ascii="Arial" w:cs="Arial" w:eastAsia="Arial" w:hAnsi="Arial"/>
          <w:sz w:val="22"/>
          <w:szCs w:val="22"/>
        </w:rPr>
        <w:t xml:space="preserve">procedures to identify whether or not any asset has been lost or compromised;</w:t>
      </w:r>
    </w:p>
    <w:p>
      <w:pPr>
        <w:pStyle w:val="ListParagraph"/>
        <w:numPr>
          <w:ilvl w:val="0"/>
          <w:numId w:val="2"/>
        </w:numPr>
        <w:spacing w:after="80"/>
      </w:pPr>
      <w:r>
        <w:rPr>
          <w:rFonts w:ascii="Arial" w:cs="Arial" w:eastAsia="Arial" w:hAnsi="Arial"/>
          <w:sz w:val="22"/>
          <w:szCs w:val="22"/>
        </w:rPr>
        <w:t xml:space="preserve">controls to ensure the return or destruction of information and assets at the end of, or at an agreed point within, the contractual relationship;</w:t>
      </w:r>
    </w:p>
    <w:p>
      <w:pPr>
        <w:pStyle w:val="ListParagraph"/>
        <w:numPr>
          <w:ilvl w:val="0"/>
          <w:numId w:val="2"/>
        </w:numPr>
        <w:spacing w:after="80"/>
      </w:pPr>
      <w:r>
        <w:rPr>
          <w:rFonts w:ascii="Arial" w:cs="Arial" w:eastAsia="Arial" w:hAnsi="Arial"/>
          <w:sz w:val="22"/>
          <w:szCs w:val="22"/>
        </w:rPr>
        <w:t xml:space="preserve">procedures to ensure integrity and availability of information;</w:t>
      </w:r>
    </w:p>
    <w:p>
      <w:pPr>
        <w:pStyle w:val="ListParagraph"/>
        <w:numPr>
          <w:ilvl w:val="0"/>
          <w:numId w:val="2"/>
        </w:numPr>
        <w:spacing w:after="80"/>
      </w:pPr>
      <w:r>
        <w:rPr>
          <w:rFonts w:ascii="Arial" w:cs="Arial" w:eastAsia="Arial" w:hAnsi="Arial"/>
          <w:sz w:val="22"/>
          <w:szCs w:val="22"/>
        </w:rPr>
        <w:t xml:space="preserve">restrictions on copying or disclosing information;</w:t>
      </w:r>
    </w:p>
    <w:p>
      <w:pPr>
        <w:pStyle w:val="ListParagraph"/>
        <w:numPr>
          <w:ilvl w:val="0"/>
          <w:numId w:val="2"/>
        </w:numPr>
        <w:spacing w:after="80"/>
      </w:pPr>
      <w:r>
        <w:rPr>
          <w:rFonts w:ascii="Arial" w:cs="Arial" w:eastAsia="Arial" w:hAnsi="Arial"/>
          <w:sz w:val="22"/>
          <w:szCs w:val="22"/>
        </w:rPr>
        <w:t xml:space="preserve">policy and procedures for the control of documents and protective marking; and</w:t>
      </w:r>
    </w:p>
    <w:p>
      <w:pPr>
        <w:pStyle w:val="ListParagraph"/>
        <w:numPr>
          <w:ilvl w:val="0"/>
          <w:numId w:val="2"/>
        </w:numPr>
        <w:spacing w:after="80"/>
      </w:pPr>
      <w:r>
        <w:rPr>
          <w:rFonts w:ascii="Arial" w:cs="Arial" w:eastAsia="Arial" w:hAnsi="Arial"/>
          <w:sz w:val="22"/>
          <w:szCs w:val="22"/>
        </w:rPr>
        <w:t xml:space="preserve">measures to ensure compliance with the PSN code of connection where the party is a PSN user.</w:t>
      </w:r>
    </w:p>
    <w:p>
      <w:pPr>
        <w:pStyle w:val="Heading2"/>
        <w:spacing w:after="120" w:before="240"/>
      </w:pPr>
      <w:r>
        <w:rPr>
          <w:rFonts w:ascii="Arial" w:cs="Arial" w:eastAsia="Arial" w:hAnsi="Arial"/>
          <w:b/>
          <w:bCs/>
          <w:sz w:val="24"/>
          <w:szCs w:val="24"/>
        </w:rPr>
        <w:t xml:space="preserve">2. Physical Security</w:t>
      </w:r>
    </w:p>
    <w:p>
      <w:pPr>
        <w:spacing w:after="120"/>
      </w:pPr>
      <w:r>
        <w:rPr>
          <w:rFonts w:ascii="Arial" w:cs="Arial" w:eastAsia="Arial" w:hAnsi="Arial"/>
          <w:b w:val="false"/>
          <w:bCs w:val="false"/>
          <w:i w:val="false"/>
          <w:iCs w:val="false"/>
          <w:sz w:val="22"/>
          <w:szCs w:val="22"/>
        </w:rPr>
        <w:t xml:space="preserve">2.1 Any use of data processing systems by unauthorised persons must be prevented by means of appropriate technical (keyword / password protection) and organisational (role based) access controls regarding user identification and authentication. Any hacking into the systems by unauthorised persons must be prevented. Specifically, the following technical and organisational measures are in place:</w:t>
      </w:r>
    </w:p>
    <w:p>
      <w:pPr>
        <w:spacing w:after="120"/>
      </w:pPr>
      <w:r>
        <w:rPr>
          <w:rFonts w:ascii="Arial" w:cs="Arial" w:eastAsia="Arial" w:hAnsi="Arial"/>
          <w:b w:val="false"/>
          <w:bCs w:val="false"/>
          <w:i w:val="false"/>
          <w:iCs w:val="false"/>
          <w:sz w:val="22"/>
          <w:szCs w:val="22"/>
        </w:rPr>
        <w:t xml:space="preserve">2.2 The unauthorised use of IT systems is prevented by:</w:t>
      </w:r>
    </w:p>
    <w:p>
      <w:pPr>
        <w:pStyle w:val="ListParagraph"/>
        <w:numPr>
          <w:ilvl w:val="0"/>
          <w:numId w:val="2"/>
        </w:numPr>
        <w:spacing w:after="80"/>
      </w:pPr>
      <w:r>
        <w:rPr>
          <w:rFonts w:ascii="Arial" w:cs="Arial" w:eastAsia="Arial" w:hAnsi="Arial"/>
          <w:sz w:val="22"/>
          <w:szCs w:val="22"/>
        </w:rPr>
        <w:t xml:space="preserve">User ID</w:t>
      </w:r>
    </w:p>
    <w:p>
      <w:pPr>
        <w:pStyle w:val="ListParagraph"/>
        <w:numPr>
          <w:ilvl w:val="0"/>
          <w:numId w:val="2"/>
        </w:numPr>
        <w:spacing w:after="80"/>
      </w:pPr>
      <w:r>
        <w:rPr>
          <w:rFonts w:ascii="Arial" w:cs="Arial" w:eastAsia="Arial" w:hAnsi="Arial"/>
          <w:sz w:val="22"/>
          <w:szCs w:val="22"/>
        </w:rPr>
        <w:t xml:space="preserve">Password assignment</w:t>
      </w:r>
    </w:p>
    <w:p>
      <w:pPr>
        <w:pStyle w:val="ListParagraph"/>
        <w:numPr>
          <w:ilvl w:val="0"/>
          <w:numId w:val="2"/>
        </w:numPr>
        <w:spacing w:after="80"/>
      </w:pPr>
      <w:r>
        <w:rPr>
          <w:rFonts w:ascii="Arial" w:cs="Arial" w:eastAsia="Arial" w:hAnsi="Arial"/>
          <w:sz w:val="22"/>
          <w:szCs w:val="22"/>
        </w:rPr>
        <w:t xml:space="preserve">Lock screen with password activation</w:t>
      </w:r>
    </w:p>
    <w:p>
      <w:pPr>
        <w:pStyle w:val="ListParagraph"/>
        <w:numPr>
          <w:ilvl w:val="0"/>
          <w:numId w:val="2"/>
        </w:numPr>
        <w:spacing w:after="80"/>
      </w:pPr>
      <w:r>
        <w:rPr>
          <w:rFonts w:ascii="Arial" w:cs="Arial" w:eastAsia="Arial" w:hAnsi="Arial"/>
          <w:sz w:val="22"/>
          <w:szCs w:val="22"/>
        </w:rPr>
        <w:t xml:space="preserve">Each authorised user has a private password known only to him.</w:t>
      </w:r>
    </w:p>
    <w:p>
      <w:pPr>
        <w:pStyle w:val="ListParagraph"/>
        <w:numPr>
          <w:ilvl w:val="0"/>
          <w:numId w:val="2"/>
        </w:numPr>
        <w:spacing w:after="80"/>
      </w:pPr>
      <w:r>
        <w:rPr>
          <w:rFonts w:ascii="Arial" w:cs="Arial" w:eastAsia="Arial" w:hAnsi="Arial"/>
          <w:sz w:val="22"/>
          <w:szCs w:val="22"/>
        </w:rPr>
        <w:t xml:space="preserve">All activities on the Data Processing systems automatically generate log-files.</w:t>
      </w:r>
    </w:p>
    <w:p>
      <w:pPr>
        <w:pStyle w:val="Heading2"/>
        <w:spacing w:after="120" w:before="240"/>
      </w:pPr>
      <w:r>
        <w:rPr>
          <w:rFonts w:ascii="Arial" w:cs="Arial" w:eastAsia="Arial" w:hAnsi="Arial"/>
          <w:b/>
          <w:bCs/>
          <w:sz w:val="24"/>
          <w:szCs w:val="24"/>
        </w:rPr>
        <w:t xml:space="preserve">3. Disposal of Assets</w:t>
      </w:r>
    </w:p>
    <w:p>
      <w:pPr>
        <w:spacing w:after="120"/>
      </w:pPr>
      <w:r>
        <w:rPr>
          <w:rFonts w:ascii="Arial" w:cs="Arial" w:eastAsia="Arial" w:hAnsi="Arial"/>
          <w:b w:val="false"/>
          <w:bCs w:val="false"/>
          <w:i w:val="false"/>
          <w:iCs w:val="false"/>
          <w:sz w:val="22"/>
          <w:szCs w:val="22"/>
        </w:rPr>
        <w:t xml:space="preserve">Where information supplied by a Party no longer required to be retained, any devices containing Personal Data should be physically destroyed or the information should be destroyed, deleted or overwritten using techniques to make the original information non-retrievable rather than using the standard delete or format function.</w:t>
      </w:r>
    </w:p>
    <w:p>
      <w:pPr>
        <w:pStyle w:val="Heading2"/>
        <w:spacing w:after="120" w:before="240"/>
      </w:pPr>
      <w:r>
        <w:rPr>
          <w:rFonts w:ascii="Arial" w:cs="Arial" w:eastAsia="Arial" w:hAnsi="Arial"/>
          <w:b/>
          <w:bCs/>
          <w:sz w:val="24"/>
          <w:szCs w:val="24"/>
        </w:rPr>
        <w:t xml:space="preserve">4. Malicious software and viruses</w:t>
      </w:r>
    </w:p>
    <w:p>
      <w:pPr>
        <w:spacing w:after="120"/>
      </w:pPr>
      <w:r>
        <w:rPr>
          <w:rFonts w:ascii="Arial" w:cs="Arial" w:eastAsia="Arial" w:hAnsi="Arial"/>
          <w:b w:val="false"/>
          <w:bCs w:val="false"/>
          <w:i w:val="false"/>
          <w:iCs w:val="false"/>
          <w:sz w:val="22"/>
          <w:szCs w:val="22"/>
        </w:rPr>
        <w:t xml:space="preserve">4.1 Each Party must ensure that:</w:t>
      </w:r>
    </w:p>
    <w:p>
      <w:pPr>
        <w:pStyle w:val="ListParagraph"/>
        <w:numPr>
          <w:ilvl w:val="0"/>
          <w:numId w:val="2"/>
        </w:numPr>
        <w:spacing w:after="80"/>
      </w:pPr>
      <w:r>
        <w:rPr>
          <w:rFonts w:ascii="Arial" w:cs="Arial" w:eastAsia="Arial" w:hAnsi="Arial"/>
          <w:sz w:val="22"/>
          <w:szCs w:val="22"/>
        </w:rPr>
        <w:t xml:space="preserve">PCs used in supporting the service are supplied with anti-virus software and anti-virus and security updates are promptly applied.</w:t>
      </w:r>
    </w:p>
    <w:p>
      <w:pPr>
        <w:pStyle w:val="ListParagraph"/>
        <w:numPr>
          <w:ilvl w:val="0"/>
          <w:numId w:val="2"/>
        </w:numPr>
        <w:spacing w:after="80"/>
      </w:pPr>
      <w:r>
        <w:rPr>
          <w:rFonts w:ascii="Arial" w:cs="Arial" w:eastAsia="Arial" w:hAnsi="Arial"/>
          <w:sz w:val="22"/>
          <w:szCs w:val="22"/>
        </w:rPr>
        <w:t xml:space="preserve">All files received by one Party from the other are scanned to ensure that no viruses are passed.</w:t>
      </w:r>
    </w:p>
    <w:p>
      <w:pPr>
        <w:pStyle w:val="ListParagraph"/>
        <w:numPr>
          <w:ilvl w:val="0"/>
          <w:numId w:val="2"/>
        </w:numPr>
        <w:spacing w:after="80"/>
      </w:pPr>
      <w:r>
        <w:rPr>
          <w:rFonts w:ascii="Arial" w:cs="Arial" w:eastAsia="Arial" w:hAnsi="Arial"/>
          <w:sz w:val="22"/>
          <w:szCs w:val="22"/>
        </w:rPr>
        <w:t xml:space="preserve">The Parties must notify each other of any virus infections that could affect their systems on Data transfer.</w:t>
      </w:r>
    </w:p>
    <w:p>
      <w:pPr>
        <w:pStyle w:val="Heading2"/>
        <w:spacing w:after="120" w:before="240"/>
      </w:pPr>
      <w:r>
        <w:rPr>
          <w:rFonts w:ascii="Arial" w:cs="Arial" w:eastAsia="Arial" w:hAnsi="Arial"/>
          <w:b/>
          <w:bCs/>
          <w:sz w:val="24"/>
          <w:szCs w:val="24"/>
        </w:rPr>
        <w:t xml:space="preserve">5. Reporting security incidents</w:t>
      </w:r>
    </w:p>
    <w:p>
      <w:pPr>
        <w:spacing w:after="120"/>
      </w:pPr>
      <w:r>
        <w:rPr>
          <w:rFonts w:ascii="Arial" w:cs="Arial" w:eastAsia="Arial" w:hAnsi="Arial"/>
          <w:b w:val="false"/>
          <w:bCs w:val="false"/>
          <w:i w:val="false"/>
          <w:iCs w:val="false"/>
          <w:sz w:val="22"/>
          <w:szCs w:val="22"/>
        </w:rPr>
        <w:t xml:space="preserve">A formal process shall be put in place to ensure that all security incidents are promptly reported to the Academy and relevant staff employed by the Parties shall be made aware of this process.</w:t>
      </w:r>
    </w:p>
    <w:p>
      <w:pPr>
        <w:pStyle w:val="Heading2"/>
        <w:spacing w:after="120" w:before="240"/>
      </w:pPr>
      <w:r>
        <w:rPr>
          <w:rFonts w:ascii="Arial" w:cs="Arial" w:eastAsia="Arial" w:hAnsi="Arial"/>
          <w:b/>
          <w:bCs/>
          <w:sz w:val="24"/>
          <w:szCs w:val="24"/>
        </w:rPr>
        <w:t xml:space="preserve">6. Data Security Standards</w:t>
      </w:r>
    </w:p>
    <w:p>
      <w:pPr>
        <w:pStyle w:val="Heading2"/>
        <w:spacing w:after="120" w:before="240"/>
      </w:pPr>
      <w:r>
        <w:rPr>
          <w:rFonts w:ascii="Arial" w:cs="Arial" w:eastAsia="Arial" w:hAnsi="Arial"/>
          <w:b/>
          <w:bCs/>
          <w:sz w:val="24"/>
          <w:szCs w:val="24"/>
        </w:rPr>
        <w:t xml:space="preserve">6.1 Legal responsibilities — Data Protection Law</w:t>
      </w:r>
    </w:p>
    <w:p>
      <w:pPr>
        <w:spacing w:after="120"/>
      </w:pPr>
      <w:r>
        <w:rPr>
          <w:rFonts w:ascii="Arial" w:cs="Arial" w:eastAsia="Arial" w:hAnsi="Arial"/>
          <w:b w:val="false"/>
          <w:bCs w:val="false"/>
          <w:i w:val="false"/>
          <w:iCs w:val="false"/>
          <w:sz w:val="22"/>
          <w:szCs w:val="22"/>
        </w:rPr>
        <w:t xml:space="preserve">The Parties must observe the requirements of Data Protection Law while handling any Data during the term of this Agreement. In particular, Data must be protected by an approved encryption method when removed from the Parties’ IT systems.</w:t>
      </w:r>
    </w:p>
    <w:p>
      <w:pPr>
        <w:spacing w:after="120"/>
      </w:pPr>
      <w:r>
        <w:rPr>
          <w:rFonts w:ascii="Arial" w:cs="Arial" w:eastAsia="Arial" w:hAnsi="Arial"/>
          <w:b w:val="false"/>
          <w:bCs w:val="false"/>
          <w:i w:val="false"/>
          <w:iCs w:val="false"/>
          <w:sz w:val="22"/>
          <w:szCs w:val="22"/>
        </w:rPr>
        <w:t xml:space="preserve">No Data shall be transferred outside the European Economic Area.</w:t>
      </w:r>
    </w:p>
    <w:p>
      <w:pPr>
        <w:pStyle w:val="Heading2"/>
        <w:spacing w:after="120" w:before="240"/>
      </w:pPr>
      <w:r>
        <w:rPr>
          <w:rFonts w:ascii="Arial" w:cs="Arial" w:eastAsia="Arial" w:hAnsi="Arial"/>
          <w:b/>
          <w:bCs/>
          <w:sz w:val="24"/>
          <w:szCs w:val="24"/>
        </w:rPr>
        <w:t xml:space="preserve">6.2 Access control</w:t>
      </w:r>
    </w:p>
    <w:p>
      <w:pPr>
        <w:spacing w:after="120"/>
      </w:pPr>
      <w:r>
        <w:rPr>
          <w:rFonts w:ascii="Arial" w:cs="Arial" w:eastAsia="Arial" w:hAnsi="Arial"/>
          <w:b w:val="false"/>
          <w:bCs w:val="false"/>
          <w:i w:val="false"/>
          <w:iCs w:val="false"/>
          <w:sz w:val="22"/>
          <w:szCs w:val="22"/>
        </w:rPr>
        <w:t xml:space="preserve">Where access is provided to either Party’s systems holding data for the purposes of the provision of the Service by MCR:</w:t>
      </w:r>
    </w:p>
    <w:p>
      <w:pPr>
        <w:pStyle w:val="ListParagraph"/>
        <w:numPr>
          <w:ilvl w:val="0"/>
          <w:numId w:val="2"/>
        </w:numPr>
        <w:spacing w:after="80"/>
      </w:pPr>
      <w:r>
        <w:rPr>
          <w:rFonts w:ascii="Arial" w:cs="Arial" w:eastAsia="Arial" w:hAnsi="Arial"/>
          <w:sz w:val="22"/>
          <w:szCs w:val="22"/>
        </w:rPr>
        <w:t xml:space="preserve">Written formal authorisation must be obtained through the Party’s routine authorisation process</w:t>
      </w:r>
    </w:p>
    <w:p>
      <w:pPr>
        <w:pStyle w:val="ListParagraph"/>
        <w:numPr>
          <w:ilvl w:val="0"/>
          <w:numId w:val="2"/>
        </w:numPr>
        <w:spacing w:after="80"/>
      </w:pPr>
      <w:r>
        <w:rPr>
          <w:rFonts w:ascii="Arial" w:cs="Arial" w:eastAsia="Arial" w:hAnsi="Arial"/>
          <w:sz w:val="22"/>
          <w:szCs w:val="22"/>
        </w:rPr>
        <w:t xml:space="preserve">Access will be through allocated user accounts to ensure activity can be traced to the user</w:t>
      </w:r>
    </w:p>
    <w:p>
      <w:pPr>
        <w:pStyle w:val="ListParagraph"/>
        <w:numPr>
          <w:ilvl w:val="0"/>
          <w:numId w:val="2"/>
        </w:numPr>
        <w:spacing w:after="80"/>
      </w:pPr>
      <w:r>
        <w:rPr>
          <w:rFonts w:ascii="Arial" w:cs="Arial" w:eastAsia="Arial" w:hAnsi="Arial"/>
          <w:sz w:val="22"/>
          <w:szCs w:val="22"/>
        </w:rPr>
        <w:t xml:space="preserve">Authorised access methods complying with the Party’s Information Security Policy, ICT Strategy and supporting standards will be used</w:t>
      </w:r>
    </w:p>
    <w:p>
      <w:pPr>
        <w:pStyle w:val="ListParagraph"/>
        <w:numPr>
          <w:ilvl w:val="0"/>
          <w:numId w:val="2"/>
        </w:numPr>
        <w:spacing w:after="80"/>
      </w:pPr>
      <w:r>
        <w:rPr>
          <w:rFonts w:ascii="Arial" w:cs="Arial" w:eastAsia="Arial" w:hAnsi="Arial"/>
          <w:sz w:val="22"/>
          <w:szCs w:val="22"/>
        </w:rPr>
        <w:t xml:space="preserve">The Party’s staff who are given access must be made aware that they must observe the Party’s Acceptable Use Policy and Security Guidelines when using the Party’s systems</w:t>
      </w:r>
    </w:p>
    <w:p>
      <w:pPr>
        <w:pStyle w:val="ListParagraph"/>
        <w:numPr>
          <w:ilvl w:val="0"/>
          <w:numId w:val="2"/>
        </w:numPr>
        <w:spacing w:after="80"/>
      </w:pPr>
      <w:r>
        <w:rPr>
          <w:rFonts w:ascii="Arial" w:cs="Arial" w:eastAsia="Arial" w:hAnsi="Arial"/>
          <w:sz w:val="22"/>
          <w:szCs w:val="22"/>
        </w:rPr>
        <w:t xml:space="preserve">Each Party must inform the other Party when access rights are no longer required, for example, when a member of staff leaves or moves to other duties.</w:t>
      </w:r>
    </w:p>
    <w:p>
      <w:pPr>
        <w:pStyle w:val="ListParagraph"/>
        <w:numPr>
          <w:ilvl w:val="0"/>
          <w:numId w:val="2"/>
        </w:numPr>
        <w:spacing w:after="80"/>
      </w:pPr>
      <w:r>
        <w:rPr>
          <w:rFonts w:ascii="Arial" w:cs="Arial" w:eastAsia="Arial" w:hAnsi="Arial"/>
          <w:sz w:val="22"/>
          <w:szCs w:val="22"/>
        </w:rPr>
        <w:t xml:space="preserve">The Parties must maintain an up-to-date list of which personnel have been given what level of authorisations.</w:t>
      </w:r>
    </w:p>
    <w:p>
      <w:pPr>
        <w:pStyle w:val="Heading2"/>
        <w:spacing w:after="120" w:before="240"/>
      </w:pPr>
      <w:r>
        <w:rPr>
          <w:rFonts w:ascii="Arial" w:cs="Arial" w:eastAsia="Arial" w:hAnsi="Arial"/>
          <w:b/>
          <w:bCs/>
          <w:sz w:val="24"/>
          <w:szCs w:val="24"/>
        </w:rPr>
        <w:t xml:space="preserve">6.3 Monitoring of Activity</w:t>
      </w:r>
    </w:p>
    <w:p>
      <w:pPr>
        <w:spacing w:after="120"/>
      </w:pPr>
      <w:r>
        <w:rPr>
          <w:rFonts w:ascii="Arial" w:cs="Arial" w:eastAsia="Arial" w:hAnsi="Arial"/>
          <w:b w:val="false"/>
          <w:bCs w:val="false"/>
          <w:i w:val="false"/>
          <w:iCs w:val="false"/>
          <w:sz w:val="22"/>
          <w:szCs w:val="22"/>
        </w:rPr>
        <w:t xml:space="preserve">Both Parties may monitor user activity and revoke user rights on its systems.</w:t>
      </w:r>
    </w:p>
    <w:p>
      <w:pPr>
        <w:pStyle w:val="Heading2"/>
        <w:spacing w:after="120" w:before="240"/>
      </w:pPr>
      <w:r>
        <w:rPr>
          <w:rFonts w:ascii="Arial" w:cs="Arial" w:eastAsia="Arial" w:hAnsi="Arial"/>
          <w:b/>
          <w:bCs/>
          <w:sz w:val="24"/>
          <w:szCs w:val="24"/>
        </w:rPr>
        <w:t xml:space="preserve">6.4 Change Management and Governance</w:t>
      </w:r>
    </w:p>
    <w:p>
      <w:pPr>
        <w:spacing w:after="120"/>
      </w:pPr>
      <w:r>
        <w:rPr>
          <w:rFonts w:ascii="Arial" w:cs="Arial" w:eastAsia="Arial" w:hAnsi="Arial"/>
          <w:b w:val="false"/>
          <w:bCs w:val="false"/>
          <w:i w:val="false"/>
          <w:iCs w:val="false"/>
          <w:sz w:val="22"/>
          <w:szCs w:val="22"/>
        </w:rPr>
        <w:t xml:space="preserve">Changes to the Party’s systems must be authorised through the Party’s change management process, to ensure that the Party is able to trace and audit changes to the original specification.</w:t>
      </w:r>
    </w:p>
    <w:p>
      <w:pPr>
        <w:pStyle w:val="Heading1"/>
        <w:spacing w:after="180" w:before="320"/>
      </w:pPr>
      <w:r>
        <w:rPr>
          <w:rFonts w:ascii="Arial" w:cs="Arial" w:eastAsia="Arial" w:hAnsi="Arial"/>
          <w:b/>
          <w:bCs/>
          <w:sz w:val="28"/>
          <w:szCs w:val="28"/>
        </w:rPr>
        <w:t xml:space="preserve">Schedule Part 6 – Data Processing Terms</w:t>
      </w:r>
    </w:p>
    <w:p>
      <w:pPr>
        <w:spacing w:after="120"/>
      </w:pPr>
      <w:r>
        <w:rPr>
          <w:rFonts w:ascii="Arial" w:cs="Arial" w:eastAsia="Arial" w:hAnsi="Arial"/>
          <w:b w:val="false"/>
          <w:bCs w:val="false"/>
          <w:i w:val="false"/>
          <w:iCs w:val="false"/>
          <w:sz w:val="22"/>
          <w:szCs w:val="22"/>
        </w:rPr>
        <w:t xml:space="preserve">Where the Academy, as Disclosing Party, is a Controller in respect of Data, and MCR, as Receiving Party, will be a Processor in respect of the same, the following provisions shall apply. The details of the relevant Data and the Processing that is to take place in respect of the same is as set out in the Data Processing Particulars below.</w:t>
      </w:r>
    </w:p>
    <w:p>
      <w:pPr>
        <w:pStyle w:val="ListParagraph"/>
        <w:numPr>
          <w:ilvl w:val="0"/>
          <w:numId w:val="3"/>
        </w:numPr>
        <w:spacing w:after="100"/>
      </w:pPr>
      <w:r>
        <w:rPr>
          <w:rFonts w:ascii="Arial" w:cs="Arial" w:eastAsia="Arial" w:hAnsi="Arial"/>
          <w:sz w:val="22"/>
          <w:szCs w:val="22"/>
        </w:rPr>
        <w:t xml:space="preserve">MCR shall:</w:t>
      </w:r>
    </w:p>
    <w:p>
      <w:pPr>
        <w:pStyle w:val="ListParagraph"/>
        <w:numPr>
          <w:ilvl w:val="0"/>
          <w:numId w:val="2"/>
        </w:numPr>
        <w:spacing w:after="80"/>
      </w:pPr>
      <w:r>
        <w:rPr>
          <w:rFonts w:ascii="Arial" w:cs="Arial" w:eastAsia="Arial" w:hAnsi="Arial"/>
          <w:sz w:val="22"/>
          <w:szCs w:val="22"/>
        </w:rPr>
        <w:t xml:space="preserve">process the relevant Data only to the extent, and in such a manner, as is necessary for the Purpose, subject to and in accordance with the Academy’s express written instructions from time to time or otherwise as is necessary to provide certain services. If MCR considers that any instruction from the Academy contravenes Data Protection Law, it shall inform the Academy giving reasonable details;</w:t>
      </w:r>
    </w:p>
    <w:p>
      <w:pPr>
        <w:pStyle w:val="ListParagraph"/>
        <w:numPr>
          <w:ilvl w:val="0"/>
          <w:numId w:val="2"/>
        </w:numPr>
        <w:spacing w:after="80"/>
      </w:pPr>
      <w:r>
        <w:rPr>
          <w:rFonts w:ascii="Arial" w:cs="Arial" w:eastAsia="Arial" w:hAnsi="Arial"/>
          <w:sz w:val="22"/>
          <w:szCs w:val="22"/>
        </w:rPr>
        <w:t xml:space="preserve">except to the extent that MCR is required by law to retain any copies of any Data, upon the expiry or termination of this Agreement MCR will deliver to the Academy or destroy and/or permanently delete from its information technology systems all copies of any Data in its possession; and</w:t>
      </w:r>
    </w:p>
    <w:p>
      <w:pPr>
        <w:pStyle w:val="ListParagraph"/>
        <w:numPr>
          <w:ilvl w:val="0"/>
          <w:numId w:val="2"/>
        </w:numPr>
        <w:spacing w:after="80"/>
      </w:pPr>
      <w:r>
        <w:rPr>
          <w:rFonts w:ascii="Arial" w:cs="Arial" w:eastAsia="Arial" w:hAnsi="Arial"/>
          <w:sz w:val="22"/>
          <w:szCs w:val="22"/>
        </w:rPr>
        <w:t xml:space="preserve">in accordance with its obligations as a Processor under Data Protection Law, implement appropriate technical and organisational measures so as to ensure an appropriate level of security is adopted to mitigate the risks associated with the Processing of such Data. Details of the measures adopted by MCR from time to time shall be made available upon request to the Academy.</w:t>
      </w:r>
    </w:p>
    <w:p>
      <w:pPr>
        <w:pStyle w:val="ListParagraph"/>
        <w:numPr>
          <w:ilvl w:val="0"/>
          <w:numId w:val="3"/>
        </w:numPr>
        <w:spacing w:after="100"/>
      </w:pPr>
      <w:r>
        <w:rPr>
          <w:rFonts w:ascii="Arial" w:cs="Arial" w:eastAsia="Arial" w:hAnsi="Arial"/>
          <w:sz w:val="22"/>
          <w:szCs w:val="22"/>
        </w:rPr>
        <w:t xml:space="preserve">MCR will:</w:t>
      </w:r>
    </w:p>
    <w:p>
      <w:pPr>
        <w:pStyle w:val="ListParagraph"/>
        <w:numPr>
          <w:ilvl w:val="0"/>
          <w:numId w:val="2"/>
        </w:numPr>
        <w:spacing w:after="80"/>
      </w:pPr>
      <w:r>
        <w:rPr>
          <w:rFonts w:ascii="Arial" w:cs="Arial" w:eastAsia="Arial" w:hAnsi="Arial"/>
          <w:sz w:val="22"/>
          <w:szCs w:val="22"/>
        </w:rPr>
        <w:t xml:space="preserve">comply with its obligations as a Processor under Data Protection Law in relation to the Processing of Personal Data by it under this Agreement;</w:t>
      </w:r>
    </w:p>
    <w:p>
      <w:pPr>
        <w:pStyle w:val="ListParagraph"/>
        <w:numPr>
          <w:ilvl w:val="0"/>
          <w:numId w:val="2"/>
        </w:numPr>
        <w:spacing w:after="80"/>
      </w:pPr>
      <w:r>
        <w:rPr>
          <w:rFonts w:ascii="Arial" w:cs="Arial" w:eastAsia="Arial" w:hAnsi="Arial"/>
          <w:sz w:val="22"/>
          <w:szCs w:val="22"/>
        </w:rPr>
        <w:t xml:space="preserve">at the Academy’s cost and expense: promptly comply with any request from the Academy requiring MCR to update or otherwise amend, transfer, delete or destroy the relevant Data, provided that MCR will not be in breach of any other obligation under this Agreement to the extent that it cannot perform that obligation as a result of its compliance with this provision; assist the Academy to the extent reasonably required in responding to any Data Subject Request relating to any Data; and assist the Academy to the extent that such assistance is necessary to enable it to comply with its obligations under Data Protection Law in relation to the Processing of the Data by MCR under this Agreement, such assistance having regard to the nature of the Processing and the information available to MCR;</w:t>
      </w:r>
    </w:p>
    <w:p>
      <w:pPr>
        <w:pStyle w:val="ListParagraph"/>
        <w:numPr>
          <w:ilvl w:val="0"/>
          <w:numId w:val="2"/>
        </w:numPr>
        <w:spacing w:after="80"/>
      </w:pPr>
      <w:r>
        <w:rPr>
          <w:rFonts w:ascii="Arial" w:cs="Arial" w:eastAsia="Arial" w:hAnsi="Arial"/>
          <w:sz w:val="22"/>
          <w:szCs w:val="22"/>
        </w:rPr>
        <w:t xml:space="preserve">ensure that Data is Processed only by employees, contractors or other personnel that are subject to an appropriate duty of confidentiality;</w:t>
      </w:r>
    </w:p>
    <w:p>
      <w:pPr>
        <w:pStyle w:val="ListParagraph"/>
        <w:numPr>
          <w:ilvl w:val="0"/>
          <w:numId w:val="2"/>
        </w:numPr>
        <w:spacing w:after="80"/>
      </w:pPr>
      <w:r>
        <w:rPr>
          <w:rFonts w:ascii="Arial" w:cs="Arial" w:eastAsia="Arial" w:hAnsi="Arial"/>
          <w:sz w:val="22"/>
          <w:szCs w:val="22"/>
        </w:rPr>
        <w:t xml:space="preserve">not transfer any of the Data to outside of the United Kingdom and the European Economic Area, except upon and in accordance with the express written instructions or agreement in writing of the Academy.</w:t>
      </w:r>
    </w:p>
    <w:p>
      <w:pPr>
        <w:pStyle w:val="ListParagraph"/>
        <w:numPr>
          <w:ilvl w:val="0"/>
          <w:numId w:val="3"/>
        </w:numPr>
        <w:spacing w:after="100"/>
      </w:pPr>
      <w:r>
        <w:rPr>
          <w:rFonts w:ascii="Arial" w:cs="Arial" w:eastAsia="Arial" w:hAnsi="Arial"/>
          <w:sz w:val="22"/>
          <w:szCs w:val="22"/>
        </w:rPr>
        <w:t xml:space="preserve">MCR shall not sub-contract the performance of any of its obligations under this Agreement (or otherwise authorise any third party to Process the Data on its behalf) without the prior written consent of the Academy (which the Academy may give or withhold in its absolute discretion).</w:t>
      </w:r>
    </w:p>
    <w:p>
      <w:pPr>
        <w:pStyle w:val="ListParagraph"/>
        <w:numPr>
          <w:ilvl w:val="0"/>
          <w:numId w:val="3"/>
        </w:numPr>
        <w:spacing w:after="100"/>
      </w:pPr>
      <w:r>
        <w:rPr>
          <w:rFonts w:ascii="Arial" w:cs="Arial" w:eastAsia="Arial" w:hAnsi="Arial"/>
          <w:sz w:val="22"/>
          <w:szCs w:val="22"/>
        </w:rPr>
        <w:t xml:space="preserve">Where MCR engages another Processor by way of sub-contract (with that third party thereby being a sub-Processor) to perform Processing activities on behalf of the Academy, MCR shall:</w:t>
      </w:r>
    </w:p>
    <w:p>
      <w:pPr>
        <w:pStyle w:val="ListParagraph"/>
        <w:numPr>
          <w:ilvl w:val="0"/>
          <w:numId w:val="2"/>
        </w:numPr>
        <w:spacing w:after="80"/>
      </w:pPr>
      <w:r>
        <w:rPr>
          <w:rFonts w:ascii="Arial" w:cs="Arial" w:eastAsia="Arial" w:hAnsi="Arial"/>
          <w:sz w:val="22"/>
          <w:szCs w:val="22"/>
        </w:rPr>
        <w:t xml:space="preserve">be solely responsible for complying with Data Protection Law in terms of on-going sub-contracting and supervising that sub-Processor and its Processing operations;</w:t>
      </w:r>
    </w:p>
    <w:p>
      <w:pPr>
        <w:pStyle w:val="ListParagraph"/>
        <w:numPr>
          <w:ilvl w:val="0"/>
          <w:numId w:val="2"/>
        </w:numPr>
        <w:spacing w:after="80"/>
      </w:pPr>
      <w:r>
        <w:rPr>
          <w:rFonts w:ascii="Arial" w:cs="Arial" w:eastAsia="Arial" w:hAnsi="Arial"/>
          <w:sz w:val="22"/>
          <w:szCs w:val="22"/>
        </w:rPr>
        <w:t xml:space="preserve">not authorise a sub-Processor to Process the Data unless and until the relevant sub-contract incorporates (i) terms and conditions which are substantially the same or equivalent to the terms of this Agreement and (ii) a right to terminate automatically on termination of this Agreement for any reason;</w:t>
      </w:r>
    </w:p>
    <w:p>
      <w:pPr>
        <w:pStyle w:val="ListParagraph"/>
        <w:numPr>
          <w:ilvl w:val="0"/>
          <w:numId w:val="2"/>
        </w:numPr>
        <w:spacing w:after="80"/>
      </w:pPr>
      <w:r>
        <w:rPr>
          <w:rFonts w:ascii="Arial" w:cs="Arial" w:eastAsia="Arial" w:hAnsi="Arial"/>
          <w:sz w:val="22"/>
          <w:szCs w:val="22"/>
        </w:rPr>
        <w:t xml:space="preserve">be liable to the Academy for any act or omission by such sub-Processor which breaches the obligations of MCR under this Agreement; and</w:t>
      </w:r>
    </w:p>
    <w:p>
      <w:pPr>
        <w:pStyle w:val="ListParagraph"/>
        <w:numPr>
          <w:ilvl w:val="0"/>
          <w:numId w:val="2"/>
        </w:numPr>
        <w:spacing w:after="80"/>
      </w:pPr>
      <w:r>
        <w:rPr>
          <w:rFonts w:ascii="Arial" w:cs="Arial" w:eastAsia="Arial" w:hAnsi="Arial"/>
          <w:sz w:val="22"/>
          <w:szCs w:val="22"/>
        </w:rPr>
        <w:t xml:space="preserve">not disclose any Data to a third party in any circumstances other than to the sub-Processor(s) engaged in accordance with this Section or as expressly authorised by the Academy in advance and in writing.</w:t>
      </w:r>
    </w:p>
    <w:p>
      <w:pPr>
        <w:pStyle w:val="ListParagraph"/>
        <w:numPr>
          <w:ilvl w:val="0"/>
          <w:numId w:val="3"/>
        </w:numPr>
        <w:spacing w:after="100"/>
      </w:pPr>
      <w:r>
        <w:rPr>
          <w:rFonts w:ascii="Arial" w:cs="Arial" w:eastAsia="Arial" w:hAnsi="Arial"/>
          <w:sz w:val="22"/>
          <w:szCs w:val="22"/>
        </w:rPr>
        <w:t xml:space="preserve">At MCR’s cost and expense, MCR will provide the Academy on request with such information in MCR’s possession, as is reasonably necessary to enable the Academy to demonstrate its compliance with Data Protection Law in connection with this Agreement.</w:t>
      </w:r>
    </w:p>
    <w:p>
      <w:pPr>
        <w:pStyle w:val="ListParagraph"/>
        <w:numPr>
          <w:ilvl w:val="0"/>
          <w:numId w:val="3"/>
        </w:numPr>
        <w:spacing w:after="100"/>
      </w:pPr>
      <w:r>
        <w:rPr>
          <w:rFonts w:ascii="Arial" w:cs="Arial" w:eastAsia="Arial" w:hAnsi="Arial"/>
          <w:sz w:val="22"/>
          <w:szCs w:val="22"/>
        </w:rPr>
        <w:t xml:space="preserve">At the Academy’s cost and expense, MCR will, subject to compliance with the School’s relevant policies and procedures and upon reasonable notice, permit the Academy a reasonable right of audit in relation to MCR’s records and procedures relating to the Processing of Data, provided that MCR will not be obliged to disclose any information which is subject to third party confidentiality undertakings and such right of audit shall not be exercised more than once in any twelve (12) month period (other than where required by a regulator), as is reasonably necessary to enable MCR to demonstrate its compliance with Data Protection Law in connection with this Agreement.</w:t>
      </w:r>
    </w:p>
    <w:p>
      <w:pPr>
        <w:pStyle w:val="ListParagraph"/>
        <w:numPr>
          <w:ilvl w:val="0"/>
          <w:numId w:val="3"/>
        </w:numPr>
        <w:spacing w:after="100"/>
      </w:pPr>
      <w:r>
        <w:rPr>
          <w:rFonts w:ascii="Arial" w:cs="Arial" w:eastAsia="Arial" w:hAnsi="Arial"/>
          <w:sz w:val="22"/>
          <w:szCs w:val="22"/>
        </w:rPr>
        <w:t xml:space="preserve">MCR will promptly (and, in any event, no later than twenty-four (24) hours after becoming aware of the same) inform the Academy in writing of any Personal Data Breach or suspected Personal Data Breach affecting Data that has been shared with MCR pursuant to this Agreement. Such notification shall contain (as a minimum) such information as may be required for the Academy to discharge its responsibilities under Data Protection Law in relation to such breach or suspected breach.</w:t>
      </w:r>
    </w:p>
    <w:p>
      <w:pPr>
        <w:spacing w:after="120"/>
      </w:pPr>
      <w:r>
        <w:rPr>
          <w:rFonts w:ascii="Arial" w:cs="Arial" w:eastAsia="Arial" w:hAnsi="Arial"/>
          <w:b w:val="false"/>
          <w:bCs w:val="false"/>
          <w:i w:val="false"/>
          <w:iCs w:val="false"/>
          <w:sz w:val="22"/>
          <w:szCs w:val="22"/>
        </w:rPr>
        <w:t xml:space="preserve">For the avoidance of doubt, the Parties acknowledge that unless a particular disclosure of Data is explicitly made as being on the basis of Controller to Processor, the Data disclosed under this Agreement is made on a Controller to Controller basis and is therefore subject to the relevant provisions in Clause 2 rather than to the provisions in this Part 6 of the Schedule.</w:t>
      </w:r>
    </w:p>
    <w:p>
      <w:pPr>
        <w:spacing w:after="120"/>
      </w:pPr>
      <w:r>
        <w:rPr>
          <w:rFonts w:ascii="Arial" w:cs="Arial" w:eastAsia="Arial" w:hAnsi="Arial"/>
          <w:b w:val="false"/>
          <w:bCs w:val="false"/>
          <w:i/>
          <w:iCs/>
          <w:sz w:val="22"/>
          <w:szCs w:val="22"/>
        </w:rPr>
        <w:t xml:space="preserve">Data Processing Particulars – to be completed by the Parties in due course if and when data is expected to be processed by MCR on a Controller to Processor basis</w:t>
      </w:r>
    </w:p>
    <w:p>
      <w:pPr>
        <w:pStyle w:val="Heading1"/>
        <w:spacing w:after="180" w:before="320"/>
      </w:pPr>
      <w:r>
        <w:rPr>
          <w:rFonts w:ascii="Arial" w:cs="Arial" w:eastAsia="Arial" w:hAnsi="Arial"/>
          <w:b/>
          <w:bCs/>
          <w:sz w:val="28"/>
          <w:szCs w:val="28"/>
        </w:rPr>
        <w:t xml:space="preserve">Schedule Part 7 – The Programme</w:t>
      </w:r>
    </w:p>
    <w:p>
      <w:pPr>
        <w:pStyle w:val="Heading2"/>
        <w:spacing w:after="120" w:before="240"/>
      </w:pPr>
      <w:r>
        <w:rPr>
          <w:rFonts w:ascii="Arial" w:cs="Arial" w:eastAsia="Arial" w:hAnsi="Arial"/>
          <w:b/>
          <w:bCs/>
          <w:sz w:val="24"/>
          <w:szCs w:val="24"/>
        </w:rPr>
        <w:t xml:space="preserve">THE PROGRAMME</w:t>
      </w:r>
    </w:p>
    <w:p>
      <w:pPr>
        <w:spacing w:after="120"/>
      </w:pPr>
      <w:r>
        <w:rPr>
          <w:rFonts w:ascii="Arial" w:cs="Arial" w:eastAsia="Arial" w:hAnsi="Arial"/>
          <w:b w:val="false"/>
          <w:bCs w:val="false"/>
          <w:i w:val="false"/>
          <w:iCs w:val="false"/>
          <w:sz w:val="22"/>
          <w:szCs w:val="22"/>
        </w:rPr>
        <w:t xml:space="preserve">1. The programme is the MCR Mentoring Programme, a mentoring programme (the “Programme”) established by MCR to assist care experienced or those other Year 8 to Year 13 Children and Young People identified by the Parties who would benefit from participating in the Programme (hereinafter referred to as the “Targeted Group”). The Programme provides 1:1 mentoring and opportunities for the Targeted Group. MCR and the Academy are committed to long-term sustainable improvement in education and skills outcomes, employment options and life chances for the Targeted Group.</w:t>
      </w:r>
    </w:p>
    <w:p>
      <w:pPr>
        <w:spacing w:after="120"/>
      </w:pPr>
      <w:r>
        <w:rPr>
          <w:rFonts w:ascii="Arial" w:cs="Arial" w:eastAsia="Arial" w:hAnsi="Arial"/>
          <w:b w:val="false"/>
          <w:bCs w:val="false"/>
          <w:i w:val="false"/>
          <w:iCs w:val="false"/>
          <w:sz w:val="22"/>
          <w:szCs w:val="22"/>
        </w:rPr>
        <w:t xml:space="preserve">2. The aim of the Programme is to transform the education and skills outcomes and life chances for Young People who are experiencing disadvantage or who have care experience. The ultimate ambition is that all young people involved in the Programme who experience disadvantage will remain engaged in their learning, be supported to further or higher education or employment when they leave school and, importantly, sustain a positive destination after they have left school.</w:t>
      </w:r>
    </w:p>
    <w:p>
      <w:pPr>
        <w:spacing w:after="120"/>
      </w:pPr>
      <w:r>
        <w:rPr>
          <w:rFonts w:ascii="Arial" w:cs="Arial" w:eastAsia="Arial" w:hAnsi="Arial"/>
          <w:b w:val="false"/>
          <w:bCs w:val="false"/>
          <w:i w:val="false"/>
          <w:iCs w:val="false"/>
          <w:sz w:val="22"/>
          <w:szCs w:val="22"/>
        </w:rPr>
        <w:t xml:space="preserve">3. There are three MCR pathways, with mentoring and partnerships being key elements working alongside the school’s high expectations and aspirations for each and every young person in their care. These three pathways are:</w:t>
      </w:r>
    </w:p>
    <w:p>
      <w:pPr>
        <w:spacing w:after="120"/>
      </w:pPr>
      <w:r>
        <w:rPr>
          <w:rFonts w:ascii="Arial" w:cs="Arial" w:eastAsia="Arial" w:hAnsi="Arial"/>
          <w:b w:val="false"/>
          <w:bCs w:val="false"/>
          <w:i w:val="false"/>
          <w:iCs w:val="false"/>
          <w:sz w:val="22"/>
          <w:szCs w:val="22"/>
        </w:rPr>
        <w:t xml:space="preserve">(i) Re-engaging in education and learning</w:t>
      </w:r>
    </w:p>
    <w:p>
      <w:pPr>
        <w:spacing w:after="120"/>
      </w:pPr>
      <w:r>
        <w:rPr>
          <w:rFonts w:ascii="Arial" w:cs="Arial" w:eastAsia="Arial" w:hAnsi="Arial"/>
          <w:b w:val="false"/>
          <w:bCs w:val="false"/>
          <w:i w:val="false"/>
          <w:iCs w:val="false"/>
          <w:sz w:val="22"/>
          <w:szCs w:val="22"/>
        </w:rPr>
        <w:t xml:space="preserve">(ii) Progression into further education or employment directly from school</w:t>
      </w:r>
    </w:p>
    <w:p>
      <w:pPr>
        <w:spacing w:after="120"/>
      </w:pPr>
      <w:r>
        <w:rPr>
          <w:rFonts w:ascii="Arial" w:cs="Arial" w:eastAsia="Arial" w:hAnsi="Arial"/>
          <w:b w:val="false"/>
          <w:bCs w:val="false"/>
          <w:i w:val="false"/>
          <w:iCs w:val="false"/>
          <w:sz w:val="22"/>
          <w:szCs w:val="22"/>
        </w:rPr>
        <w:t xml:space="preserve">(iii) Progression into higher education</w:t>
      </w:r>
    </w:p>
    <w:p>
      <w:pPr>
        <w:spacing w:after="120"/>
      </w:pPr>
      <w:r>
        <w:rPr>
          <w:rFonts w:ascii="Arial" w:cs="Arial" w:eastAsia="Arial" w:hAnsi="Arial"/>
          <w:b w:val="false"/>
          <w:bCs w:val="false"/>
          <w:i w:val="false"/>
          <w:iCs w:val="false"/>
          <w:sz w:val="22"/>
          <w:szCs w:val="22"/>
        </w:rPr>
        <w:t xml:space="preserve">These pathways are not mutually exclusive, and progression is linked and focused on the potential of each young person. Although the Programme is focussed on supporting the needs of the most vulnerable the pathways can be used for all young people.</w:t>
      </w:r>
    </w:p>
    <w:p>
      <w:pPr>
        <w:spacing w:after="120"/>
      </w:pPr>
      <w:r>
        <w:rPr>
          <w:rFonts w:ascii="Arial" w:cs="Arial" w:eastAsia="Arial" w:hAnsi="Arial"/>
          <w:b w:val="false"/>
          <w:bCs w:val="false"/>
          <w:i w:val="false"/>
          <w:iCs w:val="false"/>
          <w:sz w:val="22"/>
          <w:szCs w:val="22"/>
        </w:rPr>
        <w:t xml:space="preserve">4. There is one core aspect to the Programme:</w:t>
      </w:r>
    </w:p>
    <w:p>
      <w:pPr>
        <w:spacing w:after="120"/>
      </w:pPr>
      <w:r>
        <w:rPr>
          <w:rFonts w:ascii="Arial" w:cs="Arial" w:eastAsia="Arial" w:hAnsi="Arial"/>
          <w:b w:val="false"/>
          <w:bCs w:val="false"/>
          <w:i w:val="false"/>
          <w:iCs w:val="false"/>
          <w:sz w:val="22"/>
          <w:szCs w:val="22"/>
        </w:rPr>
        <w:t xml:space="preserve">4.1 The Programme is a school or alternative site based mentoring programme for Year 9 and upwards which provides Young People with tailored one-to-one support from a carefully matched and trained volunteer mentor for an hour each week, normally during school term, for a minimum of a year, ideally two years.</w:t>
      </w:r>
    </w:p>
    <w:p>
      <w:pPr>
        <w:spacing w:after="120"/>
      </w:pPr>
      <w:r>
        <w:rPr>
          <w:rFonts w:ascii="Arial" w:cs="Arial" w:eastAsia="Arial" w:hAnsi="Arial"/>
          <w:b w:val="false"/>
          <w:bCs w:val="false"/>
          <w:i w:val="false"/>
          <w:iCs w:val="false"/>
          <w:sz w:val="22"/>
          <w:szCs w:val="22"/>
        </w:rPr>
        <w:t/>
      </w:r>
    </w:p>
    <w:p>
      <w:pPr>
        <w:spacing w:after="120"/>
      </w:pPr>
      <w:r>
        <w:rPr>
          <w:rFonts w:ascii="Arial" w:cs="Arial" w:eastAsia="Arial" w:hAnsi="Arial"/>
          <w:b w:val="false"/>
          <w:bCs w:val="false"/>
          <w:i w:val="false"/>
          <w:iCs w:val="false"/>
          <w:sz w:val="22"/>
          <w:szCs w:val="22"/>
        </w:rPr>
        <w:t xml:space="preserve">5. In addition to the core element, the Programme also gives further opportunities for the Young People to become in school Ambassadors and participate in the ‘School Leaver’s Transition Support Programme’ on leaving school.</w:t>
      </w:r>
    </w:p>
    <w:p>
      <w:pPr>
        <w:spacing w:after="120"/>
      </w:pPr>
      <w:r>
        <w:rPr>
          <w:rFonts w:ascii="Arial" w:cs="Arial" w:eastAsia="Arial" w:hAnsi="Arial"/>
          <w:b w:val="false"/>
          <w:bCs w:val="false"/>
          <w:i w:val="false"/>
          <w:iCs w:val="false"/>
          <w:sz w:val="22"/>
          <w:szCs w:val="22"/>
        </w:rPr>
        <w:t xml:space="preserve">6. All aspects of the Programme provide a high quality process and structure to connect, committed individuals and link organisations to provide pathways, experiences and opportunities for the Young People.</w:t>
      </w:r>
    </w:p>
    <w:p>
      <w:pPr>
        <w:spacing w:after="120"/>
      </w:pPr>
      <w:r>
        <w:rPr>
          <w:rFonts w:ascii="Arial" w:cs="Arial" w:eastAsia="Arial" w:hAnsi="Arial"/>
          <w:b w:val="false"/>
          <w:bCs w:val="false"/>
          <w:i w:val="false"/>
          <w:iCs w:val="false"/>
          <w:sz w:val="22"/>
          <w:szCs w:val="22"/>
        </w:rPr>
        <w:t xml:space="preserve">7. The Programme also includes ongoing programme communication, sharing of best practice and project plans.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MCR Pathways — DSA (master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MCRLogo" Type="http://schemas.openxmlformats.org/officeDocument/2006/relationships/image" Target="media/mcr-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2026-05-20T08:24:18.971Z</dcterms:created>
  <dcterms:modified xsi:type="dcterms:W3CDTF">2026-05-20T08:24:18.977Z</dcterms:modified>
</cp:coreProperties>
</file>

<file path=docProps/custom.xml><?xml version="1.0" encoding="utf-8"?>
<Properties xmlns="http://schemas.openxmlformats.org/officeDocument/2006/custom-properties" xmlns:vt="http://schemas.openxmlformats.org/officeDocument/2006/docPropsVTypes"/>
</file>