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i w:val="false"/>
          <w:iCs w:val="false"/>
          <w:sz w:val="32"/>
          <w:szCs w:val="32"/>
        </w:rPr>
        <w:t xml:space="preserve">DATA SHARING AGREEMENT</w:t>
      </w:r>
    </w:p>
    <w:p>
      <w:pPr>
        <w:spacing w:after="200"/>
        <w:jc w:val="center"/>
      </w:pPr>
      <w:r>
        <w:rPr>
          <w:rFonts w:ascii="Arial" w:cs="Arial" w:eastAsia="Arial" w:hAnsi="Arial"/>
          <w:b w:val="false"/>
          <w:bCs w:val="false"/>
          <w:i/>
          <w:iCs/>
          <w:sz w:val="24"/>
          <w:szCs w:val="24"/>
        </w:rPr>
        <w:t xml:space="preserve">between</w:t>
      </w:r>
    </w:p>
    <w:p>
      <w:pPr>
        <w:spacing w:after="120"/>
      </w:pPr>
      <w:r>
        <w:rPr>
          <w:rFonts w:ascii="Arial" w:cs="Arial" w:eastAsia="Arial" w:hAnsi="Arial"/>
          <w:b w:val="false"/>
          <w:bCs w:val="false"/>
          <w:i w:val="false"/>
          <w:iCs w:val="false"/>
          <w:sz w:val="22"/>
          <w:szCs w:val="22"/>
        </w:rPr>
        <w:t xml:space="preserve">{#isLA}{counterparty.legalName}, a local authority incorporated under {counterparty.incorporatingStatute} and having its head office at {counterparty.address} (the "Counterparty");{/isLA}</w:t>
      </w:r>
    </w:p>
    <w:p>
      <w:pPr>
        <w:spacing w:after="120"/>
      </w:pPr>
      <w:r>
        <w:rPr>
          <w:rFonts w:ascii="Arial" w:cs="Arial" w:eastAsia="Arial" w:hAnsi="Arial"/>
          <w:b w:val="false"/>
          <w:bCs w:val="false"/>
          <w:i w:val="false"/>
          <w:iCs w:val="false"/>
          <w:sz w:val="22"/>
          <w:szCs w:val="22"/>
        </w:rPr>
        <w:t xml:space="preserve">{^isLA}{counterparty.legalName}, {counterparty.incorporatingDescription} and located at {counterparty.address} (the "Counterparty");{/isLA}</w:t>
      </w:r>
    </w:p>
    <w:p>
      <w:pPr>
        <w:spacing w:after="120"/>
        <w:jc w:val="center"/>
      </w:pPr>
      <w:r>
        <w:rPr>
          <w:rFonts w:ascii="Arial" w:cs="Arial" w:eastAsia="Arial" w:hAnsi="Arial"/>
          <w:b w:val="false"/>
          <w:bCs w:val="false"/>
          <w:i w:val="false"/>
          <w:iCs w:val="false"/>
          <w:sz w:val="22"/>
          <w:szCs w:val="22"/>
        </w:rPr>
        <w:t xml:space="preserve">and</w:t>
      </w:r>
    </w:p>
    <w:p>
      <w:pPr>
        <w:spacing w:after="120"/>
      </w:pPr>
      <w:r>
        <w:rPr>
          <w:rFonts w:ascii="Arial" w:cs="Arial" w:eastAsia="Arial" w:hAnsi="Arial"/>
          <w:b w:val="false"/>
          <w:bCs w:val="false"/>
          <w:i w:val="false"/>
          <w:iCs w:val="false"/>
          <w:sz w:val="22"/>
          <w:szCs w:val="22"/>
        </w:rPr>
        <w:t xml:space="preserve">MCR PATHWAYS, a Scottish Charitable Incorporated Organisation (SCIO) regulated by the Scottish Charity Regulator (OSCR), Scottish charity number SC045816 and having its principal office at Anderston Hub, Mitchell Library, Berkeley Street, Glasgow, G3 7DN ("MCR"),</w:t>
      </w:r>
    </w:p>
    <w:p>
      <w:pPr>
        <w:spacing w:after="200"/>
        <w:jc w:val="center"/>
      </w:pPr>
      <w:r>
        <w:rPr>
          <w:rFonts w:ascii="Arial" w:cs="Arial" w:eastAsia="Arial" w:hAnsi="Arial"/>
          <w:b w:val="false"/>
          <w:bCs w:val="false"/>
          <w:i w:val="false"/>
          <w:iCs w:val="false"/>
          <w:sz w:val="22"/>
          <w:szCs w:val="22"/>
        </w:rPr>
        <w:t xml:space="preserve">(each a "Party" and together the "Parties").</w:t>
      </w:r>
    </w:p>
    <w:p>
      <w:pPr>
        <w:pStyle w:val="Heading1"/>
        <w:spacing w:after="180" w:before="320"/>
      </w:pPr>
      <w:r>
        <w:rPr>
          <w:rFonts w:ascii="Arial" w:cs="Arial" w:eastAsia="Arial" w:hAnsi="Arial"/>
          <w:b/>
          <w:bCs/>
          <w:sz w:val="28"/>
          <w:szCs w:val="28"/>
        </w:rPr>
        <w:t xml:space="preserve">BACKGROUND</w:t>
      </w:r>
    </w:p>
    <w:p>
      <w:pPr>
        <w:spacing w:after="120"/>
      </w:pPr>
      <w:r>
        <w:rPr>
          <w:rFonts w:ascii="Arial" w:cs="Arial" w:eastAsia="Arial" w:hAnsi="Arial"/>
          <w:b w:val="false"/>
          <w:bCs w:val="false"/>
          <w:i w:val="false"/>
          <w:iCs w:val="false"/>
          <w:sz w:val="22"/>
          <w:szCs w:val="22"/>
        </w:rPr>
        <w:t xml:space="preserve">The Parties agree to enter into a Data Sharing Agreement to allow the provision by MCR of a Mentoring Programme in {#isLA}the agreed School(s)/Site(s){/isLA}{^isLA}{counterparty.shortName}{/isLA};</w:t>
      </w:r>
    </w:p>
    <w:p>
      <w:pPr>
        <w:spacing w:after="120"/>
      </w:pPr>
      <w:r>
        <w:rPr>
          <w:rFonts w:ascii="Arial" w:cs="Arial" w:eastAsia="Arial" w:hAnsi="Arial"/>
          <w:b w:val="false"/>
          <w:bCs w:val="false"/>
          <w:i w:val="false"/>
          <w:iCs w:val="false"/>
          <w:sz w:val="22"/>
          <w:szCs w:val="22"/>
        </w:rPr>
        <w:t xml:space="preserve">MCR will, subject to a separate partnership agreement, be providing a Mentoring Programme, for {counterparty.shortName}{#isLA} at the agreed School(s)/Site(s){/isLA};</w:t>
      </w:r>
    </w:p>
    <w:p>
      <w:pPr>
        <w:spacing w:after="120"/>
      </w:pPr>
      <w:r>
        <w:rPr>
          <w:rFonts w:ascii="Arial" w:cs="Arial" w:eastAsia="Arial" w:hAnsi="Arial"/>
          <w:b w:val="false"/>
          <w:bCs w:val="false"/>
          <w:i w:val="false"/>
          <w:iCs w:val="false"/>
          <w:sz w:val="22"/>
          <w:szCs w:val="22"/>
        </w:rPr>
        <w:t xml:space="preserve">The provision of the Mentoring Programme entails the exchange of Data between the Parties; and</w:t>
      </w:r>
    </w:p>
    <w:p>
      <w:pPr>
        <w:spacing w:after="120"/>
      </w:pPr>
      <w:r>
        <w:rPr>
          <w:rFonts w:ascii="Arial" w:cs="Arial" w:eastAsia="Arial" w:hAnsi="Arial"/>
          <w:b w:val="false"/>
          <w:bCs w:val="false"/>
          <w:i w:val="false"/>
          <w:iCs w:val="false"/>
          <w:sz w:val="22"/>
          <w:szCs w:val="22"/>
        </w:rPr>
        <w:t xml:space="preserve">The Parties have agreed to exchange Data by means of this Data Sharing Agreement in order to ensure appropriate protections are in place in respect of such data and to comply with Data Protection Law.</w:t>
      </w:r>
    </w:p>
    <w:p>
      <w:pPr>
        <w:spacing w:after="200" w:before="200"/>
      </w:pPr>
      <w:r>
        <w:rPr>
          <w:rFonts w:ascii="Arial" w:cs="Arial" w:eastAsia="Arial" w:hAnsi="Arial"/>
          <w:b/>
          <w:bCs/>
          <w:i w:val="false"/>
          <w:iCs w:val="false"/>
          <w:sz w:val="22"/>
          <w:szCs w:val="22"/>
        </w:rPr>
        <w:t xml:space="preserve">NOW THEREFORE IT IS AGREED AS FOLLOWS:</w:t>
      </w:r>
    </w:p>
    <w:p>
      <w:pPr>
        <w:pStyle w:val="Heading1"/>
        <w:spacing w:after="180" w:before="320"/>
      </w:pPr>
      <w:r>
        <w:rPr>
          <w:rFonts w:ascii="Arial" w:cs="Arial" w:eastAsia="Arial" w:hAnsi="Arial"/>
          <w:b/>
          <w:bCs/>
          <w:sz w:val="28"/>
          <w:szCs w:val="28"/>
        </w:rPr>
        <w:t xml:space="preserve">1. DEFINITIONS</w:t>
      </w:r>
    </w:p>
    <w:p>
      <w:pPr>
        <w:spacing w:after="120"/>
      </w:pPr>
      <w:r>
        <w:rPr>
          <w:rFonts w:ascii="Arial" w:cs="Arial" w:eastAsia="Arial" w:hAnsi="Arial"/>
          <w:b w:val="false"/>
          <w:bCs w:val="false"/>
          <w:i w:val="false"/>
          <w:iCs w:val="false"/>
          <w:sz w:val="22"/>
          <w:szCs w:val="22"/>
        </w:rPr>
        <w:t xml:space="preserve">In construing this Agreement, capitalised words and expressions shall have the meaning set out opposite:</w:t>
      </w:r>
    </w:p>
    <w:p>
      <w:pPr>
        <w:spacing w:after="120"/>
      </w:pPr>
      <w:r>
        <w:rPr>
          <w:rFonts w:ascii="Arial" w:cs="Arial" w:eastAsia="Arial" w:hAnsi="Arial"/>
          <w:b/>
          <w:bCs/>
          <w:i w:val="false"/>
          <w:iCs w:val="false"/>
          <w:sz w:val="22"/>
          <w:szCs w:val="22"/>
        </w:rPr>
        <w:t xml:space="preserve">"Agreement"</w:t>
      </w:r>
      <w:r>
        <w:rPr>
          <w:rFonts w:ascii="Arial" w:cs="Arial" w:eastAsia="Arial" w:hAnsi="Arial"/>
          <w:b w:val="false"/>
          <w:bCs w:val="false"/>
          <w:i w:val="false"/>
          <w:iCs w:val="false"/>
          <w:sz w:val="22"/>
          <w:szCs w:val="22"/>
        </w:rPr>
        <w:t xml:space="preserve"> means this Data Sharing Agreement, as amended from time to time in accordance with its terms, including the Schedule;</w:t>
      </w:r>
    </w:p>
    <w:p>
      <w:pPr>
        <w:spacing w:after="120"/>
      </w:pPr>
      <w:r>
        <w:rPr>
          <w:rFonts w:ascii="Arial" w:cs="Arial" w:eastAsia="Arial" w:hAnsi="Arial"/>
          <w:b/>
          <w:bCs/>
          <w:i w:val="false"/>
          <w:iCs w:val="false"/>
          <w:sz w:val="22"/>
          <w:szCs w:val="22"/>
        </w:rPr>
        <w:t xml:space="preserve">"Business Day"</w:t>
      </w:r>
      <w:r>
        <w:rPr>
          <w:rFonts w:ascii="Arial" w:cs="Arial" w:eastAsia="Arial" w:hAnsi="Arial"/>
          <w:b w:val="false"/>
          <w:bCs w:val="false"/>
          <w:i w:val="false"/>
          <w:iCs w:val="false"/>
          <w:sz w:val="22"/>
          <w:szCs w:val="22"/>
        </w:rPr>
        <w:t xml:space="preserve"> means any day which is not a Saturday, a Sunday or a bank or public holiday throughout {businessDayGeographies};</w:t>
      </w:r>
    </w:p>
    <w:p>
      <w:pPr>
        <w:spacing w:after="120"/>
      </w:pPr>
      <w:r>
        <w:rPr>
          <w:rFonts w:ascii="Arial" w:cs="Arial" w:eastAsia="Arial" w:hAnsi="Arial"/>
          <w:b/>
          <w:bCs/>
          <w:i w:val="false"/>
          <w:iCs w:val="false"/>
          <w:sz w:val="22"/>
          <w:szCs w:val="22"/>
        </w:rPr>
        <w:t xml:space="preserve">"Child"</w:t>
      </w:r>
      <w:r>
        <w:rPr>
          <w:rFonts w:ascii="Arial" w:cs="Arial" w:eastAsia="Arial" w:hAnsi="Arial"/>
          <w:b w:val="false"/>
          <w:bCs w:val="false"/>
          <w:i w:val="false"/>
          <w:iCs w:val="false"/>
          <w:sz w:val="22"/>
          <w:szCs w:val="22"/>
        </w:rPr>
        <w:t xml:space="preserve"> or </w:t>
      </w:r>
      <w:r>
        <w:rPr>
          <w:rFonts w:ascii="Arial" w:cs="Arial" w:eastAsia="Arial" w:hAnsi="Arial"/>
          <w:b/>
          <w:bCs/>
          <w:i w:val="false"/>
          <w:iCs w:val="false"/>
          <w:sz w:val="22"/>
          <w:szCs w:val="22"/>
        </w:rPr>
        <w:t xml:space="preserve">"Young Person"</w:t>
      </w:r>
      <w:r>
        <w:rPr>
          <w:rFonts w:ascii="Arial" w:cs="Arial" w:eastAsia="Arial" w:hAnsi="Arial"/>
          <w:b w:val="false"/>
          <w:bCs w:val="false"/>
          <w:i w:val="false"/>
          <w:iCs w:val="false"/>
          <w:sz w:val="22"/>
          <w:szCs w:val="22"/>
        </w:rPr>
        <w:t xml:space="preserve"> means any person whose care and educational needs are the responsibility of {#isLA}the School(s) and therefore {counterparty.shortName}{/isLA}{^isLA}{counterparty.shortName}{#isEngland} and of the relevant local authority{/isEngland}{/isLA} under the {childrenAct} or any person who the Parties identify as benefiting from the Mentoring Programme;</w:t>
      </w:r>
    </w:p>
    <w:p>
      <w:pPr>
        <w:spacing w:after="120"/>
      </w:pPr>
      <w:r>
        <w:rPr>
          <w:rFonts w:ascii="Arial" w:cs="Arial" w:eastAsia="Arial" w:hAnsi="Arial"/>
          <w:b/>
          <w:bCs/>
          <w:i w:val="false"/>
          <w:iCs w:val="false"/>
          <w:sz w:val="22"/>
          <w:szCs w:val="22"/>
        </w:rPr>
        <w:t xml:space="preserve">"Confidential Information"</w:t>
      </w:r>
      <w:r>
        <w:rPr>
          <w:rFonts w:ascii="Arial" w:cs="Arial" w:eastAsia="Arial" w:hAnsi="Arial"/>
          <w:b w:val="false"/>
          <w:bCs w:val="false"/>
          <w:i w:val="false"/>
          <w:iCs w:val="false"/>
          <w:sz w:val="22"/>
          <w:szCs w:val="22"/>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p>
    <w:p>
      <w:pPr>
        <w:spacing w:after="120"/>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means the last date of execution hereof;</w:t>
      </w:r>
    </w:p>
    <w:p>
      <w:pPr>
        <w:spacing w:after="120"/>
      </w:pPr>
      <w:r>
        <w:rPr>
          <w:rFonts w:ascii="Arial" w:cs="Arial" w:eastAsia="Arial" w:hAnsi="Arial"/>
          <w:b/>
          <w:bCs/>
          <w:i w:val="false"/>
          <w:iCs w:val="false"/>
          <w:sz w:val="22"/>
          <w:szCs w:val="22"/>
        </w:rPr>
        <w:t xml:space="preserve">"Controller"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"Process"</w:t>
      </w:r>
      <w:r>
        <w:rPr>
          <w:rFonts w:ascii="Arial" w:cs="Arial" w:eastAsia="Arial" w:hAnsi="Arial"/>
          <w:b w:val="false"/>
          <w:bCs w:val="false"/>
          <w:i w:val="false"/>
          <w:iCs w:val="false"/>
          <w:sz w:val="22"/>
          <w:szCs w:val="22"/>
        </w:rPr>
        <w:t xml:space="preserve"> (and related terms such as "Processed" and “Processing") and </w:t>
      </w:r>
      <w:r>
        <w:rPr>
          <w:rFonts w:ascii="Arial" w:cs="Arial" w:eastAsia="Arial" w:hAnsi="Arial"/>
          <w:b/>
          <w:bCs/>
          <w:i w:val="false"/>
          <w:iCs w:val="false"/>
          <w:sz w:val="22"/>
          <w:szCs w:val="22"/>
        </w:rPr>
        <w:t xml:space="preserve">"Processor"</w:t>
      </w:r>
      <w:r>
        <w:rPr>
          <w:rFonts w:ascii="Arial" w:cs="Arial" w:eastAsia="Arial" w:hAnsi="Arial"/>
          <w:b w:val="false"/>
          <w:bCs w:val="false"/>
          <w:i w:val="false"/>
          <w:iCs w:val="false"/>
          <w:sz w:val="22"/>
          <w:szCs w:val="22"/>
        </w:rPr>
        <w:t xml:space="preserve"> shall each have the meaning ascribed to them in Data Protection Law;</w:t>
      </w:r>
    </w:p>
    <w:p>
      <w:pPr>
        <w:spacing w:after="120"/>
      </w:pPr>
      <w:r>
        <w:rPr>
          <w:rFonts w:ascii="Arial" w:cs="Arial" w:eastAsia="Arial" w:hAnsi="Arial"/>
          <w:b/>
          <w:bCs/>
          <w:i w:val="false"/>
          <w:iCs w:val="false"/>
          <w:sz w:val="22"/>
          <w:szCs w:val="22"/>
        </w:rPr>
        <w:t xml:space="preserve">"Data"</w:t>
      </w:r>
      <w:r>
        <w:rPr>
          <w:rFonts w:ascii="Arial" w:cs="Arial" w:eastAsia="Arial" w:hAnsi="Arial"/>
          <w:b w:val="false"/>
          <w:bCs w:val="false"/>
          <w:i w:val="false"/>
          <w:iCs w:val="false"/>
          <w:sz w:val="22"/>
          <w:szCs w:val="22"/>
        </w:rPr>
        <w:t xml:space="preserve"> means the information which contains Personal Data described in Part 1 of the Schedule;</w:t>
      </w:r>
    </w:p>
    <w:p>
      <w:pPr>
        <w:spacing w:after="120"/>
      </w:pPr>
      <w:r>
        <w:rPr>
          <w:rFonts w:ascii="Arial" w:cs="Arial" w:eastAsia="Arial" w:hAnsi="Arial"/>
          <w:b/>
          <w:bCs/>
          <w:i w:val="false"/>
          <w:iCs w:val="false"/>
          <w:sz w:val="22"/>
          <w:szCs w:val="22"/>
        </w:rPr>
        <w:t xml:space="preserve">"Data Protection Law"</w:t>
      </w:r>
      <w:r>
        <w:rPr>
          <w:rFonts w:ascii="Arial" w:cs="Arial" w:eastAsia="Arial" w:hAnsi="Arial"/>
          <w:b w:val="false"/>
          <w:bCs w:val="false"/>
          <w:i w:val="false"/>
          <w:iCs w:val="false"/>
          <w:sz w:val="22"/>
          <w:szCs w:val="22"/>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p>
    <w:p>
      <w:pPr>
        <w:spacing w:after="120"/>
      </w:pP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has the meaning ascribed to it in Data Protection Law, and the categories of Data Subjects within the scope of this Agreement are listed in Part 1 of the Schedule;</w:t>
      </w:r>
    </w:p>
    <w:p>
      <w:pPr>
        <w:spacing w:after="120"/>
      </w:pPr>
      <w:r>
        <w:rPr>
          <w:rFonts w:ascii="Arial" w:cs="Arial" w:eastAsia="Arial" w:hAnsi="Arial"/>
          <w:b/>
          <w:bCs/>
          <w:i w:val="false"/>
          <w:iCs w:val="false"/>
          <w:sz w:val="22"/>
          <w:szCs w:val="22"/>
        </w:rPr>
        <w:t xml:space="preserve">"Data Subject Request"</w:t>
      </w:r>
      <w:r>
        <w:rPr>
          <w:rFonts w:ascii="Arial" w:cs="Arial" w:eastAsia="Arial" w:hAnsi="Arial"/>
          <w:b w:val="false"/>
          <w:bCs w:val="false"/>
          <w:i w:val="false"/>
          <w:iCs w:val="false"/>
          <w:sz w:val="22"/>
          <w:szCs w:val="22"/>
        </w:rPr>
        <w:t xml:space="preserve"> means a written request made to either party as Data Controller, by or on behalf of a Data Subject, to exercise any rights conferred by Data Protection Law in relation to the data or the activities of the parties contemplated by this Agreement;</w:t>
      </w:r>
    </w:p>
    <w:p>
      <w:pPr>
        <w:spacing w:after="120"/>
      </w:pPr>
      <w:r>
        <w:rPr>
          <w:rFonts w:ascii="Arial" w:cs="Arial" w:eastAsia="Arial" w:hAnsi="Arial"/>
          <w:b/>
          <w:bCs/>
          <w:i w:val="false"/>
          <w:iCs w:val="false"/>
          <w:sz w:val="22"/>
          <w:szCs w:val="22"/>
        </w:rPr>
        <w:t xml:space="preserve">"Disclosing Party"</w:t>
      </w:r>
      <w:r>
        <w:rPr>
          <w:rFonts w:ascii="Arial" w:cs="Arial" w:eastAsia="Arial" w:hAnsi="Arial"/>
          <w:b w:val="false"/>
          <w:bCs w:val="false"/>
          <w:i w:val="false"/>
          <w:iCs w:val="false"/>
          <w:sz w:val="22"/>
          <w:szCs w:val="22"/>
        </w:rPr>
        <w:t xml:space="preserve"> means the Party (being either {counterparty.shortName} or MCR, as appropriate) disclosing Data (or on behalf of whom Data is disclosed) to the Receiving Party;</w:t>
      </w:r>
    </w:p>
    <w:p>
      <w:pPr>
        <w:spacing w:after="120"/>
      </w:pPr>
      <w:r>
        <w:rPr>
          <w:rFonts w:ascii="Arial" w:cs="Arial" w:eastAsia="Arial" w:hAnsi="Arial"/>
          <w:b/>
          <w:bCs/>
          <w:i w:val="false"/>
          <w:iCs w:val="false"/>
          <w:sz w:val="22"/>
          <w:szCs w:val="22"/>
        </w:rPr>
        <w:t xml:space="preserve">"{foi.short}"</w:t>
      </w:r>
      <w:r>
        <w:rPr>
          <w:rFonts w:ascii="Arial" w:cs="Arial" w:eastAsia="Arial" w:hAnsi="Arial"/>
          <w:b w:val="false"/>
          <w:bCs w:val="false"/>
          <w:i w:val="false"/>
          <w:iCs w:val="false"/>
          <w:sz w:val="22"/>
          <w:szCs w:val="22"/>
        </w:rPr>
        <w:t xml:space="preserve"> means the {foi.full};</w:t>
      </w:r>
    </w:p>
    <w:p>
      <w:pPr>
        <w:spacing w:after="120"/>
      </w:pPr>
      <w:r>
        <w:rPr>
          <w:rFonts w:ascii="Arial" w:cs="Arial" w:eastAsia="Arial" w:hAnsi="Arial"/>
          <w:b/>
          <w:bCs/>
          <w:i w:val="false"/>
          <w:iCs w:val="false"/>
          <w:sz w:val="22"/>
          <w:szCs w:val="22"/>
        </w:rPr>
        <w:t xml:space="preserve">"GDPR"</w:t>
      </w:r>
      <w:r>
        <w:rPr>
          <w:rFonts w:ascii="Arial" w:cs="Arial" w:eastAsia="Arial" w:hAnsi="Arial"/>
          <w:b w:val="false"/>
          <w:bCs w:val="false"/>
          <w:i w:val="false"/>
          <w:iCs w:val="false"/>
          <w:sz w:val="22"/>
          <w:szCs w:val="22"/>
        </w:rPr>
        <w:t xml:space="preserve"> means the European Union Regulation on the protection of natural persons with regard to the processing of personal data and on the free movement of such data (Regulation 2016/679);</w:t>
      </w:r>
    </w:p>
    <w:p>
      <w:pPr>
        <w:spacing w:after="120"/>
      </w:pPr>
      <w:r>
        <w:rPr>
          <w:rFonts w:ascii="Arial" w:cs="Arial" w:eastAsia="Arial" w:hAnsi="Arial"/>
          <w:b/>
          <w:bCs/>
          <w:i w:val="false"/>
          <w:iCs w:val="false"/>
          <w:sz w:val="22"/>
          <w:szCs w:val="22"/>
        </w:rPr>
        <w:t xml:space="preserve">"Individual"</w:t>
      </w:r>
      <w:r>
        <w:rPr>
          <w:rFonts w:ascii="Arial" w:cs="Arial" w:eastAsia="Arial" w:hAnsi="Arial"/>
          <w:b w:val="false"/>
          <w:bCs w:val="false"/>
          <w:i w:val="false"/>
          <w:iCs w:val="false"/>
          <w:sz w:val="22"/>
          <w:szCs w:val="22"/>
        </w:rPr>
        <w:t xml:space="preserve"> means any person who is (i) in receipt of the Service; or (ii) directly involved in the provision of the Service;</w:t>
      </w:r>
    </w:p>
    <w:p>
      <w:pPr>
        <w:spacing w:after="120"/>
      </w:pPr>
      <w:r>
        <w:rPr>
          <w:rFonts w:ascii="Arial" w:cs="Arial" w:eastAsia="Arial" w:hAnsi="Arial"/>
          <w:b/>
          <w:bCs/>
          <w:i w:val="false"/>
          <w:iCs w:val="false"/>
          <w:sz w:val="22"/>
          <w:szCs w:val="22"/>
        </w:rPr>
        <w:t xml:space="preserve">"Information Commissioner"</w:t>
      </w:r>
      <w:r>
        <w:rPr>
          <w:rFonts w:ascii="Arial" w:cs="Arial" w:eastAsia="Arial" w:hAnsi="Arial"/>
          <w:b w:val="false"/>
          <w:bCs w:val="false"/>
          <w:i w:val="false"/>
          <w:iCs w:val="false"/>
          <w:sz w:val="22"/>
          <w:szCs w:val="22"/>
        </w:rPr>
        <w:t xml:space="preserve"> means the UK Information Commissioner and any successor;</w:t>
      </w:r>
    </w:p>
    <w:p>
      <w:pPr>
        <w:spacing w:after="120"/>
      </w:pPr>
      <w:r>
        <w:rPr>
          <w:rFonts w:ascii="Arial" w:cs="Arial" w:eastAsia="Arial" w:hAnsi="Arial"/>
          <w:b/>
          <w:bCs/>
          <w:i w:val="false"/>
          <w:iCs w:val="false"/>
          <w:sz w:val="22"/>
          <w:szCs w:val="22"/>
        </w:rPr>
        <w:t xml:space="preserve">"Law"</w:t>
      </w:r>
      <w:r>
        <w:rPr>
          <w:rFonts w:ascii="Arial" w:cs="Arial" w:eastAsia="Arial" w:hAnsi="Arial"/>
          <w:b w:val="false"/>
          <w:bCs w:val="false"/>
          <w:i w:val="false"/>
          <w:iCs w:val="false"/>
          <w:sz w:val="22"/>
          <w:szCs w:val="22"/>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p>
    <w:p>
      <w:pPr>
        <w:spacing w:after="120"/>
      </w:pPr>
      <w:r>
        <w:rPr>
          <w:rFonts w:ascii="Arial" w:cs="Arial" w:eastAsia="Arial" w:hAnsi="Arial"/>
          <w:b/>
          <w:bCs/>
          <w:i w:val="false"/>
          <w:iCs w:val="false"/>
          <w:sz w:val="22"/>
          <w:szCs w:val="22"/>
        </w:rPr>
        <w:t xml:space="preserve">"Legal Basis"</w:t>
      </w:r>
      <w:r>
        <w:rPr>
          <w:rFonts w:ascii="Arial" w:cs="Arial" w:eastAsia="Arial" w:hAnsi="Arial"/>
          <w:b w:val="false"/>
          <w:bCs w:val="false"/>
          <w:i w:val="false"/>
          <w:iCs w:val="false"/>
          <w:sz w:val="22"/>
          <w:szCs w:val="22"/>
        </w:rPr>
        <w:t xml:space="preserve"> means in relation to either Party, the legal basis for sharing the Data as referred to in Clause 2.3 and as set out in Part 2 of the Schedule;</w:t>
      </w:r>
    </w:p>
    <w:p>
      <w:pPr>
        <w:spacing w:after="120"/>
      </w:pPr>
      <w:r>
        <w:rPr>
          <w:rFonts w:ascii="Arial" w:cs="Arial" w:eastAsia="Arial" w:hAnsi="Arial"/>
          <w:b/>
          <w:bCs/>
          <w:i w:val="false"/>
          <w:iCs w:val="false"/>
          <w:sz w:val="22"/>
          <w:szCs w:val="22"/>
        </w:rPr>
        <w:t xml:space="preserve">"Mentoring Programme"</w:t>
      </w:r>
      <w:r>
        <w:rPr>
          <w:rFonts w:ascii="Arial" w:cs="Arial" w:eastAsia="Arial" w:hAnsi="Arial"/>
          <w:b w:val="false"/>
          <w:bCs w:val="false"/>
          <w:i w:val="false"/>
          <w:iCs w:val="false"/>
          <w:sz w:val="22"/>
          <w:szCs w:val="22"/>
        </w:rPr>
        <w:t xml:space="preserve"> means mentoring services{#group}, 1:1 mentoring and group work{/group}{^group} to support{/group} a Child or Young Person within {#isLA}the School(s)/{counterparty.shortName}{/isLA}{^isLA}{counterparty.shortName}{/isLA} in order to influence them to engage in opportunities for better educational outcomes and routes to positive post-school destinations, all as more fully described in Part 7 of the Schedule;</w:t>
      </w:r>
    </w:p>
    <w:p>
      <w:pPr>
        <w:spacing w:after="120"/>
      </w:pPr>
      <w:r>
        <w:rPr>
          <w:rFonts w:ascii="Arial" w:cs="Arial" w:eastAsia="Arial" w:hAnsi="Arial"/>
          <w:b/>
          <w:bCs/>
          <w:i w:val="false"/>
          <w:iCs w:val="false"/>
          <w:sz w:val="22"/>
          <w:szCs w:val="22"/>
        </w:rPr>
        <w:t xml:space="preserve">"Part"</w:t>
      </w:r>
      <w:r>
        <w:rPr>
          <w:rFonts w:ascii="Arial" w:cs="Arial" w:eastAsia="Arial" w:hAnsi="Arial"/>
          <w:b w:val="false"/>
          <w:bCs w:val="false"/>
          <w:i w:val="false"/>
          <w:iCs w:val="false"/>
          <w:sz w:val="22"/>
          <w:szCs w:val="22"/>
        </w:rPr>
        <w:t xml:space="preserve"> means a numbered part of the Schedule;</w:t>
      </w:r>
    </w:p>
    <w:p>
      <w:pPr>
        <w:spacing w:after="120"/>
      </w:pPr>
      <w:r>
        <w:rPr>
          <w:rFonts w:ascii="Arial" w:cs="Arial" w:eastAsia="Arial" w:hAnsi="Arial"/>
          <w:b/>
          <w:bCs/>
          <w:i w:val="false"/>
          <w:iCs w:val="false"/>
          <w:sz w:val="22"/>
          <w:szCs w:val="22"/>
        </w:rPr>
        <w:t xml:space="preserve">"Personal Data Breach"</w:t>
      </w:r>
      <w:r>
        <w:rPr>
          <w:rFonts w:ascii="Arial" w:cs="Arial" w:eastAsia="Arial" w:hAnsi="Arial"/>
          <w:b w:val="false"/>
          <w:bCs w:val="false"/>
          <w:i w:val="false"/>
          <w:iCs w:val="false"/>
          <w:sz w:val="22"/>
          <w:szCs w:val="22"/>
        </w:rPr>
        <w:t xml:space="preserve"> has the meaning given to it in the GDPR;</w:t>
      </w:r>
    </w:p>
    <w:p>
      <w:pPr>
        <w:spacing w:after="120"/>
      </w:pPr>
      <w:r>
        <w:rPr>
          <w:rFonts w:ascii="Arial" w:cs="Arial" w:eastAsia="Arial" w:hAnsi="Arial"/>
          <w:b/>
          <w:bCs/>
          <w:i w:val="false"/>
          <w:iCs w:val="false"/>
          <w:sz w:val="22"/>
          <w:szCs w:val="22"/>
        </w:rPr>
        <w:t xml:space="preserve">"Purpose"</w:t>
      </w:r>
      <w:r>
        <w:rPr>
          <w:rFonts w:ascii="Arial" w:cs="Arial" w:eastAsia="Arial" w:hAnsi="Arial"/>
          <w:b w:val="false"/>
          <w:bCs w:val="false"/>
          <w:i w:val="false"/>
          <w:iCs w:val="false"/>
          <w:sz w:val="22"/>
          <w:szCs w:val="22"/>
        </w:rPr>
        <w:t xml:space="preserve"> means the purpose referred to in Part 2 of the Schedule;</w:t>
      </w:r>
    </w:p>
    <w:p>
      <w:pPr>
        <w:spacing w:after="120"/>
      </w:pPr>
      <w:r>
        <w:rPr>
          <w:rFonts w:ascii="Arial" w:cs="Arial" w:eastAsia="Arial" w:hAnsi="Arial"/>
          <w:b/>
          <w:bCs/>
          <w:i w:val="false"/>
          <w:iCs w:val="false"/>
          <w:sz w:val="22"/>
          <w:szCs w:val="22"/>
        </w:rPr>
        <w:t xml:space="preserve">"Receiving Party"</w:t>
      </w:r>
      <w:r>
        <w:rPr>
          <w:rFonts w:ascii="Arial" w:cs="Arial" w:eastAsia="Arial" w:hAnsi="Arial"/>
          <w:b w:val="false"/>
          <w:bCs w:val="false"/>
          <w:i w:val="false"/>
          <w:iCs w:val="false"/>
          <w:sz w:val="22"/>
          <w:szCs w:val="22"/>
        </w:rPr>
        <w:t xml:space="preserve"> means the party (being either {counterparty.shortName} or MCR, as appropriate) to whom Data is disclosed;</w:t>
      </w:r>
    </w:p>
    <w:p>
      <w:pPr>
        <w:spacing w:after="120"/>
      </w:pPr>
      <w:r>
        <w:rPr>
          <w:rFonts w:ascii="Arial" w:cs="Arial" w:eastAsia="Arial" w:hAnsi="Arial"/>
          <w:b/>
          <w:bCs/>
          <w:i w:val="false"/>
          <w:iCs w:val="false"/>
          <w:sz w:val="22"/>
          <w:szCs w:val="22"/>
        </w:rPr>
        <w:t xml:space="preserve">"Representatives"</w:t>
      </w:r>
      <w:r>
        <w:rPr>
          <w:rFonts w:ascii="Arial" w:cs="Arial" w:eastAsia="Arial" w:hAnsi="Arial"/>
          <w:b w:val="false"/>
          <w:bCs w:val="false"/>
          <w:i w:val="false"/>
          <w:iCs w:val="false"/>
          <w:sz w:val="22"/>
          <w:szCs w:val="22"/>
        </w:rPr>
        <w:t xml:space="preserve"> means, as the context requires, the representative of {counterparty.shortName} and/or the representative of MCR as detailed in Part 4 of the Schedule. The same may be changed from time to time on notice by the relevant Party to the other Party;</w:t>
      </w:r>
    </w:p>
    <w:p>
      <w:pPr>
        <w:spacing w:after="120"/>
      </w:pPr>
      <w:r>
        <w:rPr>
          <w:rFonts w:ascii="Arial" w:cs="Arial" w:eastAsia="Arial" w:hAnsi="Arial"/>
          <w:b/>
          <w:bCs/>
          <w:i w:val="false"/>
          <w:iCs w:val="false"/>
          <w:sz w:val="22"/>
          <w:szCs w:val="22"/>
        </w:rPr>
        <w:t xml:space="preserve">"Schedule"</w:t>
      </w:r>
      <w:r>
        <w:rPr>
          <w:rFonts w:ascii="Arial" w:cs="Arial" w:eastAsia="Arial" w:hAnsi="Arial"/>
          <w:b w:val="false"/>
          <w:bCs w:val="false"/>
          <w:i w:val="false"/>
          <w:iCs w:val="false"/>
          <w:sz w:val="22"/>
          <w:szCs w:val="22"/>
        </w:rPr>
        <w:t xml:space="preserve"> means the Schedule in {schedulePartsCount} Parts annexed to this Agreement;</w:t>
      </w:r>
    </w:p>
    <w:p>
      <w:pPr>
        <w:spacing w:after="120"/>
      </w:pPr>
      <w:r>
        <w:rPr>
          <w:rFonts w:ascii="Arial" w:cs="Arial" w:eastAsia="Arial" w:hAnsi="Arial"/>
          <w:b/>
          <w:bCs/>
          <w:i w:val="false"/>
          <w:iCs w:val="false"/>
          <w:sz w:val="22"/>
          <w:szCs w:val="22"/>
        </w:rPr>
        <w:t xml:space="preserve">{#isLA}"School(s)"</w:t>
      </w:r>
      <w:r>
        <w:rPr>
          <w:rFonts w:ascii="Arial" w:cs="Arial" w:eastAsia="Arial" w:hAnsi="Arial"/>
          <w:b w:val="false"/>
          <w:bCs w:val="false"/>
          <w:i w:val="false"/>
          <w:iCs w:val="false"/>
          <w:sz w:val="22"/>
          <w:szCs w:val="22"/>
        </w:rPr>
        <w:t xml:space="preserve"> means the specific school or schools at which MCR's Mentoring Programme will be delivered, as detailed at Part 8 of the Schedule;{/isLA}</w:t>
      </w:r>
    </w:p>
    <w:p>
      <w:pPr>
        <w:spacing w:after="120"/>
      </w:pPr>
      <w:r>
        <w:rPr>
          <w:rFonts w:ascii="Arial" w:cs="Arial" w:eastAsia="Arial" w:hAnsi="Arial"/>
          <w:b/>
          <w:bCs/>
          <w:i w:val="false"/>
          <w:iCs w:val="false"/>
          <w:sz w:val="22"/>
          <w:szCs w:val="22"/>
        </w:rPr>
        <w:t xml:space="preserve">{#isLA}“Site(s)”</w:t>
      </w:r>
      <w:r>
        <w:rPr>
          <w:rFonts w:ascii="Arial" w:cs="Arial" w:eastAsia="Arial" w:hAnsi="Arial"/>
          <w:b w:val="false"/>
          <w:bCs w:val="false"/>
          <w:i w:val="false"/>
          <w:iCs w:val="false"/>
          <w:sz w:val="22"/>
          <w:szCs w:val="22"/>
        </w:rPr>
        <w:t xml:space="preserve"> means specific alternative provision sites where young people attend as part of their education;{/isLA}</w:t>
      </w:r>
    </w:p>
    <w:p>
      <w:pPr>
        <w:spacing w:after="120"/>
      </w:pPr>
      <w:r>
        <w:rPr>
          <w:rFonts w:ascii="Arial" w:cs="Arial" w:eastAsia="Arial" w:hAnsi="Arial"/>
          <w:b/>
          <w:bCs/>
          <w:i w:val="false"/>
          <w:iCs w:val="false"/>
          <w:sz w:val="22"/>
          <w:szCs w:val="22"/>
        </w:rPr>
        <w:t xml:space="preserve">"Service"</w:t>
      </w:r>
      <w:r>
        <w:rPr>
          <w:rFonts w:ascii="Arial" w:cs="Arial" w:eastAsia="Arial" w:hAnsi="Arial"/>
          <w:b w:val="false"/>
          <w:bCs w:val="false"/>
          <w:i w:val="false"/>
          <w:iCs w:val="false"/>
          <w:sz w:val="22"/>
          <w:szCs w:val="22"/>
        </w:rPr>
        <w:t xml:space="preserve"> means such services as are provided to any Individual/Individuals by MCR as set out in Part 7 of the Schedule; and</w:t>
      </w:r>
    </w:p>
    <w:p>
      <w:pPr>
        <w:spacing w:after="120"/>
      </w:pPr>
      <w:r>
        <w:rPr>
          <w:rFonts w:ascii="Arial" w:cs="Arial" w:eastAsia="Arial" w:hAnsi="Arial"/>
          <w:b/>
          <w:bCs/>
          <w:i w:val="false"/>
          <w:iCs w:val="false"/>
          <w:sz w:val="22"/>
          <w:szCs w:val="22"/>
        </w:rPr>
        <w:t xml:space="preserve">"Security Measures"</w:t>
      </w:r>
      <w:r>
        <w:rPr>
          <w:rFonts w:ascii="Arial" w:cs="Arial" w:eastAsia="Arial" w:hAnsi="Arial"/>
          <w:b w:val="false"/>
          <w:bCs w:val="false"/>
          <w:i w:val="false"/>
          <w:iCs w:val="false"/>
          <w:sz w:val="22"/>
          <w:szCs w:val="22"/>
        </w:rPr>
        <w:t xml:space="preserve"> has the meaning given to that term in Clause 2.5.1.4.</w:t>
      </w:r>
    </w:p>
    <w:p>
      <w:pPr>
        <w:spacing w:after="120"/>
      </w:pPr>
      <w:r>
        <w:rPr>
          <w:rFonts w:ascii="Arial" w:cs="Arial" w:eastAsia="Arial" w:hAnsi="Arial"/>
          <w:b w:val="false"/>
          <w:bCs w:val="false"/>
          <w:i w:val="false"/>
          <w:iCs w:val="false"/>
          <w:sz w:val="22"/>
          <w:szCs w:val="22"/>
        </w:rPr>
        <w:t xml:space="preserve">In this Agreement unless the context otherwise requires:</w:t>
      </w:r>
    </w:p>
    <w:p>
      <w:pPr>
        <w:pStyle w:val="ListParagraph"/>
        <w:numPr>
          <w:ilvl w:val="0"/>
          <w:numId w:val="2"/>
        </w:numPr>
        <w:spacing w:after="80"/>
      </w:pPr>
      <w:r>
        <w:rPr>
          <w:rFonts w:ascii="Arial" w:cs="Arial" w:eastAsia="Arial" w:hAnsi="Arial"/>
          <w:sz w:val="22"/>
          <w:szCs w:val="22"/>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pPr>
        <w:pStyle w:val="ListParagraph"/>
        <w:numPr>
          <w:ilvl w:val="0"/>
          <w:numId w:val="2"/>
        </w:numPr>
        <w:spacing w:after="80"/>
      </w:pPr>
      <w:r>
        <w:rPr>
          <w:rFonts w:ascii="Arial" w:cs="Arial" w:eastAsia="Arial" w:hAnsi="Arial"/>
          <w:sz w:val="22"/>
          <w:szCs w:val="22"/>
        </w:rPr>
        <w:t xml:space="preserve">words used in the singular will be interpreted to include the plural and vice versa and words which refer to one gender will be interpreted to include other genders;</w:t>
      </w:r>
    </w:p>
    <w:p>
      <w:pPr>
        <w:pStyle w:val="ListParagraph"/>
        <w:numPr>
          <w:ilvl w:val="0"/>
          <w:numId w:val="2"/>
        </w:numPr>
        <w:spacing w:after="80"/>
      </w:pPr>
      <w:r>
        <w:rPr>
          <w:rFonts w:ascii="Arial" w:cs="Arial" w:eastAsia="Arial" w:hAnsi="Arial"/>
          <w:sz w:val="22"/>
          <w:szCs w:val="22"/>
        </w:rPr>
        <w:t xml:space="preserve">the words “include” and “including” shall each be construed without limitation to the words following;</w:t>
      </w:r>
    </w:p>
    <w:p>
      <w:pPr>
        <w:pStyle w:val="ListParagraph"/>
        <w:numPr>
          <w:ilvl w:val="0"/>
          <w:numId w:val="2"/>
        </w:numPr>
        <w:spacing w:after="80"/>
      </w:pPr>
      <w:r>
        <w:rPr>
          <w:rFonts w:ascii="Arial" w:cs="Arial" w:eastAsia="Arial" w:hAnsi="Arial"/>
          <w:sz w:val="22"/>
          <w:szCs w:val="22"/>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pPr>
        <w:pStyle w:val="ListParagraph"/>
        <w:numPr>
          <w:ilvl w:val="0"/>
          <w:numId w:val="2"/>
        </w:numPr>
        <w:spacing w:after="80"/>
      </w:pPr>
      <w:r>
        <w:rPr>
          <w:rFonts w:ascii="Arial" w:cs="Arial" w:eastAsia="Arial" w:hAnsi="Arial"/>
          <w:sz w:val="22"/>
          <w:szCs w:val="22"/>
        </w:rPr>
        <w:t xml:space="preserve">references to Clauses and Parts are to the relevant Clauses and Parts of this Agreement respectively;</w:t>
      </w:r>
    </w:p>
    <w:p>
      <w:pPr>
        <w:pStyle w:val="ListParagraph"/>
        <w:numPr>
          <w:ilvl w:val="0"/>
          <w:numId w:val="2"/>
        </w:numPr>
        <w:spacing w:after="80"/>
      </w:pPr>
      <w:r>
        <w:rPr>
          <w:rFonts w:ascii="Arial" w:cs="Arial" w:eastAsia="Arial" w:hAnsi="Arial"/>
          <w:sz w:val="22"/>
          <w:szCs w:val="22"/>
        </w:rPr>
        <w:t xml:space="preserve">the headings of Clauses do not affect their interpretation;</w:t>
      </w:r>
    </w:p>
    <w:p>
      <w:pPr>
        <w:pStyle w:val="ListParagraph"/>
        <w:numPr>
          <w:ilvl w:val="0"/>
          <w:numId w:val="2"/>
        </w:numPr>
        <w:spacing w:after="80"/>
      </w:pPr>
      <w:r>
        <w:rPr>
          <w:rFonts w:ascii="Arial" w:cs="Arial" w:eastAsia="Arial" w:hAnsi="Arial"/>
          <w:sz w:val="22"/>
          <w:szCs w:val="22"/>
        </w:rPr>
        <w:t xml:space="preserve">any reference to a “sub-contractor” of a Party will be deemed to include any agent, consultant, or contractor of that Party; and</w:t>
      </w:r>
    </w:p>
    <w:p>
      <w:pPr>
        <w:pStyle w:val="ListParagraph"/>
        <w:numPr>
          <w:ilvl w:val="0"/>
          <w:numId w:val="2"/>
        </w:numPr>
        <w:spacing w:after="80"/>
      </w:pPr>
      <w:r>
        <w:rPr>
          <w:rFonts w:ascii="Arial" w:cs="Arial" w:eastAsia="Arial" w:hAnsi="Arial"/>
          <w:sz w:val="22"/>
          <w:szCs w:val="22"/>
        </w:rPr>
        <w:t xml:space="preserve">in the case of conflict or ambiguity between any provision contained in the body of this Agreement and any provision contained in the Schedule, the provision contained in the body of this Agreement shall take precedence.</w:t>
      </w:r>
    </w:p>
    <w:p>
      <w:pPr>
        <w:pStyle w:val="Heading1"/>
        <w:spacing w:after="180" w:before="320"/>
      </w:pPr>
      <w:r>
        <w:rPr>
          <w:rFonts w:ascii="Arial" w:cs="Arial" w:eastAsia="Arial" w:hAnsi="Arial"/>
          <w:b/>
          <w:bCs/>
          <w:sz w:val="28"/>
          <w:szCs w:val="28"/>
        </w:rPr>
        <w:t xml:space="preserve">2. DATA SHARING</w:t>
      </w:r>
    </w:p>
    <w:p>
      <w:pPr>
        <w:pStyle w:val="Heading2"/>
        <w:spacing w:after="120" w:before="240"/>
      </w:pPr>
      <w:r>
        <w:rPr>
          <w:rFonts w:ascii="Arial" w:cs="Arial" w:eastAsia="Arial" w:hAnsi="Arial"/>
          <w:b/>
          <w:bCs/>
          <w:sz w:val="24"/>
          <w:szCs w:val="24"/>
        </w:rPr>
        <w:t xml:space="preserve">2.1 Purpose and Legal Basis</w:t>
      </w:r>
    </w:p>
    <w:p>
      <w:pPr>
        <w:pStyle w:val="ListParagraph"/>
        <w:numPr>
          <w:ilvl w:val="0"/>
          <w:numId w:val="3"/>
        </w:numPr>
        <w:spacing w:after="100"/>
      </w:pPr>
      <w:r>
        <w:rPr>
          <w:rFonts w:ascii="Arial" w:cs="Arial" w:eastAsia="Arial" w:hAnsi="Arial"/>
          <w:sz w:val="22"/>
          <w:szCs w:val="22"/>
        </w:rPr>
        <w:t xml:space="preserve">The Parties agree to share the Data for use in connection with the Purpose only.</w:t>
      </w:r>
    </w:p>
    <w:p>
      <w:pPr>
        <w:pStyle w:val="ListParagraph"/>
        <w:numPr>
          <w:ilvl w:val="0"/>
          <w:numId w:val="3"/>
        </w:numPr>
        <w:spacing w:after="100"/>
      </w:pPr>
      <w:r>
        <w:rPr>
          <w:rFonts w:ascii="Arial" w:cs="Arial" w:eastAsia="Arial" w:hAnsi="Arial"/>
          <w:sz w:val="22"/>
          <w:szCs w:val="22"/>
        </w:rPr>
        <w:t xml:space="preserve">Save as provided for in this Agreement, each of the Parties agrees not to use any Data disclosed to it in terms of this Agreement in a way that is incompatible with the Purpose.</w:t>
      </w:r>
    </w:p>
    <w:p>
      <w:pPr>
        <w:pStyle w:val="ListParagraph"/>
        <w:numPr>
          <w:ilvl w:val="0"/>
          <w:numId w:val="3"/>
        </w:numPr>
        <w:spacing w:after="100"/>
      </w:pPr>
      <w:r>
        <w:rPr>
          <w:rFonts w:ascii="Arial" w:cs="Arial" w:eastAsia="Arial" w:hAnsi="Arial"/>
          <w:sz w:val="22"/>
          <w:szCs w:val="22"/>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pPr>
        <w:pStyle w:val="Heading2"/>
        <w:spacing w:after="120" w:before="240"/>
      </w:pPr>
      <w:r>
        <w:rPr>
          <w:rFonts w:ascii="Arial" w:cs="Arial" w:eastAsia="Arial" w:hAnsi="Arial"/>
          <w:b/>
          <w:bCs/>
          <w:sz w:val="24"/>
          <w:szCs w:val="24"/>
        </w:rPr>
        <w:t xml:space="preserve">2.2 Relationship of the Parties</w:t>
      </w:r>
    </w:p>
    <w:p>
      <w:pPr>
        <w:pStyle w:val="ListParagraph"/>
        <w:numPr>
          <w:ilvl w:val="0"/>
          <w:numId w:val="3"/>
        </w:numPr>
        <w:spacing w:after="100"/>
      </w:pPr>
      <w:r>
        <w:rPr>
          <w:rFonts w:ascii="Arial" w:cs="Arial" w:eastAsia="Arial" w:hAnsi="Arial"/>
          <w:sz w:val="22"/>
          <w:szCs w:val="22"/>
        </w:rPr>
        <w:t xml:space="preserve">The Parties agree that the factual circumstances in respect of Data transferred between them will determine whether the relationship is that of (i) independent Controller to Controller data sharing or (ii) Controller to Processor data processing. It is nevertheless envisaged by the Parties that the arrangement will primarily be one of Controller to Controller.</w:t>
      </w:r>
    </w:p>
    <w:p>
      <w:pPr>
        <w:pStyle w:val="ListParagraph"/>
        <w:numPr>
          <w:ilvl w:val="0"/>
          <w:numId w:val="3"/>
        </w:numPr>
        <w:spacing w:after="100"/>
      </w:pPr>
      <w:r>
        <w:rPr>
          <w:rFonts w:ascii="Arial" w:cs="Arial" w:eastAsia="Arial" w:hAnsi="Arial"/>
          <w:sz w:val="22"/>
          <w:szCs w:val="22"/>
        </w:rPr>
        <w:t xml:space="preserve">Where Data is being shared on a Controller to Controller basis the Receiving Party agrees that:</w:t>
      </w:r>
    </w:p>
    <w:p>
      <w:pPr>
        <w:pStyle w:val="ListParagraph"/>
        <w:numPr>
          <w:ilvl w:val="0"/>
          <w:numId w:val="2"/>
        </w:numPr>
        <w:spacing w:after="80"/>
      </w:pPr>
      <w:r>
        <w:rPr>
          <w:rFonts w:ascii="Arial" w:cs="Arial" w:eastAsia="Arial" w:hAnsi="Arial"/>
          <w:sz w:val="22"/>
          <w:szCs w:val="22"/>
        </w:rPr>
        <w:t xml:space="preserve">it is a separate and independent Controller in respect of that Data, and that the Parties are not joint Controllers;</w:t>
      </w:r>
    </w:p>
    <w:p>
      <w:pPr>
        <w:pStyle w:val="ListParagraph"/>
        <w:numPr>
          <w:ilvl w:val="0"/>
          <w:numId w:val="2"/>
        </w:numPr>
        <w:spacing w:after="80"/>
      </w:pPr>
      <w:r>
        <w:rPr>
          <w:rFonts w:ascii="Arial" w:cs="Arial" w:eastAsia="Arial" w:hAnsi="Arial"/>
          <w:sz w:val="22"/>
          <w:szCs w:val="22"/>
        </w:rPr>
        <w:t xml:space="preserve">it is responsible for complying with the obligations incumbent on it as a Controller under Data Protection Law (including responding to any Data Subject Request);</w:t>
      </w:r>
    </w:p>
    <w:p>
      <w:pPr>
        <w:pStyle w:val="ListParagraph"/>
        <w:numPr>
          <w:ilvl w:val="0"/>
          <w:numId w:val="2"/>
        </w:numPr>
        <w:spacing w:after="80"/>
      </w:pPr>
      <w:r>
        <w:rPr>
          <w:rFonts w:ascii="Arial" w:cs="Arial" w:eastAsia="Arial" w:hAnsi="Arial"/>
          <w:sz w:val="22"/>
          <w:szCs w:val="22"/>
        </w:rPr>
        <w:t xml:space="preserve">it shall not transfer any of the Data to outside the United Kingdom and the European Economic Area except to the extent agreed by the Disclosing Party; and</w:t>
      </w:r>
    </w:p>
    <w:p>
      <w:pPr>
        <w:pStyle w:val="ListParagraph"/>
        <w:numPr>
          <w:ilvl w:val="0"/>
          <w:numId w:val="2"/>
        </w:numPr>
        <w:spacing w:after="80"/>
      </w:pPr>
      <w:r>
        <w:rPr>
          <w:rFonts w:ascii="Arial" w:cs="Arial" w:eastAsia="Arial" w:hAnsi="Arial"/>
          <w:sz w:val="22"/>
          <w:szCs w:val="22"/>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pPr>
        <w:pStyle w:val="ListParagraph"/>
        <w:numPr>
          <w:ilvl w:val="0"/>
          <w:numId w:val="3"/>
        </w:numPr>
        <w:spacing w:after="100"/>
      </w:pPr>
      <w:r>
        <w:rPr>
          <w:rFonts w:ascii="Arial" w:cs="Arial" w:eastAsia="Arial" w:hAnsi="Arial"/>
          <w:sz w:val="22"/>
          <w:szCs w:val="22"/>
        </w:rPr>
        <w:t xml:space="preserve">The Disclosing Party agrees and undertakes to notify the Receiving Party as soon as practicable if an error is discovered in Data which has been provided to the Receiving Party, to ensure that the Receiving Party is then able to correct its records. This will happen whether the error is discovered through existing Data quality initiatives or is flagged up through some other route (such as the existence of errors being directly notified to the Disclosing Party by the Data Subjects themselves).</w:t>
      </w:r>
    </w:p>
    <w:p>
      <w:pPr>
        <w:pStyle w:val="ListParagraph"/>
        <w:numPr>
          <w:ilvl w:val="0"/>
          <w:numId w:val="3"/>
        </w:numPr>
        <w:spacing w:after="100"/>
      </w:pPr>
      <w:r>
        <w:rPr>
          <w:rFonts w:ascii="Arial" w:cs="Arial" w:eastAsia="Arial" w:hAnsi="Arial"/>
          <w:sz w:val="22"/>
          <w:szCs w:val="22"/>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and (iii) business continuity and service recovery.</w:t>
      </w:r>
    </w:p>
    <w:p>
      <w:pPr>
        <w:pStyle w:val="ListParagraph"/>
        <w:numPr>
          <w:ilvl w:val="0"/>
          <w:numId w:val="3"/>
        </w:numPr>
        <w:spacing w:after="100"/>
      </w:pPr>
      <w:r>
        <w:rPr>
          <w:rFonts w:ascii="Arial" w:cs="Arial" w:eastAsia="Arial" w:hAnsi="Arial"/>
          <w:sz w:val="22"/>
          <w:szCs w:val="22"/>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 Where those provisions are to be engaged (and where possible prior to such processing occurring) the Parties shall, as soon as practicable, populate the ‘Data Processing Details’ specified in Part 6 of the Schedule to ensure compliance with Data Protection Law.</w:t>
      </w:r>
    </w:p>
    <w:p>
      <w:pPr>
        <w:pStyle w:val="ListParagraph"/>
        <w:numPr>
          <w:ilvl w:val="0"/>
          <w:numId w:val="3"/>
        </w:numPr>
        <w:spacing w:after="100"/>
      </w:pPr>
      <w:r>
        <w:rPr>
          <w:rFonts w:ascii="Arial" w:cs="Arial" w:eastAsia="Arial" w:hAnsi="Arial"/>
          <w:sz w:val="22"/>
          <w:szCs w:val="22"/>
        </w:rPr>
        <w:t xml:space="preserve">Any decisions shall be agreed and documented in writing by the Representatives (and signed) and any disputes or disagreements may be referred by either Representative for resolution in accordance with Clause 7 (Dispute Resolution). The initial Representatives of each Party are detailed in Part 4 of the Schedule.</w:t>
      </w:r>
    </w:p>
    <w:p>
      <w:pPr>
        <w:pStyle w:val="Heading2"/>
        <w:spacing w:after="120" w:before="240"/>
      </w:pPr>
      <w:r>
        <w:rPr>
          <w:rFonts w:ascii="Arial" w:cs="Arial" w:eastAsia="Arial" w:hAnsi="Arial"/>
          <w:b/>
          <w:bCs/>
          <w:sz w:val="24"/>
          <w:szCs w:val="24"/>
        </w:rPr>
        <w:t xml:space="preserve">2.3 Transferring Data</w:t>
      </w:r>
    </w:p>
    <w:p>
      <w:pPr>
        <w:pStyle w:val="ListParagraph"/>
        <w:numPr>
          <w:ilvl w:val="0"/>
          <w:numId w:val="3"/>
        </w:numPr>
        <w:spacing w:after="100"/>
      </w:pPr>
      <w:r>
        <w:rPr>
          <w:rFonts w:ascii="Arial" w:cs="Arial" w:eastAsia="Arial" w:hAnsi="Arial"/>
          <w:sz w:val="22"/>
          <w:szCs w:val="22"/>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pPr>
        <w:pStyle w:val="Heading1"/>
        <w:spacing w:after="180" w:before="320"/>
      </w:pPr>
      <w:r>
        <w:rPr>
          <w:rFonts w:ascii="Arial" w:cs="Arial" w:eastAsia="Arial" w:hAnsi="Arial"/>
          <w:b/>
          <w:bCs/>
          <w:sz w:val="28"/>
          <w:szCs w:val="28"/>
        </w:rPr>
        <w:t xml:space="preserve">3. FREEDOM OF INFORMATION</w:t>
      </w:r>
    </w:p>
    <w:p>
      <w:pPr>
        <w:pStyle w:val="ListParagraph"/>
        <w:numPr>
          <w:ilvl w:val="0"/>
          <w:numId w:val="3"/>
        </w:numPr>
        <w:spacing w:after="100"/>
      </w:pPr>
      <w:r>
        <w:rPr>
          <w:rFonts w:ascii="Arial" w:cs="Arial" w:eastAsia="Arial" w:hAnsi="Arial"/>
          <w:sz w:val="22"/>
          <w:szCs w:val="22"/>
        </w:rPr>
        <w:t xml:space="preserve">MCR acknowledges {counterparty.shortName}’s obligations under {foi.short} and agrees that {counterparty.shortName} shall be entitled to disclose information relating to this Agreement to any person on request where it considers, in its absolute discretion, it is required in terms of {foi.short} (subject to a “Request for Information”) to disclose such information or such disclosure would otherwise be in the public interest to disclose. For the avoidance of doubt, MCR acknowledges and agrees that any decision as to whether any exemption applies to a {foi.short} request for disclosure of information (and/or, where appropriate, whether the public interest in disclosing the information is outweighed by that in maintaining that exemption) is a decision solely for {counterparty.shortName}.</w:t>
      </w:r>
    </w:p>
    <w:p>
      <w:pPr>
        <w:pStyle w:val="ListParagraph"/>
        <w:numPr>
          <w:ilvl w:val="0"/>
          <w:numId w:val="3"/>
        </w:numPr>
        <w:spacing w:after="100"/>
      </w:pPr>
      <w:r>
        <w:rPr>
          <w:rFonts w:ascii="Arial" w:cs="Arial" w:eastAsia="Arial" w:hAnsi="Arial"/>
          <w:sz w:val="22"/>
          <w:szCs w:val="22"/>
        </w:rPr>
        <w:t xml:space="preserve">Without prejudice to the provisions of Clause 3.1, {counterparty.shortName} hereby agrees that, prior to releasing any information belonging or relating to MCR and/or relating to this Agreement in response to a Request for Information, {counterparty.shortName} shall discuss and consult with MCR regarding such request and shall give due consideration to the views of MCR.</w:t>
      </w:r>
    </w:p>
    <w:p>
      <w:pPr>
        <w:pStyle w:val="Heading1"/>
        <w:spacing w:after="180" w:before="320"/>
      </w:pPr>
      <w:r>
        <w:rPr>
          <w:rFonts w:ascii="Arial" w:cs="Arial" w:eastAsia="Arial" w:hAnsi="Arial"/>
          <w:b/>
          <w:bCs/>
          <w:sz w:val="28"/>
          <w:szCs w:val="28"/>
        </w:rPr>
        <w:t xml:space="preserve">4. BREACH NOTIFICATION</w:t>
      </w:r>
    </w:p>
    <w:p>
      <w:pPr>
        <w:pStyle w:val="ListParagraph"/>
        <w:numPr>
          <w:ilvl w:val="0"/>
          <w:numId w:val="3"/>
        </w:numPr>
        <w:spacing w:after="100"/>
      </w:pPr>
      <w:r>
        <w:rPr>
          <w:rFonts w:ascii="Arial" w:cs="Arial" w:eastAsia="Arial" w:hAnsi="Arial"/>
          <w:sz w:val="22"/>
          <w:szCs w:val="22"/>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pPr>
        <w:pStyle w:val="ListParagraph"/>
        <w:numPr>
          <w:ilvl w:val="0"/>
          <w:numId w:val="2"/>
        </w:numPr>
        <w:spacing w:after="80"/>
      </w:pPr>
      <w:r>
        <w:rPr>
          <w:rFonts w:ascii="Arial" w:cs="Arial" w:eastAsia="Arial" w:hAnsi="Arial"/>
          <w:sz w:val="22"/>
          <w:szCs w:val="22"/>
        </w:rPr>
        <w:t xml:space="preserve">the nature of the Personal Data Breach or suspected breach;</w:t>
      </w:r>
    </w:p>
    <w:p>
      <w:pPr>
        <w:pStyle w:val="ListParagraph"/>
        <w:numPr>
          <w:ilvl w:val="0"/>
          <w:numId w:val="2"/>
        </w:numPr>
        <w:spacing w:after="80"/>
      </w:pPr>
      <w:r>
        <w:rPr>
          <w:rFonts w:ascii="Arial" w:cs="Arial" w:eastAsia="Arial" w:hAnsi="Arial"/>
          <w:sz w:val="22"/>
          <w:szCs w:val="22"/>
        </w:rPr>
        <w:t xml:space="preserve">the date and time of occurrence;</w:t>
      </w:r>
    </w:p>
    <w:p>
      <w:pPr>
        <w:pStyle w:val="ListParagraph"/>
        <w:numPr>
          <w:ilvl w:val="0"/>
          <w:numId w:val="2"/>
        </w:numPr>
        <w:spacing w:after="80"/>
      </w:pPr>
      <w:r>
        <w:rPr>
          <w:rFonts w:ascii="Arial" w:cs="Arial" w:eastAsia="Arial" w:hAnsi="Arial"/>
          <w:sz w:val="22"/>
          <w:szCs w:val="22"/>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the that party to contain the breach or suspected breach; and</w:t>
      </w:r>
    </w:p>
    <w:p>
      <w:pPr>
        <w:pStyle w:val="ListParagraph"/>
        <w:numPr>
          <w:ilvl w:val="0"/>
          <w:numId w:val="2"/>
        </w:numPr>
        <w:spacing w:after="80"/>
      </w:pPr>
      <w:r>
        <w:rPr>
          <w:rFonts w:ascii="Arial" w:cs="Arial" w:eastAsia="Arial" w:hAnsi="Arial"/>
          <w:sz w:val="22"/>
          <w:szCs w:val="22"/>
        </w:rPr>
        <w:t xml:space="preserve">any other information that the other Party shall require in order to discharge its responsibilities under Data Protection Law in relation to such breach or suspected breach.</w:t>
      </w:r>
    </w:p>
    <w:p>
      <w:pPr>
        <w:pStyle w:val="ListParagraph"/>
        <w:numPr>
          <w:ilvl w:val="0"/>
          <w:numId w:val="3"/>
        </w:numPr>
        <w:spacing w:after="100"/>
      </w:pPr>
      <w:r>
        <w:rPr>
          <w:rFonts w:ascii="Arial" w:cs="Arial" w:eastAsia="Arial" w:hAnsi="Arial"/>
          <w:sz w:val="22"/>
          <w:szCs w:val="22"/>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pPr>
        <w:pStyle w:val="ListParagraph"/>
        <w:numPr>
          <w:ilvl w:val="0"/>
          <w:numId w:val="3"/>
        </w:numPr>
        <w:spacing w:after="100"/>
      </w:pPr>
      <w:r>
        <w:rPr>
          <w:rFonts w:ascii="Arial" w:cs="Arial" w:eastAsia="Arial" w:hAnsi="Arial"/>
          <w:sz w:val="22"/>
          <w:szCs w:val="22"/>
        </w:rPr>
        <w:t xml:space="preserve">The rights conferred under this Clause 4 are without prejudice to any other rights and remedies for breach of this Agreement whether in contract or otherwise in law.</w:t>
      </w:r>
    </w:p>
    <w:p>
      <w:pPr>
        <w:pStyle w:val="Heading1"/>
        <w:spacing w:after="180" w:before="320"/>
      </w:pPr>
      <w:r>
        <w:rPr>
          <w:rFonts w:ascii="Arial" w:cs="Arial" w:eastAsia="Arial" w:hAnsi="Arial"/>
          <w:b/>
          <w:bCs/>
          <w:sz w:val="28"/>
          <w:szCs w:val="28"/>
        </w:rPr>
        <w:t xml:space="preserve">5. DURATION, REVIEW AND AMENDMENT</w:t>
      </w:r>
    </w:p>
    <w:p>
      <w:pPr>
        <w:pStyle w:val="ListParagraph"/>
        <w:numPr>
          <w:ilvl w:val="0"/>
          <w:numId w:val="3"/>
        </w:numPr>
        <w:spacing w:after="100"/>
      </w:pPr>
      <w:r>
        <w:rPr>
          <w:rFonts w:ascii="Arial" w:cs="Arial" w:eastAsia="Arial" w:hAnsi="Arial"/>
          <w:sz w:val="22"/>
          <w:szCs w:val="22"/>
        </w:rPr>
        <w:t xml:space="preserve">This Agreement shall come into force on the Commencement Date and continue for the duration of the Service; unless terminated earlier by the Disclosing Party in accordance with Clause 5.5.</w:t>
      </w:r>
    </w:p>
    <w:p>
      <w:pPr>
        <w:pStyle w:val="ListParagraph"/>
        <w:numPr>
          <w:ilvl w:val="0"/>
          <w:numId w:val="3"/>
        </w:numPr>
        <w:spacing w:after="100"/>
      </w:pPr>
      <w:r>
        <w:rPr>
          <w:rFonts w:ascii="Arial" w:cs="Arial" w:eastAsia="Arial" w:hAnsi="Arial"/>
          <w:sz w:val="22"/>
          <w:szCs w:val="22"/>
        </w:rPr>
        <w:t xml:space="preserve">This Agreement may be reviewed at {counterparty.shortName}’s or MCR’s discretion after it comes into force.</w:t>
      </w:r>
    </w:p>
    <w:p>
      <w:pPr>
        <w:pStyle w:val="ListParagraph"/>
        <w:numPr>
          <w:ilvl w:val="0"/>
          <w:numId w:val="3"/>
        </w:numPr>
        <w:spacing w:after="100"/>
      </w:pPr>
      <w:r>
        <w:rPr>
          <w:rFonts w:ascii="Arial" w:cs="Arial" w:eastAsia="Arial" w:hAnsi="Arial"/>
          <w:sz w:val="22"/>
          <w:szCs w:val="22"/>
        </w:rPr>
        <w:t xml:space="preserve">Without prejudice to Clause 5.2, the Parties will review this Agreement and the operational arrangements which give effect to it, if any of the following events takes place:</w:t>
      </w:r>
    </w:p>
    <w:p>
      <w:pPr>
        <w:pStyle w:val="ListParagraph"/>
        <w:numPr>
          <w:ilvl w:val="0"/>
          <w:numId w:val="2"/>
        </w:numPr>
        <w:spacing w:after="80"/>
      </w:pPr>
      <w:r>
        <w:rPr>
          <w:rFonts w:ascii="Arial" w:cs="Arial" w:eastAsia="Arial" w:hAnsi="Arial"/>
          <w:sz w:val="22"/>
          <w:szCs w:val="22"/>
        </w:rPr>
        <w:t xml:space="preserve">the terms of this Agreement have been breached in any material aspect, including any Personal Data Breach or other data loss incident in respect of Data which is subject to this Agreement; or</w:t>
      </w:r>
    </w:p>
    <w:p>
      <w:pPr>
        <w:pStyle w:val="ListParagraph"/>
        <w:numPr>
          <w:ilvl w:val="0"/>
          <w:numId w:val="2"/>
        </w:numPr>
        <w:spacing w:after="80"/>
      </w:pPr>
      <w:r>
        <w:rPr>
          <w:rFonts w:ascii="Arial" w:cs="Arial" w:eastAsia="Arial" w:hAnsi="Arial"/>
          <w:sz w:val="22"/>
          <w:szCs w:val="22"/>
        </w:rPr>
        <w:t xml:space="preserve">the Information Commissioner or any of his or her authorised staff recommends that the Agreement be reviewed.</w:t>
      </w:r>
    </w:p>
    <w:p>
      <w:pPr>
        <w:pStyle w:val="ListParagraph"/>
        <w:numPr>
          <w:ilvl w:val="0"/>
          <w:numId w:val="3"/>
        </w:numPr>
        <w:spacing w:after="100"/>
      </w:pPr>
      <w:r>
        <w:rPr>
          <w:rFonts w:ascii="Arial" w:cs="Arial" w:eastAsia="Arial" w:hAnsi="Arial"/>
          <w:sz w:val="22"/>
          <w:szCs w:val="22"/>
        </w:rPr>
        <w:t xml:space="preserve">Any amendments to this Agreement will only be effective when contained within a formal amendment document which is formally executed in writing by both Parties.</w:t>
      </w:r>
    </w:p>
    <w:p>
      <w:pPr>
        <w:pStyle w:val="ListParagraph"/>
        <w:numPr>
          <w:ilvl w:val="0"/>
          <w:numId w:val="3"/>
        </w:numPr>
        <w:spacing w:after="100"/>
      </w:pPr>
      <w:r>
        <w:rPr>
          <w:rFonts w:ascii="Arial" w:cs="Arial" w:eastAsia="Arial" w:hAnsi="Arial"/>
          <w:sz w:val="22"/>
          <w:szCs w:val="22"/>
        </w:rPr>
        <w:t xml:space="preserve">In the event that the Disclosing Party has any reason to believe that the Receiving Party is in breach of any of its obligations under this Agreement, the Disclosing Party may at its sole discretion:</w:t>
      </w:r>
    </w:p>
    <w:p>
      <w:pPr>
        <w:pStyle w:val="ListParagraph"/>
        <w:numPr>
          <w:ilvl w:val="0"/>
          <w:numId w:val="2"/>
        </w:numPr>
        <w:spacing w:after="80"/>
      </w:pPr>
      <w:r>
        <w:rPr>
          <w:rFonts w:ascii="Arial" w:cs="Arial" w:eastAsia="Arial" w:hAnsi="Arial"/>
          <w:sz w:val="22"/>
          <w:szCs w:val="22"/>
        </w:rPr>
        <w:t xml:space="preserve">suspend the sharing of Data until such time as the Disclosing Party is reasonably satisfied that such breach will not re-occur; and/or</w:t>
      </w:r>
    </w:p>
    <w:p>
      <w:pPr>
        <w:pStyle w:val="ListParagraph"/>
        <w:numPr>
          <w:ilvl w:val="0"/>
          <w:numId w:val="2"/>
        </w:numPr>
        <w:spacing w:after="80"/>
      </w:pPr>
      <w:r>
        <w:rPr>
          <w:rFonts w:ascii="Arial" w:cs="Arial" w:eastAsia="Arial" w:hAnsi="Arial"/>
          <w:sz w:val="22"/>
          <w:szCs w:val="22"/>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pPr>
        <w:pStyle w:val="ListParagraph"/>
        <w:numPr>
          <w:ilvl w:val="0"/>
          <w:numId w:val="3"/>
        </w:numPr>
        <w:spacing w:after="100"/>
      </w:pPr>
      <w:r>
        <w:rPr>
          <w:rFonts w:ascii="Arial" w:cs="Arial" w:eastAsia="Arial" w:hAnsi="Arial"/>
          <w:sz w:val="22"/>
          <w:szCs w:val="22"/>
        </w:rPr>
        <w:t xml:space="preserve">Where the Disclosing Party exercises its rights under Clause 5.5, it may request the return of the Data (in which case the Receiving Party shall, no later than ten (10) Business Days after receipt of such a written request from the Disclosing Party, at the Disclosing Party’s option, return or permanently erase/destroy all materials held by or under the control of the Receiving Party which contain or reflect the Data and shall not retain any copies, extracts or other reproductions of the Data either in whole or in part), save that the Receiving Party will be permitted to retain one copy for the purpose of complying with, and for so long as required by, any law or judicial or administrative process or for its legitimate internal compliance and/or record keeping requirements.</w:t>
      </w:r>
    </w:p>
    <w:p>
      <w:pPr>
        <w:pStyle w:val="Heading1"/>
        <w:spacing w:after="180" w:before="320"/>
      </w:pPr>
      <w:r>
        <w:rPr>
          <w:rFonts w:ascii="Arial" w:cs="Arial" w:eastAsia="Arial" w:hAnsi="Arial"/>
          <w:b/>
          <w:bCs/>
          <w:sz w:val="28"/>
          <w:szCs w:val="28"/>
        </w:rPr>
        <w:t xml:space="preserve">6. LIABILITY</w:t>
      </w:r>
    </w:p>
    <w:p>
      <w:pPr>
        <w:pStyle w:val="ListParagraph"/>
        <w:numPr>
          <w:ilvl w:val="0"/>
          <w:numId w:val="3"/>
        </w:numPr>
        <w:spacing w:after="100"/>
      </w:pPr>
      <w:r>
        <w:rPr>
          <w:rFonts w:ascii="Arial" w:cs="Arial" w:eastAsia="Arial" w:hAnsi="Arial"/>
          <w:sz w:val="22"/>
          <w:szCs w:val="22"/>
        </w:rPr>
        <w:t xml:space="preserve">Nothing in this Agreement limits or excludes the liability of either Party for:</w:t>
      </w:r>
    </w:p>
    <w:p>
      <w:pPr>
        <w:pStyle w:val="ListParagraph"/>
        <w:numPr>
          <w:ilvl w:val="0"/>
          <w:numId w:val="2"/>
        </w:numPr>
        <w:spacing w:after="80"/>
      </w:pPr>
      <w:r>
        <w:rPr>
          <w:rFonts w:ascii="Arial" w:cs="Arial" w:eastAsia="Arial" w:hAnsi="Arial"/>
          <w:sz w:val="22"/>
          <w:szCs w:val="22"/>
        </w:rPr>
        <w:t xml:space="preserve">death or personal injury resulting from its negligence; or</w:t>
      </w:r>
    </w:p>
    <w:p>
      <w:pPr>
        <w:pStyle w:val="ListParagraph"/>
        <w:numPr>
          <w:ilvl w:val="0"/>
          <w:numId w:val="2"/>
        </w:numPr>
        <w:spacing w:after="80"/>
      </w:pPr>
      <w:r>
        <w:rPr>
          <w:rFonts w:ascii="Arial" w:cs="Arial" w:eastAsia="Arial" w:hAnsi="Arial"/>
          <w:sz w:val="22"/>
          <w:szCs w:val="22"/>
        </w:rPr>
        <w:t xml:space="preserve">any damage or liability incurred as a result of fraud by its personnel; or</w:t>
      </w:r>
    </w:p>
    <w:p>
      <w:pPr>
        <w:pStyle w:val="ListParagraph"/>
        <w:numPr>
          <w:ilvl w:val="0"/>
          <w:numId w:val="2"/>
        </w:numPr>
        <w:spacing w:after="80"/>
      </w:pPr>
      <w:r>
        <w:rPr>
          <w:rFonts w:ascii="Arial" w:cs="Arial" w:eastAsia="Arial" w:hAnsi="Arial"/>
          <w:sz w:val="22"/>
          <w:szCs w:val="22"/>
        </w:rPr>
        <w:t xml:space="preserve">any other matter to the extent that the exclusion or limitation of liability for that matter is not permitted by law.</w:t>
      </w:r>
    </w:p>
    <w:p>
      <w:pPr>
        <w:pStyle w:val="ListParagraph"/>
        <w:numPr>
          <w:ilvl w:val="0"/>
          <w:numId w:val="3"/>
        </w:numPr>
        <w:spacing w:after="100"/>
      </w:pPr>
      <w:r>
        <w:rPr>
          <w:rFonts w:ascii="Arial" w:cs="Arial" w:eastAsia="Arial" w:hAnsi="Arial"/>
          <w:sz w:val="22"/>
          <w:szCs w:val="22"/>
        </w:rPr>
        <w:t xml:space="preserve">The Receiving Party indemnifies the Disclosing Party against any losses, costs, damages, awards of compensation, any monetary penalty notices or administrative fines for breach of Data Protection Law and/or expenses (including legal fees and expenses) suffered, incurred by the Disclosing Party, or awarded, levied or imposed against the other party, as a result of any breach by the Receiving Party of its obligations under this Agreement.</w:t>
      </w:r>
    </w:p>
    <w:p>
      <w:pPr>
        <w:pStyle w:val="ListParagraph"/>
        <w:numPr>
          <w:ilvl w:val="0"/>
          <w:numId w:val="3"/>
        </w:numPr>
        <w:spacing w:after="100"/>
      </w:pPr>
      <w:r>
        <w:rPr>
          <w:rFonts w:ascii="Arial" w:cs="Arial" w:eastAsia="Arial" w:hAnsi="Arial"/>
          <w:sz w:val="22"/>
          <w:szCs w:val="22"/>
        </w:rPr>
        <w:t xml:space="preserve">Subject to Clauses 6.1 and 6.2 above:</w:t>
      </w:r>
    </w:p>
    <w:p>
      <w:pPr>
        <w:pStyle w:val="ListParagraph"/>
        <w:numPr>
          <w:ilvl w:val="0"/>
          <w:numId w:val="2"/>
        </w:numPr>
        <w:spacing w:after="80"/>
      </w:pPr>
      <w:r>
        <w:rPr>
          <w:rFonts w:ascii="Arial" w:cs="Arial" w:eastAsia="Arial" w:hAnsi="Arial"/>
          <w:sz w:val="22"/>
          <w:szCs w:val="22"/>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pPr>
        <w:pStyle w:val="ListParagraph"/>
        <w:numPr>
          <w:ilvl w:val="0"/>
          <w:numId w:val="2"/>
        </w:numPr>
        <w:spacing w:after="80"/>
      </w:pPr>
      <w:r>
        <w:rPr>
          <w:rFonts w:ascii="Arial" w:cs="Arial" w:eastAsia="Arial" w:hAnsi="Arial"/>
          <w:sz w:val="22"/>
          <w:szCs w:val="22"/>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pPr>
        <w:pStyle w:val="ListParagraph"/>
        <w:numPr>
          <w:ilvl w:val="0"/>
          <w:numId w:val="2"/>
        </w:numPr>
        <w:spacing w:after="80"/>
      </w:pPr>
      <w:r>
        <w:rPr>
          <w:rFonts w:ascii="Arial" w:cs="Arial" w:eastAsia="Arial" w:hAnsi="Arial"/>
          <w:sz w:val="22"/>
          <w:szCs w:val="22"/>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pPr>
        <w:pStyle w:val="Heading1"/>
        <w:spacing w:after="180" w:before="320"/>
      </w:pPr>
      <w:r>
        <w:rPr>
          <w:rFonts w:ascii="Arial" w:cs="Arial" w:eastAsia="Arial" w:hAnsi="Arial"/>
          <w:b/>
          <w:bCs/>
          <w:sz w:val="28"/>
          <w:szCs w:val="28"/>
        </w:rPr>
        <w:t xml:space="preserve">7. DISPUTE RESOLUTION</w:t>
      </w:r>
    </w:p>
    <w:p>
      <w:pPr>
        <w:pStyle w:val="ListParagraph"/>
        <w:numPr>
          <w:ilvl w:val="0"/>
          <w:numId w:val="3"/>
        </w:numPr>
        <w:spacing w:after="100"/>
      </w:pPr>
      <w:r>
        <w:rPr>
          <w:rFonts w:ascii="Arial" w:cs="Arial" w:eastAsia="Arial" w:hAnsi="Arial"/>
          <w:sz w:val="22"/>
          <w:szCs w:val="22"/>
        </w:rPr>
        <w:t xml:space="preserve">The Parties hereby agree to act in good faith at all times to attempt to resolve any dispute or difference relating to the subject matter of, and arising under, this Agreement.</w:t>
      </w:r>
    </w:p>
    <w:p>
      <w:pPr>
        <w:pStyle w:val="ListParagraph"/>
        <w:numPr>
          <w:ilvl w:val="0"/>
          <w:numId w:val="3"/>
        </w:numPr>
        <w:spacing w:after="100"/>
      </w:pPr>
      <w:r>
        <w:rPr>
          <w:rFonts w:ascii="Arial" w:cs="Arial" w:eastAsia="Arial" w:hAnsi="Arial"/>
          <w:sz w:val="22"/>
          <w:szCs w:val="22"/>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pPr>
        <w:pStyle w:val="ListParagraph"/>
        <w:numPr>
          <w:ilvl w:val="0"/>
          <w:numId w:val="3"/>
        </w:numPr>
        <w:spacing w:after="100"/>
      </w:pPr>
      <w:r>
        <w:rPr>
          <w:rFonts w:ascii="Arial" w:cs="Arial" w:eastAsia="Arial" w:hAnsi="Arial"/>
          <w:sz w:val="22"/>
          <w:szCs w:val="22"/>
        </w:rPr>
        <w:t xml:space="preserve">In the event that the Parties are unable to resolve the dispute amicably within a period of twenty (20) Business Days from date on which the dispute or difference was escalated in terms of Clause 7.2, the matter may be referred to a mutually agreed mediator. If the identity of the mediator cannot be agreed, a mediator shall be chosen by the Dean of the Royal Faculty of Procurators in Glasgow or the equivalent office holder in the local authority area.</w:t>
      </w:r>
    </w:p>
    <w:p>
      <w:pPr>
        <w:pStyle w:val="ListParagraph"/>
        <w:numPr>
          <w:ilvl w:val="0"/>
          <w:numId w:val="3"/>
        </w:numPr>
        <w:spacing w:after="100"/>
      </w:pPr>
      <w:r>
        <w:rPr>
          <w:rFonts w:ascii="Arial" w:cs="Arial" w:eastAsia="Arial" w:hAnsi="Arial"/>
          <w:sz w:val="22"/>
          <w:szCs w:val="22"/>
        </w:rPr>
        <w:t xml:space="preserve">If mediation fails to resolve the dispute or if the chosen mediator indicates that the dispute is not suitable for mediation, and the Parties remain unable to resolve any dispute or difference in accordance with Clauses 7.1 to 7.3, then either Party may, by notice in writing to the other Party, refer the dispute for determination by the courts in accordance with Clause 9 (Governing Law).</w:t>
      </w:r>
    </w:p>
    <w:p>
      <w:pPr>
        <w:pStyle w:val="ListParagraph"/>
        <w:numPr>
          <w:ilvl w:val="0"/>
          <w:numId w:val="3"/>
        </w:numPr>
        <w:spacing w:after="100"/>
      </w:pPr>
      <w:r>
        <w:rPr>
          <w:rFonts w:ascii="Arial" w:cs="Arial" w:eastAsia="Arial" w:hAnsi="Arial"/>
          <w:sz w:val="22"/>
          <w:szCs w:val="22"/>
        </w:rPr>
        <w:t xml:space="preserve">The provisions of Clauses 7.1 to 7.4 do not prevent either Party from applying for an interim court order whilst the Parties attempt to resolve a dispute.</w:t>
      </w:r>
    </w:p>
    <w:p>
      <w:pPr>
        <w:pStyle w:val="Heading1"/>
        <w:spacing w:after="180" w:before="320"/>
      </w:pPr>
      <w:r>
        <w:rPr>
          <w:rFonts w:ascii="Arial" w:cs="Arial" w:eastAsia="Arial" w:hAnsi="Arial"/>
          <w:b/>
          <w:bCs/>
          <w:sz w:val="28"/>
          <w:szCs w:val="28"/>
        </w:rPr>
        <w:t xml:space="preserve">8. CONFIDENTIALITY</w:t>
      </w:r>
    </w:p>
    <w:p>
      <w:pPr>
        <w:pStyle w:val="ListParagraph"/>
        <w:numPr>
          <w:ilvl w:val="0"/>
          <w:numId w:val="3"/>
        </w:numPr>
        <w:spacing w:after="100"/>
      </w:pPr>
      <w:r>
        <w:rPr>
          <w:rFonts w:ascii="Arial" w:cs="Arial" w:eastAsia="Arial" w:hAnsi="Arial"/>
          <w:sz w:val="22"/>
          <w:szCs w:val="22"/>
        </w:rPr>
        <w:t xml:space="preserve">Where the Data includes the disclosure of information of a confidential nature, the provisions of this Clause 8 shall apply.</w:t>
      </w:r>
    </w:p>
    <w:p>
      <w:pPr>
        <w:pStyle w:val="ListParagraph"/>
        <w:numPr>
          <w:ilvl w:val="0"/>
          <w:numId w:val="3"/>
        </w:numPr>
        <w:spacing w:after="100"/>
      </w:pPr>
      <w:r>
        <w:rPr>
          <w:rFonts w:ascii="Arial" w:cs="Arial" w:eastAsia="Arial" w:hAnsi="Arial"/>
          <w:sz w:val="22"/>
          <w:szCs w:val="22"/>
        </w:rPr>
        <w:t xml:space="preserve">On the termination of this Agreement for whatever reason, notwithstanding that {counterparty.shortName} has the express right to have returned to it all the Young Person's Personal Data and Confidential Information provided by {counterparty.shortName} to MCR in the course of this Agreement within ten (10) Business Days of its termination, MCR shall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Where the Young Person's Personal Data and Confidential Information has been passed to any agents or subcontractors of MCR, MCR undertakes to retrieve from the agent or subcontractor at the end of the agency or subcontract or on termination of this Agreement, whichever occurs first, all Young Person's Personal Data and Confidential Information and return it to {counterparty.shortName}.</w:t>
      </w:r>
    </w:p>
    <w:p>
      <w:pPr>
        <w:pStyle w:val="ListParagraph"/>
        <w:numPr>
          <w:ilvl w:val="0"/>
          <w:numId w:val="3"/>
        </w:numPr>
        <w:spacing w:after="100"/>
      </w:pPr>
      <w:r>
        <w:rPr>
          <w:rFonts w:ascii="Arial" w:cs="Arial" w:eastAsia="Arial" w:hAnsi="Arial"/>
          <w:sz w:val="22"/>
          <w:szCs w:val="22"/>
        </w:rPr>
        <w:t xml:space="preserve">In this Clause 8 the expression “return” means that, subject to Clause 8.5, MCR shall provide {counterparty.shortName} with all requested hard copies of the information concerned together with any portable electronic storage media on which the Personal Data and Confidential Information has been stored and shall then securely and irretrievably delete any copies of the Personal Data from MCR's own computer systems.</w:t>
      </w:r>
    </w:p>
    <w:p>
      <w:pPr>
        <w:pStyle w:val="ListParagraph"/>
        <w:numPr>
          <w:ilvl w:val="0"/>
          <w:numId w:val="3"/>
        </w:numPr>
        <w:spacing w:after="100"/>
      </w:pPr>
      <w:r>
        <w:rPr>
          <w:rFonts w:ascii="Arial" w:cs="Arial" w:eastAsia="Arial" w:hAnsi="Arial"/>
          <w:sz w:val="22"/>
          <w:szCs w:val="22"/>
        </w:rPr>
        <w:t xml:space="preserve">Where MCR demonstrates to the reasonable satisfaction of {counterparty.shortName} that MCR requires to retain certain Personal Data and/or Confidential Information for a specified period of time in order to comply with a legal/audit/compliance or other regulatory purpose, in such circumstances MCR will be entitled to hold the Personal Data and/or Confidential Information for the said specified period of time, but always subject to Data Protection Law. Thereafter, on the expiry of the specified period of time MCR shall immediately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In the event that this Agreement is terminated for any reason or where either Party withdraws from this Agreement, any duties of confidentiality imposed on the Parties in respect of this Agreement shall subsist indefinitely.</w:t>
      </w:r>
    </w:p>
    <w:p>
      <w:pPr>
        <w:pStyle w:val="Heading1"/>
        <w:spacing w:after="180" w:before="320"/>
      </w:pPr>
      <w:r>
        <w:rPr>
          <w:rFonts w:ascii="Arial" w:cs="Arial" w:eastAsia="Arial" w:hAnsi="Arial"/>
          <w:b/>
          <w:bCs/>
          <w:sz w:val="28"/>
          <w:szCs w:val="28"/>
        </w:rPr>
        <w:t xml:space="preserve">9. GENERAL</w:t>
      </w:r>
    </w:p>
    <w:p>
      <w:pPr>
        <w:pStyle w:val="ListParagraph"/>
        <w:numPr>
          <w:ilvl w:val="0"/>
          <w:numId w:val="3"/>
        </w:numPr>
        <w:spacing w:after="100"/>
      </w:pPr>
      <w:r>
        <w:rPr>
          <w:rFonts w:ascii="Arial" w:cs="Arial" w:eastAsia="Arial" w:hAnsi="Arial"/>
          <w:b/>
          <w:bCs/>
          <w:i w:val="false"/>
          <w:iCs w:val="false"/>
          <w:sz w:val="22"/>
          <w:szCs w:val="22"/>
        </w:rPr>
        <w:t xml:space="preserve">Notices.</w:t>
      </w:r>
      <w:r>
        <w:rPr>
          <w:rFonts w:ascii="Arial" w:cs="Arial" w:eastAsia="Arial" w:hAnsi="Arial"/>
          <w:b w:val="false"/>
          <w:bCs w:val="false"/>
          <w:i w:val="false"/>
          <w:iCs w:val="false"/>
          <w:sz w:val="22"/>
          <w:szCs w:val="22"/>
        </w:rPr>
        <w:t xml:space="preserve"> Any notice to be given or served by either Party to the other under this Agreement shall be in writing and shall be delivered personally or posted by first class pre-paid post to the address set out at the start of this Agreement or to such other address as one Party notifies to the other in writing. Service shall be deemed to have been affected as follows:</w:t>
      </w:r>
    </w:p>
    <w:p>
      <w:pPr>
        <w:pStyle w:val="ListParagraph"/>
        <w:numPr>
          <w:ilvl w:val="0"/>
          <w:numId w:val="2"/>
        </w:numPr>
        <w:spacing w:after="80"/>
      </w:pPr>
      <w:r>
        <w:rPr>
          <w:rFonts w:ascii="Arial" w:cs="Arial" w:eastAsia="Arial" w:hAnsi="Arial"/>
          <w:sz w:val="22"/>
          <w:szCs w:val="22"/>
        </w:rPr>
        <w:t xml:space="preserve">if personally delivered, at the time of delivery to the addressee during working hours, or if not during working hours, at 10.00am the following Business Day; or</w:t>
      </w:r>
    </w:p>
    <w:p>
      <w:pPr>
        <w:pStyle w:val="ListParagraph"/>
        <w:numPr>
          <w:ilvl w:val="0"/>
          <w:numId w:val="2"/>
        </w:numPr>
        <w:spacing w:after="80"/>
      </w:pPr>
      <w:r>
        <w:rPr>
          <w:rFonts w:ascii="Arial" w:cs="Arial" w:eastAsia="Arial" w:hAnsi="Arial"/>
          <w:sz w:val="22"/>
          <w:szCs w:val="22"/>
        </w:rPr>
        <w:t xml:space="preserve">if sent by first class pre-paid post, on the second Business Day after it has been put in the post.</w:t>
      </w:r>
    </w:p>
    <w:p>
      <w:pPr>
        <w:spacing w:after="120"/>
      </w:pPr>
      <w:r>
        <w:rPr>
          <w:rFonts w:ascii="Arial" w:cs="Arial" w:eastAsia="Arial" w:hAnsi="Arial"/>
          <w:b w:val="false"/>
          <w:bCs w:val="false"/>
          <w:i w:val="false"/>
          <w:iCs w:val="false"/>
          <w:sz w:val="22"/>
          <w:szCs w:val="22"/>
        </w:rPr>
        <w:t xml:space="preserve">In providing service under this Clause 9.1 it shall be sufficient to prove that personal delivery was made or that the letter was properly addressed and posted.</w:t>
      </w:r>
    </w:p>
    <w:p>
      <w:pPr>
        <w:pStyle w:val="ListParagraph"/>
        <w:numPr>
          <w:ilvl w:val="0"/>
          <w:numId w:val="3"/>
        </w:numPr>
        <w:spacing w:after="100"/>
      </w:pPr>
      <w:r>
        <w:rPr>
          <w:rFonts w:ascii="Arial" w:cs="Arial" w:eastAsia="Arial" w:hAnsi="Arial"/>
          <w:b/>
          <w:bCs/>
          <w:i w:val="false"/>
          <w:iCs w:val="false"/>
          <w:sz w:val="22"/>
          <w:szCs w:val="22"/>
        </w:rPr>
        <w:t xml:space="preserve">Rights of third parties.</w:t>
      </w:r>
      <w:r>
        <w:rPr>
          <w:rFonts w:ascii="Arial" w:cs="Arial" w:eastAsia="Arial" w:hAnsi="Arial"/>
          <w:b w:val="false"/>
          <w:bCs w:val="false"/>
          <w:i w:val="false"/>
          <w:iCs w:val="false"/>
          <w:sz w:val="22"/>
          <w:szCs w:val="22"/>
        </w:rPr>
        <w:t xml:space="preserve"> The Parties to this Agreement do not intend that any of its provisions should be enforceable by any persons by virtue of the Contracts (Rights of Third Parties) Act 1999.</w:t>
      </w:r>
    </w:p>
    <w:p>
      <w:pPr>
        <w:pStyle w:val="ListParagraph"/>
        <w:numPr>
          <w:ilvl w:val="0"/>
          <w:numId w:val="3"/>
        </w:numPr>
        <w:spacing w:after="100"/>
      </w:pPr>
      <w:r>
        <w:rPr>
          <w:rFonts w:ascii="Arial" w:cs="Arial" w:eastAsia="Arial" w:hAnsi="Arial"/>
          <w:b/>
          <w:bCs/>
          <w:i w:val="false"/>
          <w:iCs w:val="false"/>
          <w:sz w:val="22"/>
          <w:szCs w:val="22"/>
        </w:rPr>
        <w:t xml:space="preserve">Entire Agreement and variations.</w:t>
      </w:r>
      <w:r>
        <w:rPr>
          <w:rFonts w:ascii="Arial" w:cs="Arial" w:eastAsia="Arial" w:hAnsi="Arial"/>
          <w:b w:val="false"/>
          <w:bCs w:val="false"/>
          <w:i w:val="false"/>
          <w:iCs w:val="false"/>
          <w:sz w:val="22"/>
          <w:szCs w:val="22"/>
        </w:rPr>
        <w:t xml:space="preserve"> This Agreement represents the entire agreement between the Parties relating to the sharing or otherwise processing of Data. It is not capable of being amended except in writing by or with the specific consent of the Parties.</w:t>
      </w:r>
    </w:p>
    <w:p>
      <w:pPr>
        <w:pStyle w:val="ListParagraph"/>
        <w:numPr>
          <w:ilvl w:val="0"/>
          <w:numId w:val="3"/>
        </w:numPr>
        <w:spacing w:after="100"/>
      </w:pPr>
      <w:r>
        <w:rPr>
          <w:rFonts w:ascii="Arial" w:cs="Arial" w:eastAsia="Arial" w:hAnsi="Arial"/>
          <w:b/>
          <w:bCs/>
          <w:i w:val="false"/>
          <w:iCs w:val="false"/>
          <w:sz w:val="22"/>
          <w:szCs w:val="22"/>
        </w:rPr>
        <w:t xml:space="preserve">Counterparts.</w:t>
      </w:r>
      <w:r>
        <w:rPr>
          <w:rFonts w:ascii="Arial" w:cs="Arial" w:eastAsia="Arial" w:hAnsi="Arial"/>
          <w:b w:val="false"/>
          <w:bCs w:val="false"/>
          <w:i w:val="false"/>
          <w:iCs w:val="false"/>
          <w:sz w:val="22"/>
          <w:szCs w:val="22"/>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pPr>
        <w:pStyle w:val="ListParagraph"/>
        <w:numPr>
          <w:ilvl w:val="0"/>
          <w:numId w:val="3"/>
        </w:numPr>
        <w:spacing w:after="100"/>
      </w:pPr>
      <w:r>
        <w:rPr>
          <w:rFonts w:ascii="Arial" w:cs="Arial" w:eastAsia="Arial" w:hAnsi="Arial"/>
          <w:b/>
          <w:bCs/>
          <w:i w:val="false"/>
          <w:iCs w:val="false"/>
          <w:sz w:val="22"/>
          <w:szCs w:val="22"/>
        </w:rPr>
        <w:t xml:space="preserve">Costs and Expenses.</w:t>
      </w:r>
      <w:r>
        <w:rPr>
          <w:rFonts w:ascii="Arial" w:cs="Arial" w:eastAsia="Arial" w:hAnsi="Arial"/>
          <w:b w:val="false"/>
          <w:bCs w:val="false"/>
          <w:i w:val="false"/>
          <w:iCs w:val="false"/>
          <w:sz w:val="22"/>
          <w:szCs w:val="22"/>
        </w:rPr>
        <w:t xml:space="preserve"> Each Party shall be responsible for paying its own costs and expenses incurred in connection with the negotiation, preparation, execution and completion of this Agreement.</w:t>
      </w:r>
    </w:p>
    <w:p>
      <w:pPr>
        <w:pStyle w:val="ListParagraph"/>
        <w:numPr>
          <w:ilvl w:val="0"/>
          <w:numId w:val="3"/>
        </w:numPr>
        <w:spacing w:after="100"/>
      </w:pPr>
      <w:r>
        <w:rPr>
          <w:rFonts w:ascii="Arial" w:cs="Arial" w:eastAsia="Arial" w:hAnsi="Arial"/>
          <w:b/>
          <w:bCs/>
          <w:i w:val="false"/>
          <w:iCs w:val="false"/>
          <w:sz w:val="22"/>
          <w:szCs w:val="22"/>
        </w:rPr>
        <w:t xml:space="preserve">Waiver.</w:t>
      </w:r>
      <w:r>
        <w:rPr>
          <w:rFonts w:ascii="Arial" w:cs="Arial" w:eastAsia="Arial" w:hAnsi="Arial"/>
          <w:b w:val="false"/>
          <w:bCs w:val="false"/>
          <w:i w:val="false"/>
          <w:iCs w:val="false"/>
          <w:sz w:val="22"/>
          <w:szCs w:val="22"/>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pPr>
        <w:pStyle w:val="ListParagraph"/>
        <w:numPr>
          <w:ilvl w:val="0"/>
          <w:numId w:val="3"/>
        </w:numPr>
        <w:spacing w:after="100"/>
      </w:pPr>
      <w:r>
        <w:rPr>
          <w:rFonts w:ascii="Arial" w:cs="Arial" w:eastAsia="Arial" w:hAnsi="Arial"/>
          <w:b/>
          <w:bCs/>
          <w:i w:val="false"/>
          <w:iCs w:val="false"/>
          <w:sz w:val="22"/>
          <w:szCs w:val="22"/>
        </w:rPr>
        <w:t xml:space="preserve">Severance.</w:t>
      </w:r>
      <w:r>
        <w:rPr>
          <w:rFonts w:ascii="Arial" w:cs="Arial" w:eastAsia="Arial" w:hAnsi="Arial"/>
          <w:b w:val="false"/>
          <w:bCs w:val="false"/>
          <w:i w:val="false"/>
          <w:iCs w:val="false"/>
          <w:sz w:val="22"/>
          <w:szCs w:val="22"/>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pPr>
        <w:pStyle w:val="Heading1"/>
        <w:spacing w:after="180" w:before="320"/>
      </w:pPr>
      <w:r>
        <w:rPr>
          <w:rFonts w:ascii="Arial" w:cs="Arial" w:eastAsia="Arial" w:hAnsi="Arial"/>
          <w:b/>
          <w:bCs/>
          <w:sz w:val="28"/>
          <w:szCs w:val="28"/>
        </w:rPr>
        <w:t xml:space="preserve">10. GOVERNING LAW AND JURISDICTION</w:t>
      </w:r>
    </w:p>
    <w:p>
      <w:pPr>
        <w:spacing w:after="120"/>
      </w:pPr>
      <w:r>
        <w:rPr>
          <w:rFonts w:ascii="Arial" w:cs="Arial" w:eastAsia="Arial" w:hAnsi="Arial"/>
          <w:b w:val="false"/>
          <w:bCs w:val="false"/>
          <w:i w:val="false"/>
          <w:iCs w:val="false"/>
          <w:sz w:val="22"/>
          <w:szCs w:val="22"/>
        </w:rPr>
        <w:t xml:space="preserve">This Agreement and any dispute or claim arising out of or in connection with it or its subject matter or formation (including non-contractual disputes or claims) (a “Dispute”) shall, in all respects, be governed by and construed in accordance with the law of Scotland. Subject to Clause 7 (Dispute Resolution), the Parties agree that the Scottish Courts shall have exclusive jurisdiction in relation to any Dispute.</w:t>
      </w:r>
    </w:p>
    <w:p>
      <w:pPr>
        <w:spacing w:after="200" w:before="200"/>
      </w:pPr>
      <w:r>
        <w:rPr>
          <w:rFonts w:ascii="Arial" w:cs="Arial" w:eastAsia="Arial" w:hAnsi="Arial"/>
          <w:b/>
          <w:bCs/>
          <w:i w:val="false"/>
          <w:iCs w:val="false"/>
          <w:sz w:val="22"/>
          <w:szCs w:val="22"/>
        </w:rPr>
        <w:t xml:space="preserve">IN WITNESS WHEREOF these presents consisting of this and the preceding {pageCount} pages together with the Schedule in {schedulePartsCount} parts hereto are executed by the Parties hereto as follows:</w:t>
      </w:r>
    </w:p>
    <w:p>
      <w:pPr>
        <w:spacing w:after="120" w:before="200"/>
      </w:pPr>
      <w:r>
        <w:rPr>
          <w:rFonts w:ascii="Arial" w:cs="Arial" w:eastAsia="Arial" w:hAnsi="Arial"/>
          <w:b/>
          <w:bCs/>
          <w:i w:val="false"/>
          <w:iCs w:val="false"/>
          <w:sz w:val="22"/>
          <w:szCs w:val="22"/>
        </w:rPr>
        <w:t xml:space="preserve">SIGNED on behalf of {counterparty.legalName} by</w:t>
      </w:r>
    </w:p>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Signed:                                                        Position: {counterparty.signatoryPosition}</w:t>
      </w:r>
    </w:p>
    <w:p>
      <w:pPr>
        <w:spacing w:after="120"/>
      </w:pPr>
      <w:r>
        <w:rPr>
          <w:rFonts w:ascii="Arial" w:cs="Arial" w:eastAsia="Arial" w:hAnsi="Arial"/>
          <w:b w:val="false"/>
          <w:bCs w:val="false"/>
          <w:i w:val="false"/>
          <w:iCs w:val="false"/>
          <w:sz w:val="22"/>
          <w:szCs w:val="22"/>
        </w:rPr>
        <w:t xml:space="preserve">Full Name: {counterparty.signatoryName}                                  Date: {counterparty.signatoryDate}</w:t>
      </w:r>
    </w:p>
    <w:p>
      <w:pPr>
        <w:spacing w:after="120"/>
      </w:pPr>
      <w:r>
        <w:rPr>
          <w:rFonts w:ascii="Arial" w:cs="Arial" w:eastAsia="Arial" w:hAnsi="Arial"/>
          <w:b w:val="false"/>
          <w:bCs w:val="false"/>
          <w:i w:val="false"/>
          <w:iCs w:val="false"/>
          <w:sz w:val="22"/>
          <w:szCs w:val="22"/>
        </w:rPr>
        <w:t xml:space="preserve">Place: {counterparty.signatoryPlace}</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{counterparty.witnessPosition}</w:t>
      </w:r>
    </w:p>
    <w:p>
      <w:pPr>
        <w:spacing w:after="120"/>
      </w:pPr>
      <w:r>
        <w:rPr>
          <w:rFonts w:ascii="Arial" w:cs="Arial" w:eastAsia="Arial" w:hAnsi="Arial"/>
          <w:b w:val="false"/>
          <w:bCs w:val="false"/>
          <w:i w:val="false"/>
          <w:iCs w:val="false"/>
          <w:sz w:val="22"/>
          <w:szCs w:val="22"/>
        </w:rPr>
        <w:t xml:space="preserve">Full Name: {counterparty.witnessName}                                    Date: {counterparty.witnessDate}</w:t>
      </w:r>
    </w:p>
    <w:p>
      <w:pPr>
        <w:spacing w:after="120"/>
      </w:pPr>
      <w:r>
        <w:rPr>
          <w:rFonts w:ascii="Arial" w:cs="Arial" w:eastAsia="Arial" w:hAnsi="Arial"/>
          <w:b w:val="false"/>
          <w:bCs w:val="false"/>
          <w:i w:val="false"/>
          <w:iCs w:val="false"/>
          <w:sz w:val="22"/>
          <w:szCs w:val="22"/>
        </w:rPr>
        <w:t xml:space="preserve">Address: {counterparty.witnessAddress}</w:t>
      </w:r>
    </w:p>
    <w:p>
      <w:pPr>
        <w:spacing w:after="120"/>
      </w:pPr>
      <w:r>
        <w:rPr>
          <w:rFonts w:ascii="Arial" w:cs="Arial" w:eastAsia="Arial" w:hAnsi="Arial"/>
          <w:b w:val="false"/>
          <w:bCs w:val="false"/>
          <w:i w:val="false"/>
          <w:iCs w:val="false"/>
          <w:sz w:val="22"/>
          <w:szCs w:val="22"/>
        </w:rPr>
        <w:t xml:space="preserve"> </w:t>
      </w:r>
    </w:p>
    <w:p>
      <w:pPr>
        <w:spacing w:after="120" w:before="200"/>
      </w:pPr>
      <w:r>
        <w:rPr>
          <w:rFonts w:ascii="Arial" w:cs="Arial" w:eastAsia="Arial" w:hAnsi="Arial"/>
          <w:b/>
          <w:bCs/>
          <w:i w:val="false"/>
          <w:iCs w:val="false"/>
          <w:sz w:val="22"/>
          <w:szCs w:val="22"/>
        </w:rPr>
        <w:t xml:space="preserve">SIGNED on behalf of MCR Pathways by</w:t>
      </w:r>
    </w:p>
    <w:p>
      <w:pPr>
        <w:spacing w:after="120"/>
      </w:pPr>
      <w:r>
        <w:rPr>
          <w:rFonts w:ascii="Arial" w:cs="Arial" w:eastAsia="Arial" w:hAnsi="Arial"/>
          <w:b w:val="false"/>
          <w:bCs w:val="false"/>
          <w:i w:val="false"/>
          <w:iCs w:val="false"/>
          <w:sz w:val="22"/>
          <w:szCs w:val="22"/>
        </w:rPr>
        <w:t xml:space="preserve">Signed:                                                       Position: {mcr.signatoryPosition}</w:t>
      </w:r>
    </w:p>
    <w:p>
      <w:pPr>
        <w:spacing w:after="120"/>
      </w:pPr>
      <w:r>
        <w:rPr>
          <w:rFonts w:ascii="Arial" w:cs="Arial" w:eastAsia="Arial" w:hAnsi="Arial"/>
          <w:b w:val="false"/>
          <w:bCs w:val="false"/>
          <w:i w:val="false"/>
          <w:iCs w:val="false"/>
          <w:sz w:val="22"/>
          <w:szCs w:val="22"/>
        </w:rPr>
        <w:t xml:space="preserve">Full Name: {mcr.signatoryName}                                  Date: {mcr.signatoryDate}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{mcr.witnessPosition}</w:t>
      </w:r>
    </w:p>
    <w:p>
      <w:pPr>
        <w:spacing w:after="120"/>
      </w:pPr>
      <w:r>
        <w:rPr>
          <w:rFonts w:ascii="Arial" w:cs="Arial" w:eastAsia="Arial" w:hAnsi="Arial"/>
          <w:b w:val="false"/>
          <w:bCs w:val="false"/>
          <w:i w:val="false"/>
          <w:iCs w:val="false"/>
          <w:sz w:val="22"/>
          <w:szCs w:val="22"/>
        </w:rPr>
        <w:t xml:space="preserve">Full Name: {mcr.witnessName}                                    Date: {mcr.witnessDate}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r>
        <w:br w:type="page"/>
      </w:r>
    </w:p>
    <w:p>
      <w:pPr>
        <w:spacing w:after="240"/>
      </w:pPr>
      <w:r>
        <w:rPr>
          <w:rFonts w:ascii="Arial" w:cs="Arial" w:eastAsia="Arial" w:hAnsi="Arial"/>
          <w:b/>
          <w:bCs/>
          <w:i/>
          <w:iCs/>
          <w:sz w:val="22"/>
          <w:szCs w:val="22"/>
        </w:rPr>
        <w:t xml:space="preserve">This is the Schedule referred to in the foregoing Data Sharing Agreement between {counterparty.legalName} and MCR PATHWAYS</w:t>
      </w:r>
    </w:p>
    <w:p>
      <w:pPr>
        <w:pStyle w:val="Heading1"/>
        <w:spacing w:after="180" w:before="320"/>
      </w:pPr>
      <w:r>
        <w:rPr>
          <w:rFonts w:ascii="Arial" w:cs="Arial" w:eastAsia="Arial" w:hAnsi="Arial"/>
          <w:b/>
          <w:bCs/>
          <w:sz w:val="28"/>
          <w:szCs w:val="28"/>
        </w:rPr>
        <w:t xml:space="preserve">Schedule Part 1 – Data &amp; Data Subjects</w:t>
      </w:r>
    </w:p>
    <w:p>
      <w:pPr>
        <w:pStyle w:val="Heading2"/>
        <w:spacing w:after="120" w:before="240"/>
      </w:pPr>
      <w:r>
        <w:rPr>
          <w:rFonts w:ascii="Arial" w:cs="Arial" w:eastAsia="Arial" w:hAnsi="Arial"/>
          <w:b/>
          <w:bCs/>
          <w:sz w:val="24"/>
          <w:szCs w:val="24"/>
        </w:rPr>
        <w:t xml:space="preserve">DATA</w:t>
      </w:r>
    </w:p>
    <w:p>
      <w:pPr>
        <w:pStyle w:val="ListParagraph"/>
        <w:numPr>
          <w:ilvl w:val="0"/>
          <w:numId w:val="2"/>
        </w:numPr>
        <w:spacing w:after="80"/>
      </w:pPr>
      <w:r>
        <w:rPr>
          <w:rFonts w:ascii="Arial" w:cs="Arial" w:eastAsia="Arial" w:hAnsi="Arial"/>
          <w:sz w:val="22"/>
          <w:szCs w:val="22"/>
        </w:rPr>
        <w:t xml:space="preserve">Demographic (personal but not special category) data including (but not restricted to) names, addresses, dates of birth and contact details.</w:t>
      </w:r>
    </w:p>
    <w:p>
      <w:pPr>
        <w:pStyle w:val="ListParagraph"/>
        <w:numPr>
          <w:ilvl w:val="0"/>
          <w:numId w:val="2"/>
        </w:numPr>
        <w:spacing w:after="80"/>
      </w:pPr>
      <w:r>
        <w:rPr>
          <w:rFonts w:ascii="Arial" w:cs="Arial" w:eastAsia="Arial" w:hAnsi="Arial"/>
          <w:sz w:val="22"/>
          <w:szCs w:val="22"/>
        </w:rPr>
        <w:t xml:space="preserve">Special category data (subject to paragraph 1 above) including (but not restricted to):</w:t>
      </w:r>
    </w:p>
    <w:p>
      <w:pPr>
        <w:pStyle w:val="ListParagraph"/>
        <w:numPr>
          <w:ilvl w:val="1"/>
          <w:numId w:val="2"/>
        </w:numPr>
        <w:spacing w:after="80"/>
      </w:pPr>
      <w:r>
        <w:rPr>
          <w:rFonts w:ascii="Arial" w:cs="Arial" w:eastAsia="Arial" w:hAnsi="Arial"/>
          <w:sz w:val="22"/>
          <w:szCs w:val="22"/>
        </w:rPr>
        <w:t xml:space="preserve">information on the impact of any caring role on the individual’s health and well being</w:t>
      </w:r>
    </w:p>
    <w:p>
      <w:pPr>
        <w:pStyle w:val="ListParagraph"/>
        <w:numPr>
          <w:ilvl w:val="1"/>
          <w:numId w:val="2"/>
        </w:numPr>
        <w:spacing w:after="80"/>
      </w:pPr>
      <w:r>
        <w:rPr>
          <w:rFonts w:ascii="Arial" w:cs="Arial" w:eastAsia="Arial" w:hAnsi="Arial"/>
          <w:sz w:val="22"/>
          <w:szCs w:val="22"/>
        </w:rPr>
        <w:t xml:space="preserve">information about an individual’s outcomes and intended pathways</w:t>
      </w:r>
    </w:p>
    <w:p>
      <w:pPr>
        <w:pStyle w:val="ListParagraph"/>
        <w:numPr>
          <w:ilvl w:val="1"/>
          <w:numId w:val="2"/>
        </w:numPr>
        <w:spacing w:after="80"/>
      </w:pPr>
      <w:r>
        <w:rPr>
          <w:rFonts w:ascii="Arial" w:cs="Arial" w:eastAsia="Arial" w:hAnsi="Arial"/>
          <w:sz w:val="22"/>
          <w:szCs w:val="22"/>
        </w:rPr>
        <w:t xml:space="preserve">medical conditions, medication, aids, adaptations, social supports, therapeutic interventions</w:t>
      </w:r>
    </w:p>
    <w:p>
      <w:pPr>
        <w:pStyle w:val="ListParagraph"/>
        <w:numPr>
          <w:ilvl w:val="1"/>
          <w:numId w:val="2"/>
        </w:numPr>
        <w:spacing w:after="80"/>
      </w:pPr>
      <w:r>
        <w:rPr>
          <w:rFonts w:ascii="Arial" w:cs="Arial" w:eastAsia="Arial" w:hAnsi="Arial"/>
          <w:sz w:val="22"/>
          <w:szCs w:val="22"/>
        </w:rPr>
        <w:t xml:space="preserve">gender, ethnicity and religion</w:t>
      </w:r>
    </w:p>
    <w:p>
      <w:pPr>
        <w:pStyle w:val="ListParagraph"/>
        <w:numPr>
          <w:ilvl w:val="1"/>
          <w:numId w:val="2"/>
        </w:numPr>
        <w:spacing w:after="80"/>
      </w:pPr>
      <w:r>
        <w:rPr>
          <w:rFonts w:ascii="Arial" w:cs="Arial" w:eastAsia="Arial" w:hAnsi="Arial"/>
          <w:sz w:val="22"/>
          <w:szCs w:val="22"/>
        </w:rPr>
        <w:t xml:space="preserve">requirements in relation to interpreting, advocacy or other support</w:t>
      </w:r>
    </w:p>
    <w:p>
      <w:pPr>
        <w:pStyle w:val="ListParagraph"/>
        <w:numPr>
          <w:ilvl w:val="1"/>
          <w:numId w:val="2"/>
        </w:numPr>
        <w:spacing w:after="80"/>
      </w:pPr>
      <w:r>
        <w:rPr>
          <w:rFonts w:ascii="Arial" w:cs="Arial" w:eastAsia="Arial" w:hAnsi="Arial"/>
          <w:sz w:val="22"/>
          <w:szCs w:val="22"/>
        </w:rPr>
        <w:t xml:space="preserve">social circumstances and environmental factors</w:t>
      </w:r>
    </w:p>
    <w:p>
      <w:pPr>
        <w:pStyle w:val="ListParagraph"/>
        <w:numPr>
          <w:ilvl w:val="1"/>
          <w:numId w:val="2"/>
        </w:numPr>
        <w:spacing w:after="80"/>
      </w:pPr>
      <w:r>
        <w:rPr>
          <w:rFonts w:ascii="Arial" w:cs="Arial" w:eastAsia="Arial" w:hAnsi="Arial"/>
          <w:sz w:val="22"/>
          <w:szCs w:val="22"/>
        </w:rPr>
        <w:t xml:space="preserve">family history/circumstances and other significant relationships (e.g. marital status, dependants)</w:t>
      </w:r>
    </w:p>
    <w:p>
      <w:pPr>
        <w:pStyle w:val="ListParagraph"/>
        <w:numPr>
          <w:ilvl w:val="1"/>
          <w:numId w:val="2"/>
        </w:numPr>
        <w:spacing w:after="80"/>
      </w:pPr>
      <w:r>
        <w:rPr>
          <w:rFonts w:ascii="Arial" w:cs="Arial" w:eastAsia="Arial" w:hAnsi="Arial"/>
          <w:sz w:val="22"/>
          <w:szCs w:val="22"/>
        </w:rPr>
        <w:t xml:space="preserve">history of violent or abusive behaviour</w:t>
      </w:r>
    </w:p>
    <w:p>
      <w:pPr>
        <w:pStyle w:val="ListParagraph"/>
        <w:numPr>
          <w:ilvl w:val="1"/>
          <w:numId w:val="2"/>
        </w:numPr>
        <w:spacing w:after="80"/>
      </w:pPr>
      <w:r>
        <w:rPr>
          <w:rFonts w:ascii="Arial" w:cs="Arial" w:eastAsia="Arial" w:hAnsi="Arial"/>
          <w:b w:val="false"/>
          <w:bCs w:val="false"/>
          <w:i w:val="false"/>
          <w:iCs w:val="false"/>
          <w:sz w:val="22"/>
          <w:szCs w:val="22"/>
        </w:rPr>
        <w:t xml:space="preserve">{#crim}criminal record{/crim}</w:t>
      </w:r>
    </w:p>
    <w:p>
      <w:pPr>
        <w:pStyle w:val="ListParagraph"/>
        <w:numPr>
          <w:ilvl w:val="1"/>
          <w:numId w:val="2"/>
        </w:numPr>
        <w:spacing w:after="80"/>
      </w:pPr>
      <w:r>
        <w:rPr>
          <w:rFonts w:ascii="Arial" w:cs="Arial" w:eastAsia="Arial" w:hAnsi="Arial"/>
          <w:sz w:val="22"/>
          <w:szCs w:val="22"/>
        </w:rPr>
        <w:t xml:space="preserve">assessment of risk or threat posed to or by an individual and how such risk is to be managed</w:t>
      </w:r>
    </w:p>
    <w:p>
      <w:pPr>
        <w:pStyle w:val="ListParagraph"/>
        <w:numPr>
          <w:ilvl w:val="0"/>
          <w:numId w:val="2"/>
        </w:numPr>
        <w:spacing w:after="80"/>
      </w:pPr>
      <w:r>
        <w:rPr>
          <w:rFonts w:ascii="Arial" w:cs="Arial" w:eastAsia="Arial" w:hAnsi="Arial"/>
          <w:b w:val="false"/>
          <w:bCs w:val="false"/>
          <w:i w:val="false"/>
          <w:iCs w:val="false"/>
          <w:sz w:val="22"/>
          <w:szCs w:val="22"/>
        </w:rPr>
        <w:t xml:space="preserve">data relating to the following may also be shared - {eduVocab}.</w:t>
      </w:r>
    </w:p>
    <w:p>
      <w:pPr>
        <w:pStyle w:val="ListParagraph"/>
        <w:numPr>
          <w:ilvl w:val="0"/>
          <w:numId w:val="2"/>
        </w:numPr>
        <w:spacing w:after="80"/>
      </w:pPr>
      <w:r>
        <w:rPr>
          <w:rFonts w:ascii="Arial" w:cs="Arial" w:eastAsia="Arial" w:hAnsi="Arial"/>
          <w:sz w:val="22"/>
          <w:szCs w:val="22"/>
        </w:rPr>
        <w:t xml:space="preserve">history of past involvement with any of the Parties or other relevant agencies.</w:t>
      </w:r>
    </w:p>
    <w:p>
      <w:pPr>
        <w:pStyle w:val="ListParagraph"/>
        <w:numPr>
          <w:ilvl w:val="0"/>
          <w:numId w:val="2"/>
        </w:numPr>
        <w:spacing w:after="80"/>
      </w:pPr>
      <w:r>
        <w:rPr>
          <w:rFonts w:ascii="Arial" w:cs="Arial" w:eastAsia="Arial" w:hAnsi="Arial"/>
          <w:sz w:val="22"/>
          <w:szCs w:val="22"/>
        </w:rPr>
        <w:t xml:space="preserve">details of current involvement / intervention including the actions of staff, advice and information given to the data subject and any record of their actions, intended actions and statements made by them.</w:t>
      </w:r>
    </w:p>
    <w:p>
      <w:pPr>
        <w:pStyle w:val="ListParagraph"/>
        <w:numPr>
          <w:ilvl w:val="0"/>
          <w:numId w:val="2"/>
        </w:numPr>
        <w:spacing w:after="80"/>
      </w:pPr>
      <w:r>
        <w:rPr>
          <w:rFonts w:ascii="Arial" w:cs="Arial" w:eastAsia="Arial" w:hAnsi="Arial"/>
          <w:sz w:val="22"/>
          <w:szCs w:val="22"/>
        </w:rPr>
        <w:t xml:space="preserve">financial information including income and state benefits.</w:t>
      </w:r>
    </w:p>
    <w:p>
      <w:pPr>
        <w:pStyle w:val="Heading2"/>
        <w:spacing w:after="120" w:before="240"/>
      </w:pPr>
      <w:r>
        <w:rPr>
          <w:rFonts w:ascii="Arial" w:cs="Arial" w:eastAsia="Arial" w:hAnsi="Arial"/>
          <w:b/>
          <w:bCs/>
          <w:sz w:val="24"/>
          <w:szCs w:val="24"/>
        </w:rPr>
        <w:t xml:space="preserve">CATEGORIES OF DATA SUBJECTS</w:t>
      </w:r>
    </w:p>
    <w:p>
      <w:pPr>
        <w:spacing w:after="120"/>
      </w:pPr>
      <w:r>
        <w:rPr>
          <w:rFonts w:ascii="Arial" w:cs="Arial" w:eastAsia="Arial" w:hAnsi="Arial"/>
          <w:b w:val="false"/>
          <w:bCs w:val="false"/>
          <w:i w:val="false"/>
          <w:iCs w:val="false"/>
          <w:sz w:val="22"/>
          <w:szCs w:val="22"/>
        </w:rPr>
        <w:t xml:space="preserve">The Data Subjects shall be:</w:t>
      </w:r>
    </w:p>
    <w:p>
      <w:pPr>
        <w:pStyle w:val="ListParagraph"/>
        <w:numPr>
          <w:ilvl w:val="0"/>
          <w:numId w:val="2"/>
        </w:numPr>
        <w:spacing w:after="80"/>
      </w:pPr>
      <w:r>
        <w:rPr>
          <w:rFonts w:ascii="Arial" w:cs="Arial" w:eastAsia="Arial" w:hAnsi="Arial"/>
          <w:sz w:val="22"/>
          <w:szCs w:val="22"/>
        </w:rPr>
        <w:t xml:space="preserve">Children</w:t>
      </w:r>
    </w:p>
    <w:p>
      <w:pPr>
        <w:pStyle w:val="ListParagraph"/>
        <w:numPr>
          <w:ilvl w:val="0"/>
          <w:numId w:val="2"/>
        </w:numPr>
        <w:spacing w:after="80"/>
      </w:pPr>
      <w:r>
        <w:rPr>
          <w:rFonts w:ascii="Arial" w:cs="Arial" w:eastAsia="Arial" w:hAnsi="Arial"/>
          <w:sz w:val="22"/>
          <w:szCs w:val="22"/>
        </w:rPr>
        <w:t xml:space="preserve">Young People</w:t>
      </w:r>
    </w:p>
    <w:p>
      <w:pPr>
        <w:pStyle w:val="ListParagraph"/>
        <w:numPr>
          <w:ilvl w:val="0"/>
          <w:numId w:val="2"/>
        </w:numPr>
        <w:spacing w:after="80"/>
      </w:pPr>
      <w:r>
        <w:rPr>
          <w:rFonts w:ascii="Arial" w:cs="Arial" w:eastAsia="Arial" w:hAnsi="Arial"/>
          <w:sz w:val="22"/>
          <w:szCs w:val="22"/>
        </w:rPr>
        <w:t xml:space="preserve">Mentors</w:t>
      </w:r>
    </w:p>
    <w:p>
      <w:pPr>
        <w:pStyle w:val="ListParagraph"/>
        <w:numPr>
          <w:ilvl w:val="0"/>
          <w:numId w:val="2"/>
        </w:numPr>
        <w:spacing w:after="80"/>
      </w:pPr>
      <w:r>
        <w:rPr>
          <w:rFonts w:ascii="Arial" w:cs="Arial" w:eastAsia="Arial" w:hAnsi="Arial"/>
          <w:sz w:val="22"/>
          <w:szCs w:val="22"/>
        </w:rPr>
        <w:t xml:space="preserve">Volunteers</w:t>
      </w:r>
    </w:p>
    <w:p>
      <w:pPr>
        <w:pStyle w:val="ListParagraph"/>
        <w:numPr>
          <w:ilvl w:val="0"/>
          <w:numId w:val="2"/>
        </w:numPr>
        <w:spacing w:after="80"/>
      </w:pPr>
      <w:r>
        <w:rPr>
          <w:rFonts w:ascii="Arial" w:cs="Arial" w:eastAsia="Arial" w:hAnsi="Arial"/>
          <w:sz w:val="22"/>
          <w:szCs w:val="22"/>
        </w:rPr>
        <w:t xml:space="preserve">Parents/Carers/Guardians</w:t>
      </w:r>
    </w:p>
    <w:p>
      <w:pPr>
        <w:pStyle w:val="ListParagraph"/>
        <w:numPr>
          <w:ilvl w:val="0"/>
          <w:numId w:val="2"/>
        </w:numPr>
        <w:spacing w:after="80"/>
      </w:pPr>
      <w:r>
        <w:rPr>
          <w:rFonts w:ascii="Arial" w:cs="Arial" w:eastAsia="Arial" w:hAnsi="Arial"/>
          <w:b w:val="false"/>
          <w:bCs w:val="false"/>
          <w:i w:val="false"/>
          <w:iCs w:val="false"/>
          <w:sz w:val="22"/>
          <w:szCs w:val="22"/>
        </w:rPr>
        <w:t xml:space="preserve">{staffDataSubjects}</w:t>
      </w:r>
    </w:p>
    <w:p>
      <w:pPr>
        <w:pStyle w:val="Heading1"/>
        <w:spacing w:after="180" w:before="320"/>
      </w:pPr>
      <w:r>
        <w:rPr>
          <w:rFonts w:ascii="Arial" w:cs="Arial" w:eastAsia="Arial" w:hAnsi="Arial"/>
          <w:b/>
          <w:bCs/>
          <w:sz w:val="28"/>
          <w:szCs w:val="28"/>
        </w:rPr>
        <w:t xml:space="preserve">Schedule Part 2: Purpose and Legal Basis for Processing</w:t>
      </w:r>
    </w:p>
    <w:p>
      <w:pPr>
        <w:pStyle w:val="Heading2"/>
        <w:spacing w:after="120" w:before="240"/>
      </w:pPr>
      <w:r>
        <w:rPr>
          <w:rFonts w:ascii="Arial" w:cs="Arial" w:eastAsia="Arial" w:hAnsi="Arial"/>
          <w:b/>
          <w:bCs/>
          <w:sz w:val="24"/>
          <w:szCs w:val="24"/>
        </w:rPr>
        <w:t xml:space="preserve">1. Purpose</w:t>
      </w:r>
    </w:p>
    <w:p>
      <w:pPr>
        <w:spacing w:after="120"/>
      </w:pPr>
      <w:r>
        <w:rPr>
          <w:rFonts w:ascii="Arial" w:cs="Arial" w:eastAsia="Arial" w:hAnsi="Arial"/>
          <w:b w:val="false"/>
          <w:bCs w:val="false"/>
          <w:i w:val="false"/>
          <w:iCs w:val="false"/>
          <w:sz w:val="22"/>
          <w:szCs w:val="22"/>
        </w:rPr>
        <w:t xml:space="preserve">1.1 It is agreed and acknowledged by the Parties that the sharing of Data including special category data under this Agreement is necessary in order to:</w:t>
      </w:r>
    </w:p>
    <w:p>
      <w:pPr>
        <w:pStyle w:val="ListParagraph"/>
        <w:numPr>
          <w:ilvl w:val="0"/>
          <w:numId w:val="2"/>
        </w:numPr>
        <w:spacing w:after="80"/>
      </w:pPr>
      <w:r>
        <w:rPr>
          <w:rFonts w:ascii="Arial" w:cs="Arial" w:eastAsia="Arial" w:hAnsi="Arial"/>
          <w:sz w:val="22"/>
          <w:szCs w:val="22"/>
        </w:rPr>
        <w:t xml:space="preserve">ensure provision of the Service to Individuals as described in Part 7 of the Schedule.</w:t>
      </w:r>
    </w:p>
    <w:p>
      <w:pPr>
        <w:pStyle w:val="ListParagraph"/>
        <w:numPr>
          <w:ilvl w:val="0"/>
          <w:numId w:val="2"/>
        </w:numPr>
        <w:spacing w:after="80"/>
      </w:pPr>
      <w:r>
        <w:rPr>
          <w:rFonts w:ascii="Arial" w:cs="Arial" w:eastAsia="Arial" w:hAnsi="Arial"/>
          <w:sz w:val="22"/>
          <w:szCs w:val="22"/>
        </w:rPr>
        <w:t xml:space="preserve">ensure continuity and consistency of the Service to individuals.</w:t>
      </w:r>
    </w:p>
    <w:p>
      <w:pPr>
        <w:pStyle w:val="ListParagraph"/>
        <w:numPr>
          <w:ilvl w:val="0"/>
          <w:numId w:val="2"/>
        </w:numPr>
        <w:spacing w:after="80"/>
      </w:pPr>
      <w:r>
        <w:rPr>
          <w:rFonts w:ascii="Arial" w:cs="Arial" w:eastAsia="Arial" w:hAnsi="Arial"/>
          <w:sz w:val="22"/>
          <w:szCs w:val="22"/>
        </w:rPr>
        <w:t xml:space="preserve">enable all parties to discharge their respective statutory duties.</w:t>
      </w:r>
    </w:p>
    <w:p>
      <w:pPr>
        <w:pStyle w:val="ListParagraph"/>
        <w:numPr>
          <w:ilvl w:val="0"/>
          <w:numId w:val="2"/>
        </w:numPr>
        <w:spacing w:after="80"/>
      </w:pPr>
      <w:r>
        <w:rPr>
          <w:rFonts w:ascii="Arial" w:cs="Arial" w:eastAsia="Arial" w:hAnsi="Arial"/>
          <w:sz w:val="22"/>
          <w:szCs w:val="22"/>
        </w:rPr>
        <w:t xml:space="preserve">enable the protection of Children, Young Persons and MCR Pathways’ volunteers.</w:t>
      </w:r>
    </w:p>
    <w:p>
      <w:pPr>
        <w:pStyle w:val="ListParagraph"/>
        <w:numPr>
          <w:ilvl w:val="0"/>
          <w:numId w:val="2"/>
        </w:numPr>
        <w:spacing w:after="80"/>
      </w:pPr>
      <w:r>
        <w:rPr>
          <w:rFonts w:ascii="Arial" w:cs="Arial" w:eastAsia="Arial" w:hAnsi="Arial"/>
          <w:sz w:val="22"/>
          <w:szCs w:val="22"/>
        </w:rPr>
        <w:t xml:space="preserve">ensure maintenance of acceptable nationally agreed quality standards applicable to the provision of the Service.</w:t>
      </w:r>
    </w:p>
    <w:p>
      <w:pPr>
        <w:pStyle w:val="ListParagraph"/>
        <w:numPr>
          <w:ilvl w:val="0"/>
          <w:numId w:val="2"/>
        </w:numPr>
        <w:spacing w:after="80"/>
      </w:pPr>
      <w:r>
        <w:rPr>
          <w:rFonts w:ascii="Arial" w:cs="Arial" w:eastAsia="Arial" w:hAnsi="Arial"/>
          <w:sz w:val="22"/>
          <w:szCs w:val="22"/>
        </w:rPr>
        <w:t xml:space="preserve">support quality monitoring and improvement measures for the Service to Individuals.</w:t>
      </w:r>
    </w:p>
    <w:p>
      <w:pPr>
        <w:pStyle w:val="ListParagraph"/>
        <w:numPr>
          <w:ilvl w:val="0"/>
          <w:numId w:val="2"/>
        </w:numPr>
        <w:spacing w:after="80"/>
      </w:pPr>
      <w:r>
        <w:rPr>
          <w:rFonts w:ascii="Arial" w:cs="Arial" w:eastAsia="Arial" w:hAnsi="Arial"/>
          <w:sz w:val="22"/>
          <w:szCs w:val="22"/>
        </w:rPr>
        <w:t xml:space="preserve">support national initiatives, research and information exchange for the development and improvement of the School’s Education services to Children and Young Persons more generally.</w:t>
      </w:r>
    </w:p>
    <w:p>
      <w:pPr>
        <w:pStyle w:val="ListParagraph"/>
        <w:numPr>
          <w:ilvl w:val="0"/>
          <w:numId w:val="2"/>
        </w:numPr>
        <w:spacing w:after="80"/>
      </w:pPr>
      <w:r>
        <w:rPr>
          <w:rFonts w:ascii="Arial" w:cs="Arial" w:eastAsia="Arial" w:hAnsi="Arial"/>
          <w:sz w:val="22"/>
          <w:szCs w:val="22"/>
        </w:rPr>
        <w:t xml:space="preserve">support planning, management and governance of respective services by the Parties.</w:t>
      </w:r>
    </w:p>
    <w:p>
      <w:pPr>
        <w:pStyle w:val="ListParagraph"/>
        <w:numPr>
          <w:ilvl w:val="0"/>
          <w:numId w:val="2"/>
        </w:numPr>
        <w:spacing w:after="80"/>
      </w:pPr>
      <w:r>
        <w:rPr>
          <w:rFonts w:ascii="Arial" w:cs="Arial" w:eastAsia="Arial" w:hAnsi="Arial"/>
          <w:sz w:val="22"/>
          <w:szCs w:val="22"/>
        </w:rPr>
        <w:t xml:space="preserve">ensure availability of relevant information for audit, scrutiny and accountability of the Service to the Parties and to relevant regulatory and inspection bodies.</w:t>
      </w:r>
    </w:p>
    <w:p>
      <w:pPr>
        <w:pStyle w:val="ListParagraph"/>
        <w:numPr>
          <w:ilvl w:val="0"/>
          <w:numId w:val="2"/>
        </w:numPr>
        <w:spacing w:after="80"/>
      </w:pPr>
      <w:r>
        <w:rPr>
          <w:rFonts w:ascii="Arial" w:cs="Arial" w:eastAsia="Arial" w:hAnsi="Arial"/>
          <w:sz w:val="22"/>
          <w:szCs w:val="22"/>
        </w:rPr>
        <w:t xml:space="preserve">improve the achievement of Children and Young Persons in line with the School’s Education Services priorities.</w:t>
      </w:r>
    </w:p>
    <w:p>
      <w:pPr>
        <w:pStyle w:val="ListParagraph"/>
        <w:numPr>
          <w:ilvl w:val="0"/>
          <w:numId w:val="2"/>
        </w:numPr>
        <w:spacing w:after="80"/>
      </w:pPr>
      <w:r>
        <w:rPr>
          <w:rFonts w:ascii="Arial" w:cs="Arial" w:eastAsia="Arial" w:hAnsi="Arial"/>
          <w:sz w:val="22"/>
          <w:szCs w:val="22"/>
        </w:rPr>
        <w:t xml:space="preserve">other purposes which may emerge from time to time.</w:t>
      </w:r>
    </w:p>
    <w:p>
      <w:pPr>
        <w:pStyle w:val="ListParagraph"/>
        <w:numPr>
          <w:ilvl w:val="0"/>
          <w:numId w:val="2"/>
        </w:numPr>
        <w:spacing w:after="80"/>
      </w:pPr>
      <w:r>
        <w:rPr>
          <w:rFonts w:ascii="Arial" w:cs="Arial" w:eastAsia="Arial" w:hAnsi="Arial"/>
          <w:sz w:val="22"/>
          <w:szCs w:val="22"/>
        </w:rPr>
        <w:t xml:space="preserve">support independent evaluation and research purposes on behalf of MCR. MCR will be obliged to enter into an appropriate Data Sharing Agreement with any such party.</w:t>
      </w:r>
    </w:p>
    <w:p>
      <w:pPr>
        <w:spacing w:after="120"/>
      </w:pPr>
      <w:r>
        <w:rPr>
          <w:rFonts w:ascii="Arial" w:cs="Arial" w:eastAsia="Arial" w:hAnsi="Arial"/>
          <w:b w:val="false"/>
          <w:bCs w:val="false"/>
          <w:i w:val="false"/>
          <w:iCs w:val="false"/>
          <w:sz w:val="22"/>
          <w:szCs w:val="22"/>
        </w:rPr>
        <w:t xml:space="preserve">1.2 In respect of Section 1.1 above, this Data Sharing Agreement shall also apply to such other purposes as the Parties agree are necessary and proportionate for the provision of the Service and where the Processing underpinning such purposes is consistent with the over-arching principles of this Data Sharing Agreement. Any such additional functions which are identified will be added to the above list on the next review of this Data Sharing Agreement by the Parties. The Parties will exercise a high degree of scrutiny to ensure that any additional purposes identified meet all the necessary requirements of this Data Sharing Agreement.</w:t>
      </w:r>
    </w:p>
    <w:p>
      <w:pPr>
        <w:pStyle w:val="Heading2"/>
        <w:spacing w:after="120" w:before="240"/>
      </w:pPr>
      <w:r>
        <w:rPr>
          <w:rFonts w:ascii="Arial" w:cs="Arial" w:eastAsia="Arial" w:hAnsi="Arial"/>
          <w:b/>
          <w:bCs/>
          <w:sz w:val="24"/>
          <w:szCs w:val="24"/>
        </w:rPr>
        <w:t xml:space="preserve">2. Legal Basis</w:t>
      </w:r>
    </w:p>
    <w:p>
      <w:pPr>
        <w:spacing w:after="120"/>
      </w:pPr>
      <w:r>
        <w:rPr>
          <w:rFonts w:ascii="Arial" w:cs="Arial" w:eastAsia="Arial" w:hAnsi="Arial"/>
          <w:b w:val="false"/>
          <w:bCs w:val="false"/>
          <w:i w:val="false"/>
          <w:iCs w:val="false"/>
          <w:sz w:val="22"/>
          <w:szCs w:val="22"/>
        </w:rPr>
        <w:t xml:space="preserve">The Data is Processed within the School in terms of this Agreement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Regulation</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w:t>
            </w:r>
          </w:p>
        </w:tc>
        <w:tc>
          <w:tcPr>
            <w:tcW w:type="dxa" w:w="4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The General Data Protection Regulation (EU) 2016/679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{statutoryAnchor}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{#crim}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10</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of personal data relating to criminal convictions and offences or related security measures is authorised by legislation with appropriate safeguards for the rights and freedoms of data subjects.{/crim}</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Data will be shared with MCR and their Evaluation Partners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Performance of a task carried out in the public interest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controller.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sharing of Personal Data and Photographs/Film Footage with Evaluation Partners and/or for marketing/recruitment{#fund}/fundraising{/fund} purposes is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Consent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6(1)(a)</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shall be on the basis of the freely given, specific, informed and unambiguous consent of the Data Subject.</w:t>
            </w:r>
          </w:p>
        </w:tc>
      </w:tr>
    </w:tbl>
    <w:p>
      <w:pPr>
        <w:pStyle w:val="Heading1"/>
        <w:spacing w:after="180" w:before="320"/>
      </w:pPr>
      <w:r>
        <w:rPr>
          <w:rFonts w:ascii="Arial" w:cs="Arial" w:eastAsia="Arial" w:hAnsi="Arial"/>
          <w:b/>
          <w:bCs/>
          <w:sz w:val="28"/>
          <w:szCs w:val="28"/>
        </w:rPr>
        <w:t xml:space="preserve">Schedule Part 3 – Data Transfer Rules</w:t>
      </w:r>
    </w:p>
    <w:p>
      <w:pPr>
        <w:spacing w:after="120"/>
      </w:pPr>
      <w:r>
        <w:rPr>
          <w:rFonts w:ascii="Arial" w:cs="Arial" w:eastAsia="Arial" w:hAnsi="Arial"/>
          <w:b w:val="false"/>
          <w:bCs w:val="false"/>
          <w:i w:val="false"/>
          <w:iCs w:val="false"/>
          <w:sz w:val="22"/>
          <w:szCs w:val="22"/>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p>
    <w:p>
      <w:pPr>
        <w:pStyle w:val="ListParagraph"/>
        <w:numPr>
          <w:ilvl w:val="0"/>
          <w:numId w:val="2"/>
        </w:numPr>
        <w:spacing w:after="80"/>
      </w:pPr>
      <w:r>
        <w:rPr>
          <w:rFonts w:ascii="Arial" w:cs="Arial" w:eastAsia="Arial" w:hAnsi="Arial"/>
          <w:sz w:val="22"/>
          <w:szCs w:val="22"/>
        </w:rPr>
        <w:t xml:space="preserve">Face to face</w:t>
      </w:r>
    </w:p>
    <w:p>
      <w:pPr>
        <w:pStyle w:val="ListParagraph"/>
        <w:numPr>
          <w:ilvl w:val="0"/>
          <w:numId w:val="2"/>
        </w:numPr>
        <w:spacing w:after="80"/>
      </w:pPr>
      <w:r>
        <w:rPr>
          <w:rFonts w:ascii="Arial" w:cs="Arial" w:eastAsia="Arial" w:hAnsi="Arial"/>
          <w:sz w:val="22"/>
          <w:szCs w:val="22"/>
        </w:rPr>
        <w:t xml:space="preserve">Online via secure systems</w:t>
      </w:r>
    </w:p>
    <w:p>
      <w:pPr>
        <w:pStyle w:val="ListParagraph"/>
        <w:numPr>
          <w:ilvl w:val="0"/>
          <w:numId w:val="2"/>
        </w:numPr>
        <w:spacing w:after="80"/>
      </w:pPr>
      <w:r>
        <w:rPr>
          <w:rFonts w:ascii="Arial" w:cs="Arial" w:eastAsia="Arial" w:hAnsi="Arial"/>
          <w:sz w:val="22"/>
          <w:szCs w:val="22"/>
        </w:rPr>
        <w:t xml:space="preserve">Secure email (attachments are password protected)</w:t>
      </w:r>
    </w:p>
    <w:p>
      <w:pPr>
        <w:pStyle w:val="ListParagraph"/>
        <w:numPr>
          <w:ilvl w:val="0"/>
          <w:numId w:val="2"/>
        </w:numPr>
        <w:spacing w:after="80"/>
      </w:pPr>
      <w:r>
        <w:rPr>
          <w:rFonts w:ascii="Arial" w:cs="Arial" w:eastAsia="Arial" w:hAnsi="Arial"/>
          <w:sz w:val="22"/>
          <w:szCs w:val="22"/>
        </w:rPr>
        <w:t xml:space="preserve">SFTP link</w:t>
      </w:r>
    </w:p>
    <w:p>
      <w:pPr>
        <w:pStyle w:val="ListParagraph"/>
        <w:numPr>
          <w:ilvl w:val="0"/>
          <w:numId w:val="2"/>
        </w:numPr>
        <w:spacing w:after="80"/>
      </w:pPr>
      <w:r>
        <w:rPr>
          <w:rFonts w:ascii="Arial" w:cs="Arial" w:eastAsia="Arial" w:hAnsi="Arial"/>
          <w:sz w:val="22"/>
          <w:szCs w:val="22"/>
        </w:rPr>
        <w:t xml:space="preserve">Encrypted removable media (subject to compliance with applicable MCR and/or {counterparty.shortName} or School policies)</w:t>
      </w:r>
    </w:p>
    <w:p>
      <w:pPr>
        <w:pStyle w:val="ListParagraph"/>
        <w:numPr>
          <w:ilvl w:val="0"/>
          <w:numId w:val="2"/>
        </w:numPr>
        <w:spacing w:after="80"/>
      </w:pPr>
      <w:r>
        <w:rPr>
          <w:rFonts w:ascii="Arial" w:cs="Arial" w:eastAsia="Arial" w:hAnsi="Arial"/>
          <w:sz w:val="22"/>
          <w:szCs w:val="22"/>
        </w:rPr>
        <w:t xml:space="preserve">Paper form (subject to compliance with applicable MCR and/or {counterparty.shortName} or School policies)</w:t>
      </w:r>
    </w:p>
    <w:p>
      <w:pPr>
        <w:spacing w:after="120"/>
      </w:pPr>
      <w:r>
        <w:rPr>
          <w:rFonts w:ascii="Arial" w:cs="Arial" w:eastAsia="Arial" w:hAnsi="Arial"/>
          <w:b w:val="false"/>
          <w:bCs w:val="false"/>
          <w:i w:val="false"/>
          <w:iCs w:val="false"/>
          <w:sz w:val="22"/>
          <w:szCs w:val="22"/>
        </w:rPr>
        <w:t xml:space="preserve">Where documents containing Data cannot be forwarded to the Data Controller on the same day the information was obtained, the documents must be stored securely in accordance with the Data Controller’s instructions and in accordance with applicable policies to ensure the security of data contained therein.</w:t>
      </w:r>
    </w:p>
    <w:p>
      <w:pPr>
        <w:pStyle w:val="Heading1"/>
        <w:spacing w:after="180" w:before="320"/>
      </w:pPr>
      <w:r>
        <w:rPr>
          <w:rFonts w:ascii="Arial" w:cs="Arial" w:eastAsia="Arial" w:hAnsi="Arial"/>
          <w:b/>
          <w:bCs/>
          <w:sz w:val="28"/>
          <w:szCs w:val="28"/>
        </w:rPr>
        <w:t xml:space="preserve">Schedule Part 4 – Representatives</w:t>
      </w:r>
    </w:p>
    <w:p>
      <w:pPr>
        <w:pStyle w:val="Heading2"/>
        <w:spacing w:after="120" w:before="240"/>
      </w:pPr>
      <w:r>
        <w:rPr>
          <w:rFonts w:ascii="Arial" w:cs="Arial" w:eastAsia="Arial" w:hAnsi="Arial"/>
          <w:b/>
          <w:bCs/>
          <w:sz w:val="24"/>
          <w:szCs w:val="24"/>
        </w:rPr>
        <w:t xml:space="preserve">Representatives and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{counterparty.repJobTitle}</w:t>
      </w:r>
    </w:p>
    <w:p>
      <w:pPr>
        <w:spacing w:after="120"/>
      </w:pPr>
      <w:r>
        <w:rPr>
          <w:rFonts w:ascii="Arial" w:cs="Arial" w:eastAsia="Arial" w:hAnsi="Arial"/>
          <w:b w:val="false"/>
          <w:bCs w:val="false"/>
          <w:i w:val="false"/>
          <w:iCs w:val="false"/>
          <w:sz w:val="22"/>
          <w:szCs w:val="22"/>
        </w:rPr>
        <w:t xml:space="preserve">Address: {counterparty.repAddress}</w:t>
      </w:r>
    </w:p>
    <w:p>
      <w:pPr>
        <w:spacing w:after="120"/>
      </w:pPr>
      <w:r>
        <w:rPr>
          <w:rFonts w:ascii="Arial" w:cs="Arial" w:eastAsia="Arial" w:hAnsi="Arial"/>
          <w:b w:val="false"/>
          <w:bCs w:val="false"/>
          <w:i w:val="false"/>
          <w:iCs w:val="false"/>
          <w:sz w:val="22"/>
          <w:szCs w:val="22"/>
        </w:rPr>
        <w:t xml:space="preserve">Email: {counterparty.repEmail}</w:t>
      </w:r>
    </w:p>
    <w:p>
      <w:pPr>
        <w:spacing w:after="120"/>
      </w:pPr>
      <w:r>
        <w:rPr>
          <w:rFonts w:ascii="Arial" w:cs="Arial" w:eastAsia="Arial" w:hAnsi="Arial"/>
          <w:b w:val="false"/>
          <w:bCs w:val="false"/>
          <w:i w:val="false"/>
          <w:iCs w:val="false"/>
          <w:sz w:val="22"/>
          <w:szCs w:val="22"/>
        </w:rPr>
        <w:t xml:space="preserve">Phone: {counterparty.repPhone}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{mcr.repJobTitle}</w:t>
      </w:r>
    </w:p>
    <w:p>
      <w:pPr>
        <w:spacing w:after="120"/>
      </w:pPr>
      <w:r>
        <w:rPr>
          <w:rFonts w:ascii="Arial" w:cs="Arial" w:eastAsia="Arial" w:hAnsi="Arial"/>
          <w:b w:val="false"/>
          <w:bCs w:val="false"/>
          <w:i w:val="false"/>
          <w:iCs w:val="false"/>
          <w:sz w:val="22"/>
          <w:szCs w:val="22"/>
        </w:rPr>
        <w:t xml:space="preserve">Address: {mcr.repAddress}</w:t>
      </w:r>
    </w:p>
    <w:p>
      <w:pPr>
        <w:spacing w:after="120"/>
      </w:pPr>
      <w:r>
        <w:rPr>
          <w:rFonts w:ascii="Arial" w:cs="Arial" w:eastAsia="Arial" w:hAnsi="Arial"/>
          <w:b w:val="false"/>
          <w:bCs w:val="false"/>
          <w:i w:val="false"/>
          <w:iCs w:val="false"/>
          <w:sz w:val="22"/>
          <w:szCs w:val="22"/>
        </w:rPr>
        <w:t xml:space="preserve">Email: {mcr.repEmail}</w:t>
      </w:r>
    </w:p>
    <w:p>
      <w:pPr>
        <w:spacing w:after="120"/>
      </w:pPr>
      <w:r>
        <w:rPr>
          <w:rFonts w:ascii="Arial" w:cs="Arial" w:eastAsia="Arial" w:hAnsi="Arial"/>
          <w:b w:val="false"/>
          <w:bCs w:val="false"/>
          <w:i w:val="false"/>
          <w:iCs w:val="false"/>
          <w:sz w:val="22"/>
          <w:szCs w:val="22"/>
        </w:rPr>
        <w:t xml:space="preserve">Phone: {mcr.repPhone}</w:t>
      </w:r>
    </w:p>
    <w:p>
      <w:pPr>
        <w:pStyle w:val="Heading2"/>
        <w:spacing w:after="120" w:before="240"/>
      </w:pPr>
      <w:r>
        <w:rPr>
          <w:rFonts w:ascii="Arial" w:cs="Arial" w:eastAsia="Arial" w:hAnsi="Arial"/>
          <w:b/>
          <w:bCs/>
          <w:sz w:val="24"/>
          <w:szCs w:val="24"/>
        </w:rPr>
        <w:t xml:space="preserve">Escalation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{counterparty.escalationJobTitle}</w:t>
      </w:r>
    </w:p>
    <w:p>
      <w:pPr>
        <w:spacing w:after="120"/>
      </w:pPr>
      <w:r>
        <w:rPr>
          <w:rFonts w:ascii="Arial" w:cs="Arial" w:eastAsia="Arial" w:hAnsi="Arial"/>
          <w:b w:val="false"/>
          <w:bCs w:val="false"/>
          <w:i w:val="false"/>
          <w:iCs w:val="false"/>
          <w:sz w:val="22"/>
          <w:szCs w:val="22"/>
        </w:rPr>
        <w:t xml:space="preserve">Address: {counterparty.escalationAddress}</w:t>
      </w:r>
    </w:p>
    <w:p>
      <w:pPr>
        <w:spacing w:after="120"/>
      </w:pPr>
      <w:r>
        <w:rPr>
          <w:rFonts w:ascii="Arial" w:cs="Arial" w:eastAsia="Arial" w:hAnsi="Arial"/>
          <w:b w:val="false"/>
          <w:bCs w:val="false"/>
          <w:i w:val="false"/>
          <w:iCs w:val="false"/>
          <w:sz w:val="22"/>
          <w:szCs w:val="22"/>
        </w:rPr>
        <w:t xml:space="preserve">Email: {counterparty.escalationEmail}</w:t>
      </w:r>
    </w:p>
    <w:p>
      <w:pPr>
        <w:spacing w:after="120"/>
      </w:pPr>
      <w:r>
        <w:rPr>
          <w:rFonts w:ascii="Arial" w:cs="Arial" w:eastAsia="Arial" w:hAnsi="Arial"/>
          <w:b w:val="false"/>
          <w:bCs w:val="false"/>
          <w:i w:val="false"/>
          <w:iCs w:val="false"/>
          <w:sz w:val="22"/>
          <w:szCs w:val="22"/>
        </w:rPr>
        <w:t xml:space="preserve">Phone: {counterparty.escalationPhone}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{mcr.escalationJobTitle}</w:t>
      </w:r>
    </w:p>
    <w:p>
      <w:pPr>
        <w:spacing w:after="120"/>
      </w:pPr>
      <w:r>
        <w:rPr>
          <w:rFonts w:ascii="Arial" w:cs="Arial" w:eastAsia="Arial" w:hAnsi="Arial"/>
          <w:b w:val="false"/>
          <w:bCs w:val="false"/>
          <w:i w:val="false"/>
          <w:iCs w:val="false"/>
          <w:sz w:val="22"/>
          <w:szCs w:val="22"/>
        </w:rPr>
        <w:t xml:space="preserve">Address: {mcr.escalationAddress}</w:t>
      </w:r>
    </w:p>
    <w:p>
      <w:pPr>
        <w:spacing w:after="120"/>
      </w:pPr>
      <w:r>
        <w:rPr>
          <w:rFonts w:ascii="Arial" w:cs="Arial" w:eastAsia="Arial" w:hAnsi="Arial"/>
          <w:b w:val="false"/>
          <w:bCs w:val="false"/>
          <w:i w:val="false"/>
          <w:iCs w:val="false"/>
          <w:sz w:val="22"/>
          <w:szCs w:val="22"/>
        </w:rPr>
        <w:t xml:space="preserve">Email: {mcr.escalationEmail}</w:t>
      </w:r>
    </w:p>
    <w:p>
      <w:pPr>
        <w:spacing w:after="120"/>
      </w:pPr>
      <w:r>
        <w:rPr>
          <w:rFonts w:ascii="Arial" w:cs="Arial" w:eastAsia="Arial" w:hAnsi="Arial"/>
          <w:b w:val="false"/>
          <w:bCs w:val="false"/>
          <w:i w:val="false"/>
          <w:iCs w:val="false"/>
          <w:sz w:val="22"/>
          <w:szCs w:val="22"/>
        </w:rPr>
        <w:t xml:space="preserve">Phone: {mcr.escalationPhone}</w:t>
      </w:r>
    </w:p>
    <w:p>
      <w:pPr>
        <w:pStyle w:val="Heading1"/>
        <w:spacing w:after="180" w:before="320"/>
      </w:pPr>
      <w:r>
        <w:rPr>
          <w:rFonts w:ascii="Arial" w:cs="Arial" w:eastAsia="Arial" w:hAnsi="Arial"/>
          <w:b/>
          <w:bCs/>
          <w:sz w:val="28"/>
          <w:szCs w:val="28"/>
        </w:rPr>
        <w:t xml:space="preserve">Schedule Part 5 – Security Measures</w:t>
      </w:r>
    </w:p>
    <w:p>
      <w:pPr>
        <w:spacing w:after="120"/>
      </w:pPr>
      <w:r>
        <w:rPr>
          <w:rFonts w:ascii="Arial" w:cs="Arial" w:eastAsia="Arial" w:hAnsi="Arial"/>
          <w:b w:val="false"/>
          <w:bCs w:val="false"/>
          <w:i w:val="false"/>
          <w:iCs w:val="false"/>
          <w:sz w:val="22"/>
          <w:szCs w:val="22"/>
        </w:rPr>
        <w:t xml:space="preserve">The Parties shall each implement:</w:t>
      </w:r>
    </w:p>
    <w:p>
      <w:pPr>
        <w:pStyle w:val="ListParagraph"/>
        <w:numPr>
          <w:ilvl w:val="0"/>
          <w:numId w:val="2"/>
        </w:numPr>
        <w:spacing w:after="80"/>
      </w:pPr>
      <w:r>
        <w:rPr>
          <w:rFonts w:ascii="Arial" w:cs="Arial" w:eastAsia="Arial" w:hAnsi="Arial"/>
          <w:sz w:val="22"/>
          <w:szCs w:val="22"/>
        </w:rPr>
        <w:t xml:space="preserve">an organisational information security policy aligned to ISO 27001 or other similar standards;</w:t>
      </w:r>
    </w:p>
    <w:p>
      <w:pPr>
        <w:pStyle w:val="ListParagraph"/>
        <w:numPr>
          <w:ilvl w:val="0"/>
          <w:numId w:val="2"/>
        </w:numPr>
        <w:spacing w:after="80"/>
      </w:pPr>
      <w:r>
        <w:rPr>
          <w:rFonts w:ascii="Arial" w:cs="Arial" w:eastAsia="Arial" w:hAnsi="Arial"/>
          <w:sz w:val="22"/>
          <w:szCs w:val="22"/>
        </w:rPr>
        <w:t xml:space="preserve">procedures to protect organisational assets, including information, hardware and software;</w:t>
      </w:r>
    </w:p>
    <w:p>
      <w:pPr>
        <w:pStyle w:val="ListParagraph"/>
        <w:numPr>
          <w:ilvl w:val="0"/>
          <w:numId w:val="2"/>
        </w:numPr>
        <w:spacing w:after="80"/>
      </w:pPr>
      <w:r>
        <w:rPr>
          <w:rFonts w:ascii="Arial" w:cs="Arial" w:eastAsia="Arial" w:hAnsi="Arial"/>
          <w:sz w:val="22"/>
          <w:szCs w:val="22"/>
        </w:rPr>
        <w:t xml:space="preserve">procedures to identify whether or not any asset has been lost or compromised;</w:t>
      </w:r>
    </w:p>
    <w:p>
      <w:pPr>
        <w:pStyle w:val="ListParagraph"/>
        <w:numPr>
          <w:ilvl w:val="0"/>
          <w:numId w:val="2"/>
        </w:numPr>
        <w:spacing w:after="80"/>
      </w:pPr>
      <w:r>
        <w:rPr>
          <w:rFonts w:ascii="Arial" w:cs="Arial" w:eastAsia="Arial" w:hAnsi="Arial"/>
          <w:sz w:val="22"/>
          <w:szCs w:val="22"/>
        </w:rPr>
        <w:t xml:space="preserve">controls to ensure the return or destruction of information and assets at the end of, or at an agreed point within, the contractual relationship;</w:t>
      </w:r>
    </w:p>
    <w:p>
      <w:pPr>
        <w:pStyle w:val="ListParagraph"/>
        <w:numPr>
          <w:ilvl w:val="0"/>
          <w:numId w:val="2"/>
        </w:numPr>
        <w:spacing w:after="80"/>
      </w:pPr>
      <w:r>
        <w:rPr>
          <w:rFonts w:ascii="Arial" w:cs="Arial" w:eastAsia="Arial" w:hAnsi="Arial"/>
          <w:sz w:val="22"/>
          <w:szCs w:val="22"/>
        </w:rPr>
        <w:t xml:space="preserve">procedures to ensure integrity and availability of information;</w:t>
      </w:r>
    </w:p>
    <w:p>
      <w:pPr>
        <w:pStyle w:val="ListParagraph"/>
        <w:numPr>
          <w:ilvl w:val="0"/>
          <w:numId w:val="2"/>
        </w:numPr>
        <w:spacing w:after="80"/>
      </w:pPr>
      <w:r>
        <w:rPr>
          <w:rFonts w:ascii="Arial" w:cs="Arial" w:eastAsia="Arial" w:hAnsi="Arial"/>
          <w:sz w:val="22"/>
          <w:szCs w:val="22"/>
        </w:rPr>
        <w:t xml:space="preserve">restrictions on copying or disclosing information;</w:t>
      </w:r>
    </w:p>
    <w:p>
      <w:pPr>
        <w:pStyle w:val="ListParagraph"/>
        <w:numPr>
          <w:ilvl w:val="0"/>
          <w:numId w:val="2"/>
        </w:numPr>
        <w:spacing w:after="80"/>
      </w:pPr>
      <w:r>
        <w:rPr>
          <w:rFonts w:ascii="Arial" w:cs="Arial" w:eastAsia="Arial" w:hAnsi="Arial"/>
          <w:sz w:val="22"/>
          <w:szCs w:val="22"/>
        </w:rPr>
        <w:t xml:space="preserve">policy and procedures for the control of documents and protective marking; and</w:t>
      </w:r>
    </w:p>
    <w:p>
      <w:pPr>
        <w:pStyle w:val="ListParagraph"/>
        <w:numPr>
          <w:ilvl w:val="0"/>
          <w:numId w:val="2"/>
        </w:numPr>
        <w:spacing w:after="80"/>
      </w:pPr>
      <w:r>
        <w:rPr>
          <w:rFonts w:ascii="Arial" w:cs="Arial" w:eastAsia="Arial" w:hAnsi="Arial"/>
          <w:sz w:val="22"/>
          <w:szCs w:val="22"/>
        </w:rPr>
        <w:t xml:space="preserve">measures to ensure compliance with the PSN code of connection where the party is a PSN user.</w:t>
      </w:r>
    </w:p>
    <w:p>
      <w:pPr>
        <w:pStyle w:val="Heading2"/>
        <w:spacing w:after="120" w:before="240"/>
      </w:pPr>
      <w:r>
        <w:rPr>
          <w:rFonts w:ascii="Arial" w:cs="Arial" w:eastAsia="Arial" w:hAnsi="Arial"/>
          <w:b/>
          <w:bCs/>
          <w:sz w:val="24"/>
          <w:szCs w:val="24"/>
        </w:rPr>
        <w:t xml:space="preserve">2. Physical Security</w:t>
      </w:r>
    </w:p>
    <w:p>
      <w:pPr>
        <w:spacing w:after="120"/>
      </w:pPr>
      <w:r>
        <w:rPr>
          <w:rFonts w:ascii="Arial" w:cs="Arial" w:eastAsia="Arial" w:hAnsi="Arial"/>
          <w:b w:val="false"/>
          <w:bCs w:val="false"/>
          <w:i w:val="false"/>
          <w:iCs w:val="false"/>
          <w:sz w:val="22"/>
          <w:szCs w:val="22"/>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p>
    <w:p>
      <w:pPr>
        <w:spacing w:after="120"/>
      </w:pPr>
      <w:r>
        <w:rPr>
          <w:rFonts w:ascii="Arial" w:cs="Arial" w:eastAsia="Arial" w:hAnsi="Arial"/>
          <w:b w:val="false"/>
          <w:bCs w:val="false"/>
          <w:i w:val="false"/>
          <w:iCs w:val="false"/>
          <w:sz w:val="22"/>
          <w:szCs w:val="22"/>
        </w:rPr>
        <w:t xml:space="preserve">2.2 The unauthorised use of IT systems is prevented by:</w:t>
      </w:r>
    </w:p>
    <w:p>
      <w:pPr>
        <w:pStyle w:val="ListParagraph"/>
        <w:numPr>
          <w:ilvl w:val="0"/>
          <w:numId w:val="2"/>
        </w:numPr>
        <w:spacing w:after="80"/>
      </w:pPr>
      <w:r>
        <w:rPr>
          <w:rFonts w:ascii="Arial" w:cs="Arial" w:eastAsia="Arial" w:hAnsi="Arial"/>
          <w:sz w:val="22"/>
          <w:szCs w:val="22"/>
        </w:rPr>
        <w:t xml:space="preserve">User ID</w:t>
      </w:r>
    </w:p>
    <w:p>
      <w:pPr>
        <w:pStyle w:val="ListParagraph"/>
        <w:numPr>
          <w:ilvl w:val="0"/>
          <w:numId w:val="2"/>
        </w:numPr>
        <w:spacing w:after="80"/>
      </w:pPr>
      <w:r>
        <w:rPr>
          <w:rFonts w:ascii="Arial" w:cs="Arial" w:eastAsia="Arial" w:hAnsi="Arial"/>
          <w:sz w:val="22"/>
          <w:szCs w:val="22"/>
        </w:rPr>
        <w:t xml:space="preserve">Password assignment</w:t>
      </w:r>
    </w:p>
    <w:p>
      <w:pPr>
        <w:pStyle w:val="ListParagraph"/>
        <w:numPr>
          <w:ilvl w:val="0"/>
          <w:numId w:val="2"/>
        </w:numPr>
        <w:spacing w:after="80"/>
      </w:pPr>
      <w:r>
        <w:rPr>
          <w:rFonts w:ascii="Arial" w:cs="Arial" w:eastAsia="Arial" w:hAnsi="Arial"/>
          <w:sz w:val="22"/>
          <w:szCs w:val="22"/>
        </w:rPr>
        <w:t xml:space="preserve">Lock screen with password activation</w:t>
      </w:r>
    </w:p>
    <w:p>
      <w:pPr>
        <w:pStyle w:val="ListParagraph"/>
        <w:numPr>
          <w:ilvl w:val="0"/>
          <w:numId w:val="2"/>
        </w:numPr>
        <w:spacing w:after="80"/>
      </w:pPr>
      <w:r>
        <w:rPr>
          <w:rFonts w:ascii="Arial" w:cs="Arial" w:eastAsia="Arial" w:hAnsi="Arial"/>
          <w:sz w:val="22"/>
          <w:szCs w:val="22"/>
        </w:rPr>
        <w:t xml:space="preserve">Each authorised user has a private password known only to him.</w:t>
      </w:r>
    </w:p>
    <w:p>
      <w:pPr>
        <w:pStyle w:val="ListParagraph"/>
        <w:numPr>
          <w:ilvl w:val="0"/>
          <w:numId w:val="2"/>
        </w:numPr>
        <w:spacing w:after="80"/>
      </w:pPr>
      <w:r>
        <w:rPr>
          <w:rFonts w:ascii="Arial" w:cs="Arial" w:eastAsia="Arial" w:hAnsi="Arial"/>
          <w:sz w:val="22"/>
          <w:szCs w:val="22"/>
        </w:rPr>
        <w:t xml:space="preserve">All activities on the Data Processing systems automatically generate log-files.</w:t>
      </w:r>
    </w:p>
    <w:p>
      <w:pPr>
        <w:pStyle w:val="Heading2"/>
        <w:spacing w:after="120" w:before="240"/>
      </w:pPr>
      <w:r>
        <w:rPr>
          <w:rFonts w:ascii="Arial" w:cs="Arial" w:eastAsia="Arial" w:hAnsi="Arial"/>
          <w:b/>
          <w:bCs/>
          <w:sz w:val="24"/>
          <w:szCs w:val="24"/>
        </w:rPr>
        <w:t xml:space="preserve">3. Disposal of Assets</w:t>
      </w:r>
    </w:p>
    <w:p>
      <w:pPr>
        <w:spacing w:after="120"/>
      </w:pPr>
      <w:r>
        <w:rPr>
          <w:rFonts w:ascii="Arial" w:cs="Arial" w:eastAsia="Arial" w:hAnsi="Arial"/>
          <w:b w:val="false"/>
          <w:bCs w:val="false"/>
          <w:i w:val="false"/>
          <w:iCs w:val="false"/>
          <w:sz w:val="22"/>
          <w:szCs w:val="22"/>
        </w:rPr>
        <w:t xml:space="preserve">Where information supplied by a Party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p>
    <w:p>
      <w:pPr>
        <w:pStyle w:val="Heading2"/>
        <w:spacing w:after="120" w:before="240"/>
      </w:pPr>
      <w:r>
        <w:rPr>
          <w:rFonts w:ascii="Arial" w:cs="Arial" w:eastAsia="Arial" w:hAnsi="Arial"/>
          <w:b/>
          <w:bCs/>
          <w:sz w:val="24"/>
          <w:szCs w:val="24"/>
        </w:rPr>
        <w:t xml:space="preserve">4. Malicious software and viruses</w:t>
      </w:r>
    </w:p>
    <w:p>
      <w:pPr>
        <w:spacing w:after="120"/>
      </w:pPr>
      <w:r>
        <w:rPr>
          <w:rFonts w:ascii="Arial" w:cs="Arial" w:eastAsia="Arial" w:hAnsi="Arial"/>
          <w:b w:val="false"/>
          <w:bCs w:val="false"/>
          <w:i w:val="false"/>
          <w:iCs w:val="false"/>
          <w:sz w:val="22"/>
          <w:szCs w:val="22"/>
        </w:rPr>
        <w:t xml:space="preserve">4.1 Each Party must ensure that:</w:t>
      </w:r>
    </w:p>
    <w:p>
      <w:pPr>
        <w:pStyle w:val="ListParagraph"/>
        <w:numPr>
          <w:ilvl w:val="0"/>
          <w:numId w:val="2"/>
        </w:numPr>
        <w:spacing w:after="80"/>
      </w:pPr>
      <w:r>
        <w:rPr>
          <w:rFonts w:ascii="Arial" w:cs="Arial" w:eastAsia="Arial" w:hAnsi="Arial"/>
          <w:sz w:val="22"/>
          <w:szCs w:val="22"/>
        </w:rPr>
        <w:t xml:space="preserve">PCs used in supporting the service are supplied with anti-virus software and anti-virus and security updates are promptly applied.</w:t>
      </w:r>
    </w:p>
    <w:p>
      <w:pPr>
        <w:pStyle w:val="ListParagraph"/>
        <w:numPr>
          <w:ilvl w:val="0"/>
          <w:numId w:val="2"/>
        </w:numPr>
        <w:spacing w:after="80"/>
      </w:pPr>
      <w:r>
        <w:rPr>
          <w:rFonts w:ascii="Arial" w:cs="Arial" w:eastAsia="Arial" w:hAnsi="Arial"/>
          <w:sz w:val="22"/>
          <w:szCs w:val="22"/>
        </w:rPr>
        <w:t xml:space="preserve">All files received by one Party from the other are scanned to ensure that no viruses are passed.</w:t>
      </w:r>
    </w:p>
    <w:p>
      <w:pPr>
        <w:pStyle w:val="ListParagraph"/>
        <w:numPr>
          <w:ilvl w:val="0"/>
          <w:numId w:val="2"/>
        </w:numPr>
        <w:spacing w:after="80"/>
      </w:pPr>
      <w:r>
        <w:rPr>
          <w:rFonts w:ascii="Arial" w:cs="Arial" w:eastAsia="Arial" w:hAnsi="Arial"/>
          <w:sz w:val="22"/>
          <w:szCs w:val="22"/>
        </w:rPr>
        <w:t xml:space="preserve">The Parties must notify each other of any virus infections that could affect their systems on Data transfer.</w:t>
      </w:r>
    </w:p>
    <w:p>
      <w:pPr>
        <w:pStyle w:val="Heading2"/>
        <w:spacing w:after="120" w:before="240"/>
      </w:pPr>
      <w:r>
        <w:rPr>
          <w:rFonts w:ascii="Arial" w:cs="Arial" w:eastAsia="Arial" w:hAnsi="Arial"/>
          <w:b/>
          <w:bCs/>
          <w:sz w:val="24"/>
          <w:szCs w:val="24"/>
        </w:rPr>
        <w:t xml:space="preserve">5. Reporting security incidents</w:t>
      </w:r>
    </w:p>
    <w:p>
      <w:pPr>
        <w:spacing w:after="120"/>
      </w:pPr>
      <w:r>
        <w:rPr>
          <w:rFonts w:ascii="Arial" w:cs="Arial" w:eastAsia="Arial" w:hAnsi="Arial"/>
          <w:b w:val="false"/>
          <w:bCs w:val="false"/>
          <w:i w:val="false"/>
          <w:iCs w:val="false"/>
          <w:sz w:val="22"/>
          <w:szCs w:val="22"/>
        </w:rPr>
        <w:t xml:space="preserve">A formal process shall be put in place to ensure that all security incidents are promptly reported to {counterparty.shortName} and relevant staff employed by the Parties shall be made aware of this process.</w:t>
      </w:r>
    </w:p>
    <w:p>
      <w:pPr>
        <w:pStyle w:val="Heading2"/>
        <w:spacing w:after="120" w:before="240"/>
      </w:pPr>
      <w:r>
        <w:rPr>
          <w:rFonts w:ascii="Arial" w:cs="Arial" w:eastAsia="Arial" w:hAnsi="Arial"/>
          <w:b/>
          <w:bCs/>
          <w:sz w:val="24"/>
          <w:szCs w:val="24"/>
        </w:rPr>
        <w:t xml:space="preserve">6. Data Security Standards</w:t>
      </w:r>
    </w:p>
    <w:p>
      <w:pPr>
        <w:pStyle w:val="Heading2"/>
        <w:spacing w:after="120" w:before="240"/>
      </w:pPr>
      <w:r>
        <w:rPr>
          <w:rFonts w:ascii="Arial" w:cs="Arial" w:eastAsia="Arial" w:hAnsi="Arial"/>
          <w:b/>
          <w:bCs/>
          <w:sz w:val="24"/>
          <w:szCs w:val="24"/>
        </w:rPr>
        <w:t xml:space="preserve">6.1 Legal responsibilities — Data Protection Law</w:t>
      </w:r>
    </w:p>
    <w:p>
      <w:pPr>
        <w:spacing w:after="120"/>
      </w:pPr>
      <w:r>
        <w:rPr>
          <w:rFonts w:ascii="Arial" w:cs="Arial" w:eastAsia="Arial" w:hAnsi="Arial"/>
          <w:b w:val="false"/>
          <w:bCs w:val="false"/>
          <w:i w:val="false"/>
          <w:iCs w:val="false"/>
          <w:sz w:val="22"/>
          <w:szCs w:val="22"/>
        </w:rPr>
        <w:t xml:space="preserve">The Parties must observe the requirements of Data Protection Law while handling any Data during the term of this Agreement. In particular, Data must be protected by an approved encryption method when removed from the Parties’ IT systems.</w:t>
      </w:r>
    </w:p>
    <w:p>
      <w:pPr>
        <w:spacing w:after="120"/>
      </w:pPr>
      <w:r>
        <w:rPr>
          <w:rFonts w:ascii="Arial" w:cs="Arial" w:eastAsia="Arial" w:hAnsi="Arial"/>
          <w:b w:val="false"/>
          <w:bCs w:val="false"/>
          <w:i w:val="false"/>
          <w:iCs w:val="false"/>
          <w:sz w:val="22"/>
          <w:szCs w:val="22"/>
        </w:rPr>
        <w:t xml:space="preserve">No Data shall be transferred outside the European Economic Area.</w:t>
      </w:r>
    </w:p>
    <w:p>
      <w:pPr>
        <w:pStyle w:val="Heading2"/>
        <w:spacing w:after="120" w:before="240"/>
      </w:pPr>
      <w:r>
        <w:rPr>
          <w:rFonts w:ascii="Arial" w:cs="Arial" w:eastAsia="Arial" w:hAnsi="Arial"/>
          <w:b/>
          <w:bCs/>
          <w:sz w:val="24"/>
          <w:szCs w:val="24"/>
        </w:rPr>
        <w:t xml:space="preserve">6.2 Access control</w:t>
      </w:r>
    </w:p>
    <w:p>
      <w:pPr>
        <w:spacing w:after="120"/>
      </w:pPr>
      <w:r>
        <w:rPr>
          <w:rFonts w:ascii="Arial" w:cs="Arial" w:eastAsia="Arial" w:hAnsi="Arial"/>
          <w:b w:val="false"/>
          <w:bCs w:val="false"/>
          <w:i w:val="false"/>
          <w:iCs w:val="false"/>
          <w:sz w:val="22"/>
          <w:szCs w:val="22"/>
        </w:rPr>
        <w:t xml:space="preserve">Where access is provided to either Party’s systems holding data for the purposes of the provision of the Service by MCR:</w:t>
      </w:r>
    </w:p>
    <w:p>
      <w:pPr>
        <w:pStyle w:val="ListParagraph"/>
        <w:numPr>
          <w:ilvl w:val="0"/>
          <w:numId w:val="2"/>
        </w:numPr>
        <w:spacing w:after="80"/>
      </w:pPr>
      <w:r>
        <w:rPr>
          <w:rFonts w:ascii="Arial" w:cs="Arial" w:eastAsia="Arial" w:hAnsi="Arial"/>
          <w:sz w:val="22"/>
          <w:szCs w:val="22"/>
        </w:rPr>
        <w:t xml:space="preserve">Written formal authorisation must be obtained through the Party’s routine authorisation process</w:t>
      </w:r>
    </w:p>
    <w:p>
      <w:pPr>
        <w:pStyle w:val="ListParagraph"/>
        <w:numPr>
          <w:ilvl w:val="0"/>
          <w:numId w:val="2"/>
        </w:numPr>
        <w:spacing w:after="80"/>
      </w:pPr>
      <w:r>
        <w:rPr>
          <w:rFonts w:ascii="Arial" w:cs="Arial" w:eastAsia="Arial" w:hAnsi="Arial"/>
          <w:sz w:val="22"/>
          <w:szCs w:val="22"/>
        </w:rPr>
        <w:t xml:space="preserve">Access will be through allocated user accounts to ensure activity can be traced to the user</w:t>
      </w:r>
    </w:p>
    <w:p>
      <w:pPr>
        <w:pStyle w:val="ListParagraph"/>
        <w:numPr>
          <w:ilvl w:val="0"/>
          <w:numId w:val="2"/>
        </w:numPr>
        <w:spacing w:after="80"/>
      </w:pPr>
      <w:r>
        <w:rPr>
          <w:rFonts w:ascii="Arial" w:cs="Arial" w:eastAsia="Arial" w:hAnsi="Arial"/>
          <w:sz w:val="22"/>
          <w:szCs w:val="22"/>
        </w:rPr>
        <w:t xml:space="preserve">Authorised access methods complying with the Party’s Information Security Policy, ICT Strategy and supporting standards will be used</w:t>
      </w:r>
    </w:p>
    <w:p>
      <w:pPr>
        <w:pStyle w:val="ListParagraph"/>
        <w:numPr>
          <w:ilvl w:val="0"/>
          <w:numId w:val="2"/>
        </w:numPr>
        <w:spacing w:after="80"/>
      </w:pPr>
      <w:r>
        <w:rPr>
          <w:rFonts w:ascii="Arial" w:cs="Arial" w:eastAsia="Arial" w:hAnsi="Arial"/>
          <w:sz w:val="22"/>
          <w:szCs w:val="22"/>
        </w:rPr>
        <w:t xml:space="preserve">The Party’s staff who are given access must be made aware that they must observe the Party’s Acceptable Use Policy and Security Guidelines when using the Party’s systems</w:t>
      </w:r>
    </w:p>
    <w:p>
      <w:pPr>
        <w:pStyle w:val="ListParagraph"/>
        <w:numPr>
          <w:ilvl w:val="0"/>
          <w:numId w:val="2"/>
        </w:numPr>
        <w:spacing w:after="80"/>
      </w:pPr>
      <w:r>
        <w:rPr>
          <w:rFonts w:ascii="Arial" w:cs="Arial" w:eastAsia="Arial" w:hAnsi="Arial"/>
          <w:sz w:val="22"/>
          <w:szCs w:val="22"/>
        </w:rPr>
        <w:t xml:space="preserve">Each Party must inform the other Party when access rights are no longer required, for example, when a member of staff leaves or moves to other duties.</w:t>
      </w:r>
    </w:p>
    <w:p>
      <w:pPr>
        <w:pStyle w:val="ListParagraph"/>
        <w:numPr>
          <w:ilvl w:val="0"/>
          <w:numId w:val="2"/>
        </w:numPr>
        <w:spacing w:after="80"/>
      </w:pPr>
      <w:r>
        <w:rPr>
          <w:rFonts w:ascii="Arial" w:cs="Arial" w:eastAsia="Arial" w:hAnsi="Arial"/>
          <w:sz w:val="22"/>
          <w:szCs w:val="22"/>
        </w:rPr>
        <w:t xml:space="preserve">The Parties must maintain an up-to-date list of which personnel have been given what level of authorisations.</w:t>
      </w:r>
    </w:p>
    <w:p>
      <w:pPr>
        <w:pStyle w:val="Heading2"/>
        <w:spacing w:after="120" w:before="240"/>
      </w:pPr>
      <w:r>
        <w:rPr>
          <w:rFonts w:ascii="Arial" w:cs="Arial" w:eastAsia="Arial" w:hAnsi="Arial"/>
          <w:b/>
          <w:bCs/>
          <w:sz w:val="24"/>
          <w:szCs w:val="24"/>
        </w:rPr>
        <w:t xml:space="preserve">6.3 Monitoring of Activity</w:t>
      </w:r>
    </w:p>
    <w:p>
      <w:pPr>
        <w:spacing w:after="120"/>
      </w:pPr>
      <w:r>
        <w:rPr>
          <w:rFonts w:ascii="Arial" w:cs="Arial" w:eastAsia="Arial" w:hAnsi="Arial"/>
          <w:b w:val="false"/>
          <w:bCs w:val="false"/>
          <w:i w:val="false"/>
          <w:iCs w:val="false"/>
          <w:sz w:val="22"/>
          <w:szCs w:val="22"/>
        </w:rPr>
        <w:t xml:space="preserve">Both Parties may monitor user activity and revoke user rights on its systems.</w:t>
      </w:r>
    </w:p>
    <w:p>
      <w:pPr>
        <w:pStyle w:val="Heading2"/>
        <w:spacing w:after="120" w:before="240"/>
      </w:pPr>
      <w:r>
        <w:rPr>
          <w:rFonts w:ascii="Arial" w:cs="Arial" w:eastAsia="Arial" w:hAnsi="Arial"/>
          <w:b/>
          <w:bCs/>
          <w:sz w:val="24"/>
          <w:szCs w:val="24"/>
        </w:rPr>
        <w:t xml:space="preserve">6.4 Change Management and Governance</w:t>
      </w:r>
    </w:p>
    <w:p>
      <w:pPr>
        <w:spacing w:after="120"/>
      </w:pPr>
      <w:r>
        <w:rPr>
          <w:rFonts w:ascii="Arial" w:cs="Arial" w:eastAsia="Arial" w:hAnsi="Arial"/>
          <w:b w:val="false"/>
          <w:bCs w:val="false"/>
          <w:i w:val="false"/>
          <w:iCs w:val="false"/>
          <w:sz w:val="22"/>
          <w:szCs w:val="22"/>
        </w:rPr>
        <w:t xml:space="preserve">Changes to the Party’s systems must be authorised through the Party’s change management process, to ensure that the Party is able to trace and audit changes to the original specification.</w:t>
      </w:r>
    </w:p>
    <w:p>
      <w:pPr>
        <w:pStyle w:val="Heading1"/>
        <w:spacing w:after="180" w:before="320"/>
      </w:pPr>
      <w:r>
        <w:rPr>
          <w:rFonts w:ascii="Arial" w:cs="Arial" w:eastAsia="Arial" w:hAnsi="Arial"/>
          <w:b/>
          <w:bCs/>
          <w:sz w:val="28"/>
          <w:szCs w:val="28"/>
        </w:rPr>
        <w:t xml:space="preserve">Schedule Part 6 – Data Processing Terms</w:t>
      </w:r>
    </w:p>
    <w:p>
      <w:pPr>
        <w:spacing w:after="120"/>
      </w:pPr>
      <w:r>
        <w:rPr>
          <w:rFonts w:ascii="Arial" w:cs="Arial" w:eastAsia="Arial" w:hAnsi="Arial"/>
          <w:b w:val="false"/>
          <w:bCs w:val="false"/>
          <w:i w:val="false"/>
          <w:iCs w:val="false"/>
          <w:sz w:val="22"/>
          <w:szCs w:val="22"/>
        </w:rPr>
        <w:t xml:space="preserve">Where {counterparty.shortName}, as Disclosing Party, is a Controller in respect of Data, and MCR, as Receiving Party, will be a Processor in respect of the same, the following provisions shall apply. The details of the relevant Data and the Processing that is to take place in respect of the same is as set out in the Data Processing Particulars below.</w:t>
      </w:r>
    </w:p>
    <w:p>
      <w:pPr>
        <w:pStyle w:val="ListParagraph"/>
        <w:numPr>
          <w:ilvl w:val="0"/>
          <w:numId w:val="3"/>
        </w:numPr>
        <w:spacing w:after="100"/>
      </w:pPr>
      <w:r>
        <w:rPr>
          <w:rFonts w:ascii="Arial" w:cs="Arial" w:eastAsia="Arial" w:hAnsi="Arial"/>
          <w:sz w:val="22"/>
          <w:szCs w:val="22"/>
        </w:rPr>
        <w:t xml:space="preserve">MCR shall:</w:t>
      </w:r>
    </w:p>
    <w:p>
      <w:pPr>
        <w:pStyle w:val="ListParagraph"/>
        <w:numPr>
          <w:ilvl w:val="0"/>
          <w:numId w:val="2"/>
        </w:numPr>
        <w:spacing w:after="80"/>
      </w:pPr>
      <w:r>
        <w:rPr>
          <w:rFonts w:ascii="Arial" w:cs="Arial" w:eastAsia="Arial" w:hAnsi="Arial"/>
          <w:sz w:val="22"/>
          <w:szCs w:val="22"/>
        </w:rPr>
        <w:t xml:space="preserve">process the relevant Data only to the extent, and in such a manner, as is necessary for the Purpose, subject to and in accordance with {counterparty.shortName}’s express written instructions from time to time or otherwise as is necessary to provide certain services. If MCR considers that any instruction from {counterparty.shortName} contravenes Data Protection Law, it shall inform {counterparty.shortName} giving reasonable details;</w:t>
      </w:r>
    </w:p>
    <w:p>
      <w:pPr>
        <w:pStyle w:val="ListParagraph"/>
        <w:numPr>
          <w:ilvl w:val="0"/>
          <w:numId w:val="2"/>
        </w:numPr>
        <w:spacing w:after="80"/>
      </w:pPr>
      <w:r>
        <w:rPr>
          <w:rFonts w:ascii="Arial" w:cs="Arial" w:eastAsia="Arial" w:hAnsi="Arial"/>
          <w:sz w:val="22"/>
          <w:szCs w:val="22"/>
        </w:rPr>
        <w:t xml:space="preserve">except to the extent that MCR is required by law to retain any copies of any Data, upon the expiry or termination of this Agreement MCR will deliver to {counterparty.shortName} or destroy and/or permanently delete from its information technology systems all copies of any Data in its possession; and</w:t>
      </w:r>
    </w:p>
    <w:p>
      <w:pPr>
        <w:pStyle w:val="ListParagraph"/>
        <w:numPr>
          <w:ilvl w:val="0"/>
          <w:numId w:val="2"/>
        </w:numPr>
        <w:spacing w:after="80"/>
      </w:pPr>
      <w:r>
        <w:rPr>
          <w:rFonts w:ascii="Arial" w:cs="Arial" w:eastAsia="Arial" w:hAnsi="Arial"/>
          <w:sz w:val="22"/>
          <w:szCs w:val="22"/>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 Details of the measures adopted by MCR from time to time shall be made available upon request to {counterparty.shortName}.</w:t>
      </w:r>
    </w:p>
    <w:p>
      <w:pPr>
        <w:pStyle w:val="ListParagraph"/>
        <w:numPr>
          <w:ilvl w:val="0"/>
          <w:numId w:val="3"/>
        </w:numPr>
        <w:spacing w:after="100"/>
      </w:pPr>
      <w:r>
        <w:rPr>
          <w:rFonts w:ascii="Arial" w:cs="Arial" w:eastAsia="Arial" w:hAnsi="Arial"/>
          <w:sz w:val="22"/>
          <w:szCs w:val="22"/>
        </w:rPr>
        <w:t xml:space="preserve">MCR will:</w:t>
      </w:r>
    </w:p>
    <w:p>
      <w:pPr>
        <w:pStyle w:val="ListParagraph"/>
        <w:numPr>
          <w:ilvl w:val="0"/>
          <w:numId w:val="2"/>
        </w:numPr>
        <w:spacing w:after="80"/>
      </w:pPr>
      <w:r>
        <w:rPr>
          <w:rFonts w:ascii="Arial" w:cs="Arial" w:eastAsia="Arial" w:hAnsi="Arial"/>
          <w:sz w:val="22"/>
          <w:szCs w:val="22"/>
        </w:rPr>
        <w:t xml:space="preserve">comply with its obligations as a Processor under Data Protection Law in relation to the Processing of Personal Data by it under this Agreement;</w:t>
      </w:r>
    </w:p>
    <w:p>
      <w:pPr>
        <w:pStyle w:val="ListParagraph"/>
        <w:numPr>
          <w:ilvl w:val="0"/>
          <w:numId w:val="2"/>
        </w:numPr>
        <w:spacing w:after="80"/>
      </w:pPr>
      <w:r>
        <w:rPr>
          <w:rFonts w:ascii="Arial" w:cs="Arial" w:eastAsia="Arial" w:hAnsi="Arial"/>
          <w:sz w:val="22"/>
          <w:szCs w:val="22"/>
        </w:rPr>
        <w:t xml:space="preserve">at {counterparty.shortName}’s cost and expense: promptly comply with any request from {counterparty.shortName} requiring MCR to update or otherwise amend, transfer, delete or destroy the relevant Data, provided that MCR will not be in breach of any other obligation under this Agreement to the extent that it cannot perform that obligation as a result of its compliance with this provision; assist {counterparty.shortName} to the extent reasonably required in responding to any Data Subject Request relating to any Data; and assist {counterparty.shortName} to the extent that such assistance is necessary to enable it to comply with its obligations under Data Protection Law in relation to the Processing of the Data by MCR under this Agreement, such assistance having regard to the nature of the Processing and the information available to MCR;</w:t>
      </w:r>
    </w:p>
    <w:p>
      <w:pPr>
        <w:pStyle w:val="ListParagraph"/>
        <w:numPr>
          <w:ilvl w:val="0"/>
          <w:numId w:val="2"/>
        </w:numPr>
        <w:spacing w:after="80"/>
      </w:pPr>
      <w:r>
        <w:rPr>
          <w:rFonts w:ascii="Arial" w:cs="Arial" w:eastAsia="Arial" w:hAnsi="Arial"/>
          <w:sz w:val="22"/>
          <w:szCs w:val="22"/>
        </w:rPr>
        <w:t xml:space="preserve">ensure that Data is Processed only by employees, contractors or other personnel that are subject to an appropriate duty of confidentiality;</w:t>
      </w:r>
    </w:p>
    <w:p>
      <w:pPr>
        <w:pStyle w:val="ListParagraph"/>
        <w:numPr>
          <w:ilvl w:val="0"/>
          <w:numId w:val="2"/>
        </w:numPr>
        <w:spacing w:after="80"/>
      </w:pPr>
      <w:r>
        <w:rPr>
          <w:rFonts w:ascii="Arial" w:cs="Arial" w:eastAsia="Arial" w:hAnsi="Arial"/>
          <w:sz w:val="22"/>
          <w:szCs w:val="22"/>
        </w:rPr>
        <w:t xml:space="preserve">not transfer any of the Data to outside of the United Kingdom and the European Economic Area, except upon and in accordance with the express written instructions or agreement in writing of {counterparty.shortName}.</w:t>
      </w:r>
    </w:p>
    <w:p>
      <w:pPr>
        <w:pStyle w:val="ListParagraph"/>
        <w:numPr>
          <w:ilvl w:val="0"/>
          <w:numId w:val="3"/>
        </w:numPr>
        <w:spacing w:after="100"/>
      </w:pPr>
      <w:r>
        <w:rPr>
          <w:rFonts w:ascii="Arial" w:cs="Arial" w:eastAsia="Arial" w:hAnsi="Arial"/>
          <w:sz w:val="22"/>
          <w:szCs w:val="22"/>
        </w:rPr>
        <w:t xml:space="preserve">MCR shall not sub-contract the performance of any of its obligations under this Agreement (or otherwise authorise any third party to Process the Data on its behalf) without the prior written consent of {counterparty.shortName} (which {counterparty.shortName} may give or withhold in its absolute discretion).</w:t>
      </w:r>
    </w:p>
    <w:p>
      <w:pPr>
        <w:pStyle w:val="ListParagraph"/>
        <w:numPr>
          <w:ilvl w:val="0"/>
          <w:numId w:val="3"/>
        </w:numPr>
        <w:spacing w:after="100"/>
      </w:pPr>
      <w:r>
        <w:rPr>
          <w:rFonts w:ascii="Arial" w:cs="Arial" w:eastAsia="Arial" w:hAnsi="Arial"/>
          <w:sz w:val="22"/>
          <w:szCs w:val="22"/>
        </w:rPr>
        <w:t xml:space="preserve">Where MCR engages another Processor by way of sub-contract (with that third party thereby being a sub-Processor) to perform Processing activities on behalf of {counterparty.shortName}, MCR shall:</w:t>
      </w:r>
    </w:p>
    <w:p>
      <w:pPr>
        <w:pStyle w:val="ListParagraph"/>
        <w:numPr>
          <w:ilvl w:val="0"/>
          <w:numId w:val="2"/>
        </w:numPr>
        <w:spacing w:after="80"/>
      </w:pPr>
      <w:r>
        <w:rPr>
          <w:rFonts w:ascii="Arial" w:cs="Arial" w:eastAsia="Arial" w:hAnsi="Arial"/>
          <w:sz w:val="22"/>
          <w:szCs w:val="22"/>
        </w:rPr>
        <w:t xml:space="preserve">be solely responsible for complying with Data Protection Law in terms of on-going sub-contracting and supervising that sub-Processor and its Processing operations;</w:t>
      </w:r>
    </w:p>
    <w:p>
      <w:pPr>
        <w:pStyle w:val="ListParagraph"/>
        <w:numPr>
          <w:ilvl w:val="0"/>
          <w:numId w:val="2"/>
        </w:numPr>
        <w:spacing w:after="80"/>
      </w:pPr>
      <w:r>
        <w:rPr>
          <w:rFonts w:ascii="Arial" w:cs="Arial" w:eastAsia="Arial" w:hAnsi="Arial"/>
          <w:sz w:val="22"/>
          <w:szCs w:val="22"/>
        </w:rPr>
        <w:t xml:space="preserve">not authorise a sub-Processor to Process the Data unless and until the relevant sub-contract incorporates (i) terms and conditions which are substantially the same or equivalent to the terms of this Agreement and (ii) a right to terminate automatically on termination of this Agreement for any reason;</w:t>
      </w:r>
    </w:p>
    <w:p>
      <w:pPr>
        <w:pStyle w:val="ListParagraph"/>
        <w:numPr>
          <w:ilvl w:val="0"/>
          <w:numId w:val="2"/>
        </w:numPr>
        <w:spacing w:after="80"/>
      </w:pPr>
      <w:r>
        <w:rPr>
          <w:rFonts w:ascii="Arial" w:cs="Arial" w:eastAsia="Arial" w:hAnsi="Arial"/>
          <w:sz w:val="22"/>
          <w:szCs w:val="22"/>
        </w:rPr>
        <w:t xml:space="preserve">be liable to {counterparty.shortName} for any act or omission by such sub-Processor which breaches the obligations of MCR under this Agreement; and</w:t>
      </w:r>
    </w:p>
    <w:p>
      <w:pPr>
        <w:pStyle w:val="ListParagraph"/>
        <w:numPr>
          <w:ilvl w:val="0"/>
          <w:numId w:val="2"/>
        </w:numPr>
        <w:spacing w:after="80"/>
      </w:pPr>
      <w:r>
        <w:rPr>
          <w:rFonts w:ascii="Arial" w:cs="Arial" w:eastAsia="Arial" w:hAnsi="Arial"/>
          <w:sz w:val="22"/>
          <w:szCs w:val="22"/>
        </w:rPr>
        <w:t xml:space="preserve">not disclose any Data to a third party in any circumstances other than to the sub-Processor(s) engaged in accordance with this Section or as expressly authorised by {counterparty.shortName} in advance and in writing.</w:t>
      </w:r>
    </w:p>
    <w:p>
      <w:pPr>
        <w:pStyle w:val="ListParagraph"/>
        <w:numPr>
          <w:ilvl w:val="0"/>
          <w:numId w:val="3"/>
        </w:numPr>
        <w:spacing w:after="100"/>
      </w:pPr>
      <w:r>
        <w:rPr>
          <w:rFonts w:ascii="Arial" w:cs="Arial" w:eastAsia="Arial" w:hAnsi="Arial"/>
          <w:sz w:val="22"/>
          <w:szCs w:val="22"/>
        </w:rPr>
        <w:t xml:space="preserve">At MCR’s cost and expense, MCR will provide {counterparty.shortName} on request with such information in MCR’s possession, as is reasonably necessary to enable {counterparty.shortName}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At {counterparty.shortName}’s cost and expense, MCR will, subject to compliance with the School’s relevant policies and procedures and upon reasonable notice, permit {counterparty.shortName} a reasonable right of audit in relation to MCR’s records and procedures relating to the Processing of Data, provided that MCR will not be obliged to disclose any information which is subject to third party confidentiality undertakings and such right of audit shall not be exercised more than once in any twelve (12) month period (other than where required by a regulator), as is reasonably necessary to enable MCR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MCR will promptly (and, in any event, no later than twenty-four (24) hours after becoming aware of the same) inform {counterparty.shortName} in writing of any Personal Data Breach or suspected Personal Data Breach affecting Data that has been shared with MCR pursuant to this Agreement. Such notification shall contain (as a minimum) such information as may be required for {counterparty.shortName} to discharge its responsibilities under Data Protection Law in relation to such breach or suspected breach.</w:t>
      </w:r>
    </w:p>
    <w:p>
      <w:pPr>
        <w:spacing w:after="120"/>
      </w:pPr>
      <w:r>
        <w:rPr>
          <w:rFonts w:ascii="Arial" w:cs="Arial" w:eastAsia="Arial" w:hAnsi="Arial"/>
          <w:b w:val="false"/>
          <w:bCs w:val="false"/>
          <w:i w:val="false"/>
          <w:iCs w:val="false"/>
          <w:sz w:val="22"/>
          <w:szCs w:val="22"/>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pPr>
        <w:spacing w:after="120"/>
      </w:pPr>
      <w:r>
        <w:rPr>
          <w:rFonts w:ascii="Arial" w:cs="Arial" w:eastAsia="Arial" w:hAnsi="Arial"/>
          <w:b w:val="false"/>
          <w:bCs w:val="false"/>
          <w:i/>
          <w:iCs/>
          <w:sz w:val="22"/>
          <w:szCs w:val="22"/>
        </w:rPr>
        <w:t xml:space="preserve">Data Processing Particulars – to be completed by the Parties in due course if and when data is expected to be processed by MCR on a Controller to Processor basis</w:t>
      </w:r>
    </w:p>
    <w:p>
      <w:pPr>
        <w:pStyle w:val="Heading1"/>
        <w:spacing w:after="180" w:before="320"/>
      </w:pPr>
      <w:r>
        <w:rPr>
          <w:rFonts w:ascii="Arial" w:cs="Arial" w:eastAsia="Arial" w:hAnsi="Arial"/>
          <w:b/>
          <w:bCs/>
          <w:sz w:val="28"/>
          <w:szCs w:val="28"/>
        </w:rPr>
        <w:t xml:space="preserve">Schedule Part 7 – The Programme</w:t>
      </w:r>
    </w:p>
    <w:p>
      <w:pPr>
        <w:pStyle w:val="Heading2"/>
        <w:spacing w:after="120" w:before="240"/>
      </w:pPr>
      <w:r>
        <w:rPr>
          <w:rFonts w:ascii="Arial" w:cs="Arial" w:eastAsia="Arial" w:hAnsi="Arial"/>
          <w:b/>
          <w:bCs/>
          <w:sz w:val="24"/>
          <w:szCs w:val="24"/>
        </w:rPr>
        <w:t xml:space="preserve">THE PROGRAMME</w:t>
      </w:r>
    </w:p>
    <w:p>
      <w:pPr>
        <w:spacing w:after="120"/>
      </w:pPr>
      <w:r>
        <w:rPr>
          <w:rFonts w:ascii="Arial" w:cs="Arial" w:eastAsia="Arial" w:hAnsi="Arial"/>
          <w:b w:val="false"/>
          <w:bCs w:val="false"/>
          <w:i w:val="false"/>
          <w:iCs w:val="false"/>
          <w:sz w:val="22"/>
          <w:szCs w:val="22"/>
        </w:rPr>
        <w:t xml:space="preserve">1. The programme is the MCR Mentoring Programme, a mentoring{#group} and groupwork{/group} programme (the “Programme”) established by MCR to assist {targetedGroup} identified by the Parties who would benefit from participating in the Programme (hereinafter referred to as the “Targeted Group”). The Programme provides 1:1 mentoring and opportunities for the Targeted Group. MCR and {counterparty.shortName} are committed to long-term sustainable improvement in education and skills outcomes, employment options and life chances for the Targeted Group.</w:t>
      </w:r>
    </w:p>
    <w:p>
      <w:pPr>
        <w:spacing w:after="120"/>
      </w:pPr>
      <w:r>
        <w:rPr>
          <w:rFonts w:ascii="Arial" w:cs="Arial" w:eastAsia="Arial" w:hAnsi="Arial"/>
          <w:b w:val="false"/>
          <w:bCs w:val="false"/>
          <w:i w:val="false"/>
          <w:iCs w:val="false"/>
          <w:sz w:val="22"/>
          <w:szCs w:val="22"/>
        </w:rPr>
        <w:t xml:space="preserve">2. The aim of the Programme is to transform the education and skills outcomes and life chances for Young People who are experiencing disadvantage or who have care experience. The ultimate ambition is that all young people involved in the Programme who experience disadvantage will remain engaged in their learning, be supported to further or higher education or employment when they leave school and, importantly, sustain a positive destination after they have left school.</w:t>
      </w:r>
    </w:p>
    <w:p>
      <w:pPr>
        <w:spacing w:after="120"/>
      </w:pPr>
      <w:r>
        <w:rPr>
          <w:rFonts w:ascii="Arial" w:cs="Arial" w:eastAsia="Arial" w:hAnsi="Arial"/>
          <w:b w:val="false"/>
          <w:bCs w:val="false"/>
          <w:i w:val="false"/>
          <w:iCs w:val="false"/>
          <w:sz w:val="22"/>
          <w:szCs w:val="22"/>
        </w:rPr>
        <w:t xml:space="preserve">3. There are three MCR pathways, with mentoring and partnerships being key elements working alongside the school’s high expectations and aspirations for each and every young person in their care. These three pathways are:</w:t>
      </w:r>
    </w:p>
    <w:p>
      <w:pPr>
        <w:spacing w:after="120"/>
      </w:pPr>
      <w:r>
        <w:rPr>
          <w:rFonts w:ascii="Arial" w:cs="Arial" w:eastAsia="Arial" w:hAnsi="Arial"/>
          <w:b w:val="false"/>
          <w:bCs w:val="false"/>
          <w:i w:val="false"/>
          <w:iCs w:val="false"/>
          <w:sz w:val="22"/>
          <w:szCs w:val="22"/>
        </w:rPr>
        <w:t xml:space="preserve">(i) Re-engaging in education and learning</w:t>
      </w:r>
    </w:p>
    <w:p>
      <w:pPr>
        <w:spacing w:after="120"/>
      </w:pPr>
      <w:r>
        <w:rPr>
          <w:rFonts w:ascii="Arial" w:cs="Arial" w:eastAsia="Arial" w:hAnsi="Arial"/>
          <w:b w:val="false"/>
          <w:bCs w:val="false"/>
          <w:i w:val="false"/>
          <w:iCs w:val="false"/>
          <w:sz w:val="22"/>
          <w:szCs w:val="22"/>
        </w:rPr>
        <w:t xml:space="preserve">(ii) Progression into further education or employment directly from school</w:t>
      </w:r>
    </w:p>
    <w:p>
      <w:pPr>
        <w:spacing w:after="120"/>
      </w:pPr>
      <w:r>
        <w:rPr>
          <w:rFonts w:ascii="Arial" w:cs="Arial" w:eastAsia="Arial" w:hAnsi="Arial"/>
          <w:b w:val="false"/>
          <w:bCs w:val="false"/>
          <w:i w:val="false"/>
          <w:iCs w:val="false"/>
          <w:sz w:val="22"/>
          <w:szCs w:val="22"/>
        </w:rPr>
        <w:t xml:space="preserve">(iii) Progression into higher education</w:t>
      </w:r>
    </w:p>
    <w:p>
      <w:pPr>
        <w:spacing w:after="120"/>
      </w:pPr>
      <w:r>
        <w:rPr>
          <w:rFonts w:ascii="Arial" w:cs="Arial" w:eastAsia="Arial" w:hAnsi="Arial"/>
          <w:b w:val="false"/>
          <w:bCs w:val="false"/>
          <w:i w:val="false"/>
          <w:iCs w:val="false"/>
          <w:sz w:val="22"/>
          <w:szCs w:val="22"/>
        </w:rPr>
        <w:t xml:space="preserve">These pathways are not mutually exclusive, and progression is linked and focused on the potential of each young person. Although the Programme is focussed on supporting the needs of the most vulnerable the pathways can be used for all young people.</w:t>
      </w:r>
    </w:p>
    <w:p>
      <w:pPr>
        <w:spacing w:after="120"/>
      </w:pPr>
      <w:r>
        <w:rPr>
          <w:rFonts w:ascii="Arial" w:cs="Arial" w:eastAsia="Arial" w:hAnsi="Arial"/>
          <w:b w:val="false"/>
          <w:bCs w:val="false"/>
          <w:i w:val="false"/>
          <w:iCs w:val="false"/>
          <w:sz w:val="22"/>
          <w:szCs w:val="22"/>
        </w:rPr>
        <w:t xml:space="preserve">4. There {#group}are 2 core aspects{/group}{^group}is one core aspect{/group} to the Programme:</w:t>
      </w:r>
    </w:p>
    <w:p>
      <w:pPr>
        <w:spacing w:after="120"/>
      </w:pPr>
      <w:r>
        <w:rPr>
          <w:rFonts w:ascii="Arial" w:cs="Arial" w:eastAsia="Arial" w:hAnsi="Arial"/>
          <w:b w:val="false"/>
          <w:bCs w:val="false"/>
          <w:i w:val="false"/>
          <w:iCs w:val="false"/>
          <w:sz w:val="22"/>
          <w:szCs w:val="22"/>
        </w:rPr>
        <w:t xml:space="preserve">4.1 The Programme is a school or alternative site based mentoring programme for {yearGroupSeniorRange} which provides Young People with tailored one-to-one support from a carefully matched and trained volunteer mentor for an hour each week, normally during school term, for a minimum of a year, ideally two years.</w:t>
      </w:r>
    </w:p>
    <w:p>
      <w:pPr>
        <w:spacing w:after="120"/>
      </w:pPr>
      <w:r>
        <w:rPr>
          <w:rFonts w:ascii="Arial" w:cs="Arial" w:eastAsia="Arial" w:hAnsi="Arial"/>
          <w:b w:val="false"/>
          <w:bCs w:val="false"/>
          <w:i w:val="false"/>
          <w:iCs w:val="false"/>
          <w:sz w:val="22"/>
          <w:szCs w:val="22"/>
        </w:rPr>
        <w:t xml:space="preserve">{#group}4.2 There is an {yearGroupJuniorRange} groupwork programme which provides a minimum of 28 weeks input across the academic year in preparation of Mentoring.{/group}</w:t>
      </w:r>
    </w:p>
    <w:p>
      <w:pPr>
        <w:spacing w:after="120"/>
      </w:pPr>
      <w:r>
        <w:rPr>
          <w:rFonts w:ascii="Arial" w:cs="Arial" w:eastAsia="Arial" w:hAnsi="Arial"/>
          <w:b w:val="false"/>
          <w:bCs w:val="false"/>
          <w:i w:val="false"/>
          <w:iCs w:val="false"/>
          <w:sz w:val="22"/>
          <w:szCs w:val="22"/>
        </w:rPr>
        <w:t xml:space="preserve">5. In addition to the {#group}2 core elements{/group}{^group}core element{/group}, the Programme also gives further opportunities for the Young People to become in school Ambassadors and participate in the ‘School Leaver’s Transition Support Programme’ on leaving school.</w:t>
      </w:r>
    </w:p>
    <w:p>
      <w:pPr>
        <w:spacing w:after="120"/>
      </w:pPr>
      <w:r>
        <w:rPr>
          <w:rFonts w:ascii="Arial" w:cs="Arial" w:eastAsia="Arial" w:hAnsi="Arial"/>
          <w:b w:val="false"/>
          <w:bCs w:val="false"/>
          <w:i w:val="false"/>
          <w:iCs w:val="false"/>
          <w:sz w:val="22"/>
          <w:szCs w:val="22"/>
        </w:rPr>
        <w:t xml:space="preserve">6. All aspects of the Programme provide a high quality process and structure to connect, committed individuals and link organisations to provide pathways, experiences and opportunities for the Young People.</w:t>
      </w:r>
    </w:p>
    <w:p>
      <w:pPr>
        <w:spacing w:after="120"/>
      </w:pPr>
      <w:r>
        <w:rPr>
          <w:rFonts w:ascii="Arial" w:cs="Arial" w:eastAsia="Arial" w:hAnsi="Arial"/>
          <w:b w:val="false"/>
          <w:bCs w:val="false"/>
          <w:i w:val="false"/>
          <w:iCs w:val="false"/>
          <w:sz w:val="22"/>
          <w:szCs w:val="22"/>
        </w:rPr>
        <w:t xml:space="preserve">7. The Programme also includes ongoing programme communication, sharing of best practice and project plans.</w:t>
      </w:r>
    </w:p>
    <w:p>
      <w:pPr>
        <w:spacing w:after="120"/>
      </w:pPr>
      <w:r>
        <w:rPr>
          <w:rFonts w:ascii="Arial" w:cs="Arial" w:eastAsia="Arial" w:hAnsi="Arial"/>
          <w:b w:val="false"/>
          <w:bCs w:val="false"/>
          <w:i w:val="false"/>
          <w:iCs w:val="false"/>
          <w:sz w:val="22"/>
          <w:szCs w:val="22"/>
        </w:rPr>
        <w:t xml:space="preserve">{#isLA}</w:t>
      </w:r>
    </w:p>
    <w:p>
      <w:pPr>
        <w:pStyle w:val="Heading1"/>
        <w:spacing w:after="180" w:before="320"/>
      </w:pPr>
      <w:r>
        <w:rPr>
          <w:rFonts w:ascii="Arial" w:cs="Arial" w:eastAsia="Arial" w:hAnsi="Arial"/>
          <w:b/>
          <w:bCs/>
          <w:sz w:val="28"/>
          <w:szCs w:val="28"/>
        </w:rPr>
        <w:t xml:space="preserve">Schedule Part 8 – The School(s) / The Site(s)</w:t>
      </w:r>
    </w:p>
    <w:p>
      <w:pPr>
        <w:spacing w:after="120"/>
      </w:pPr>
      <w:r>
        <w:rPr>
          <w:rFonts w:ascii="Arial" w:cs="Arial" w:eastAsia="Arial" w:hAnsi="Arial"/>
          <w:b w:val="false"/>
          <w:bCs w:val="false"/>
          <w:i w:val="false"/>
          <w:iCs w:val="false"/>
          <w:sz w:val="22"/>
          <w:szCs w:val="22"/>
        </w:rPr>
        <w:t xml:space="preserve">{counterparty.coveredSchoolsSites}</w:t>
      </w:r>
    </w:p>
    <w:p>
      <w:pPr>
        <w:spacing w:after="120"/>
      </w:pPr>
      <w:r>
        <w:rPr>
          <w:rFonts w:ascii="Arial" w:cs="Arial" w:eastAsia="Arial" w:hAnsi="Arial"/>
          <w:b w:val="false"/>
          <w:bCs w:val="false"/>
          <w:i w:val="false"/>
          <w:iCs w:val="false"/>
          <w:sz w:val="22"/>
          <w:szCs w:val="22"/>
        </w:rPr>
        <w:t xml:space="preserve">{/isLA}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MCR Pathways — DSA (master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2026-05-20T08:24:18.971Z</dcterms:created>
  <dcterms:modified xsi:type="dcterms:W3CDTF">2026-05-20T08:24:18.977Z</dcterms:modified>
</cp:coreProperties>
</file>

<file path=docProps/custom.xml><?xml version="1.0" encoding="utf-8"?>
<Properties xmlns="http://schemas.openxmlformats.org/officeDocument/2006/custom-properties" xmlns:vt="http://schemas.openxmlformats.org/officeDocument/2006/docPropsVTypes"/>
</file>