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A8C7E"/>
          <w:sz w:val="56"/>
          <w:szCs w:val="56"/>
        </w:rPr>
        <w:t xml:space="preserve">ORBIT PLATFORM</w:t>
      </w:r>
    </w:p>
    <w:p>
      <w:pPr>
        <w:spacing w:before="0" w:after="160"/>
      </w:pPr>
      <w:r>
        <w:rPr>
          <w:rFonts w:ascii="Arial" w:cs="Arial" w:eastAsia="Arial" w:hAnsi="Arial"/>
          <w:b/>
          <w:bCs/>
          <w:color w:val="1A1D23"/>
          <w:sz w:val="32"/>
          <w:szCs w:val="32"/>
        </w:rPr>
        <w:t xml:space="preserve">Cross-Stakeholder Focus Group — Full Session Report</w:t>
      </w:r>
    </w:p>
    <w:p>
      <w:pPr>
        <w:spacing w:before="0" w:after="60"/>
      </w:pPr>
      <w:r>
        <w:rPr>
          <w:rFonts w:ascii="Arial" w:cs="Arial" w:eastAsia="Arial" w:hAnsi="Arial"/>
          <w:color w:val="757880"/>
          <w:sz w:val="22"/>
          <w:szCs w:val="22"/>
        </w:rPr>
        <w:t xml:space="preserve">Session Date: March 9, 2026  |  Format: Moderated Multi-Role Review</w:t>
      </w:r>
    </w:p>
    <w:p>
      <w:pPr>
        <w:spacing w:before="0" w:after="60"/>
      </w:pPr>
      <w:r>
        <w:rPr>
          <w:rFonts w:ascii="Arial" w:cs="Arial" w:eastAsia="Arial" w:hAnsi="Arial"/>
          <w:color w:val="757880"/>
          <w:sz w:val="22"/>
          <w:szCs w:val="22"/>
        </w:rPr>
        <w:t xml:space="preserve">Participants: 14 stakeholder archetypes  |  Platform Build: v2.0.0</w:t>
      </w:r>
    </w:p>
    <w:p>
      <w:pPr>
        <w:spacing w:before="0" w:after="60"/>
      </w:pPr>
      <w:r>
        <w:rPr>
          <w:rFonts w:ascii="Arial" w:cs="Arial" w:eastAsia="Arial" w:hAnsi="Arial"/>
          <w:b/>
          <w:bCs/>
          <w:color w:val="CC6D52"/>
          <w:sz w:val="20"/>
          <w:szCs w:val="20"/>
        </w:rPr>
        <w:t xml:space="preserve">Document Classification: Internal — Confidential</w:t>
      </w:r>
    </w:p>
    <w:p>
      <w:pPr>
        <w:pBdr>
          <w:bottom w:val="single" w:color="2A8C7E" w:sz="4" w:space="2"/>
        </w:pBdr>
        <w:spacing w:before="120" w:after="120"/>
      </w:pPr>
      <w:r>
        <w:t xml:space="preserve"/>
      </w:r>
    </w:p>
    <w:p>
      <w:pPr>
        <w:spacing w:before="80" w:after="0"/>
      </w:pPr>
      <w:r>
        <w:t xml:space="preserve"/>
      </w:r>
    </w:p>
    <w:p>
      <w:pPr>
        <w:pStyle w:val="Heading1"/>
        <w:spacing w:before="360" w:after="160"/>
      </w:pPr>
      <w:r>
        <w:rPr>
          <w:rFonts w:ascii="Arial" w:cs="Arial" w:eastAsia="Arial" w:hAnsi="Arial"/>
          <w:b/>
          <w:bCs/>
          <w:color w:val="1A1D23"/>
          <w:sz w:val="36"/>
          <w:szCs w:val="36"/>
        </w:rPr>
        <w:t xml:space="preserve">Executive Summary</w:t>
      </w:r>
    </w:p>
    <w:p>
      <w:pPr>
        <w:spacing w:before="40" w:after="100"/>
        <w:jc w:val="left"/>
      </w:pPr>
      <w:r>
        <w:rPr>
          <w:rFonts w:ascii="Arial" w:cs="Arial" w:eastAsia="Arial" w:hAnsi="Arial"/>
          <w:b w:val="false"/>
          <w:bCs w:val="false"/>
          <w:i w:val="false"/>
          <w:iCs w:val="false"/>
          <w:color w:val="1A1D23"/>
          <w:sz w:val="22"/>
          <w:szCs w:val="22"/>
        </w:rPr>
        <w:t xml:space="preserve">This document records the findings, verbatim feedback, negotiated resolutions, and prioritised action plan from Orbit's first full cross-stakeholder focus group. Fourteen participant archetypes spanning advancement leadership, daily operators, end users (alumni and donors), and the engineering team reviewed the platform from first principles over a structured session.</w:t>
      </w:r>
    </w:p>
    <w:p>
      <w:pPr>
        <w:spacing w:before="40" w:after="100"/>
        <w:jc w:val="left"/>
      </w:pPr>
      <w:r>
        <w:rPr>
          <w:rFonts w:ascii="Arial" w:cs="Arial" w:eastAsia="Arial" w:hAnsi="Arial"/>
          <w:b w:val="false"/>
          <w:bCs w:val="false"/>
          <w:i w:val="false"/>
          <w:iCs w:val="false"/>
          <w:color w:val="1A1D23"/>
          <w:sz w:val="22"/>
          <w:szCs w:val="22"/>
        </w:rPr>
        <w:t xml:space="preserve">The session surfaced critical gaps, strong confirmations, and negotiated trade-offs across every dimension: product usefulness, UX quality, backend reliability, data security, and go-to-market readiness. The outcome is a consensus-driven 90-day action plan with clear ownership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pPr>
              <w:jc w:val="center"/>
            </w:pPr>
            <w:r>
              <w:rPr>
                <w:rFonts w:ascii="Arial" w:cs="Arial" w:eastAsia="Arial" w:hAnsi="Arial"/>
                <w:b/>
                <w:bCs/>
                <w:color w:val="2A8C7E"/>
                <w:sz w:val="52"/>
                <w:szCs w:val="52"/>
              </w:rPr>
              <w:t xml:space="preserve">14</w:t>
            </w:r>
          </w:p>
        </w:tc>
        <w:tc>
          <w:tcPr>
            <w:tcW w:type="dxa" w:w="234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52"/>
                <w:szCs w:val="52"/>
              </w:rPr>
              <w:t xml:space="preserve">47</w:t>
            </w:r>
          </w:p>
        </w:tc>
        <w:tc>
          <w:tcPr>
            <w:tcW w:type="dxa" w:w="234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52"/>
                <w:szCs w:val="52"/>
              </w:rPr>
              <w:t xml:space="preserve">12</w:t>
            </w:r>
          </w:p>
        </w:tc>
        <w:tc>
          <w:tcPr>
            <w:tcW w:type="dxa" w:w="2340"/>
            <w:tcBorders>
              <w:top w:val="single" w:color="CCCCCC" w:sz="1"/>
              <w:left w:val="single" w:color="CCCCCC" w:sz="1"/>
              <w:bottom w:val="single" w:color="CCCCCC" w:sz="1"/>
              <w:right w:val="single" w:color="CCCCCC" w:sz="1"/>
            </w:tcBorders>
            <w:shd w:fill="EDF0FA" w:val="clear"/>
            <w:tcMar>
              <w:top w:type="dxa" w:w="80"/>
              <w:left w:type="dxa" w:w="140"/>
              <w:bottom w:type="dxa" w:w="80"/>
              <w:right w:type="dxa" w:w="140"/>
            </w:tcMar>
            <w:vAlign w:val="top"/>
          </w:tcPr>
          <w:p>
            <w:pPr>
              <w:jc w:val="center"/>
            </w:pPr>
            <w:r>
              <w:rPr>
                <w:rFonts w:ascii="Arial" w:cs="Arial" w:eastAsia="Arial" w:hAnsi="Arial"/>
                <w:b/>
                <w:bCs/>
                <w:color w:val="5A6DA8"/>
                <w:sz w:val="52"/>
                <w:szCs w:val="52"/>
              </w:rPr>
              <w:t xml:space="preserve">B+</w:t>
            </w:r>
          </w:p>
        </w:tc>
      </w:tr>
      <w:tr>
        <w:tc>
          <w:tcPr>
            <w:tcW w:type="dxa" w:w="234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pPr>
              <w:jc w:val="center"/>
            </w:pPr>
            <w:r>
              <w:rPr>
                <w:rFonts w:ascii="Arial" w:cs="Arial" w:eastAsia="Arial" w:hAnsi="Arial"/>
                <w:color w:val="757880"/>
                <w:sz w:val="18"/>
                <w:szCs w:val="18"/>
              </w:rPr>
              <w:t xml:space="preserve">Stakeholder Archetypes</w:t>
            </w:r>
          </w:p>
        </w:tc>
        <w:tc>
          <w:tcPr>
            <w:tcW w:type="dxa" w:w="234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color w:val="757880"/>
                <w:sz w:val="18"/>
                <w:szCs w:val="18"/>
              </w:rPr>
              <w:t xml:space="preserve">Issues Raised</w:t>
            </w:r>
          </w:p>
        </w:tc>
        <w:tc>
          <w:tcPr>
            <w:tcW w:type="dxa" w:w="234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color w:val="757880"/>
                <w:sz w:val="18"/>
                <w:szCs w:val="18"/>
              </w:rPr>
              <w:t xml:space="preserve">Resolved In Session</w:t>
            </w:r>
          </w:p>
        </w:tc>
        <w:tc>
          <w:tcPr>
            <w:tcW w:type="dxa" w:w="2340"/>
            <w:tcBorders>
              <w:top w:val="single" w:color="CCCCCC" w:sz="1"/>
              <w:left w:val="single" w:color="CCCCCC" w:sz="1"/>
              <w:bottom w:val="single" w:color="CCCCCC" w:sz="1"/>
              <w:right w:val="single" w:color="CCCCCC" w:sz="1"/>
            </w:tcBorders>
            <w:shd w:fill="EDF0FA" w:val="clear"/>
            <w:tcMar>
              <w:top w:type="dxa" w:w="80"/>
              <w:left w:type="dxa" w:w="140"/>
              <w:bottom w:type="dxa" w:w="80"/>
              <w:right w:type="dxa" w:w="140"/>
            </w:tcMar>
            <w:vAlign w:val="top"/>
          </w:tcPr>
          <w:p>
            <w:pPr>
              <w:jc w:val="center"/>
            </w:pPr>
            <w:r>
              <w:rPr>
                <w:rFonts w:ascii="Arial" w:cs="Arial" w:eastAsia="Arial" w:hAnsi="Arial"/>
                <w:color w:val="757880"/>
                <w:sz w:val="18"/>
                <w:szCs w:val="18"/>
              </w:rPr>
              <w:t xml:space="preserve">Overall Platform Grade</w:t>
            </w:r>
          </w:p>
        </w:tc>
      </w:tr>
    </w:tbl>
    <w:p>
      <w:pPr>
        <w:spacing w:before="160" w:after="0"/>
      </w:pPr>
      <w:r>
        <w:t xml:space="preserve"/>
      </w:r>
    </w:p>
    <w:p>
      <w:pPr>
        <w:pStyle w:val="Heading1"/>
        <w:spacing w:before="360" w:after="160"/>
      </w:pPr>
      <w:r>
        <w:rPr>
          <w:rFonts w:ascii="Arial" w:cs="Arial" w:eastAsia="Arial" w:hAnsi="Arial"/>
          <w:b/>
          <w:bCs/>
          <w:color w:val="1A1D23"/>
          <w:sz w:val="36"/>
          <w:szCs w:val="36"/>
        </w:rPr>
        <w:t xml:space="preserve">Section 1 — Session Participants</w:t>
      </w:r>
    </w:p>
    <w:p>
      <w:pPr>
        <w:spacing w:before="40" w:after="120"/>
        <w:jc w:val="left"/>
      </w:pPr>
      <w:r>
        <w:rPr>
          <w:rFonts w:ascii="Arial" w:cs="Arial" w:eastAsia="Arial" w:hAnsi="Arial"/>
          <w:b w:val="false"/>
          <w:bCs w:val="false"/>
          <w:i w:val="false"/>
          <w:iCs w:val="false"/>
          <w:color w:val="1A1D23"/>
          <w:sz w:val="22"/>
          <w:szCs w:val="22"/>
        </w:rPr>
        <w:t xml:space="preserve">The session was structured so every role with a stake in Orbit's success was represented — buyers, operators, daily users, end users, and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Participant / Role</w:t>
            </w:r>
          </w:p>
        </w:tc>
        <w:tc>
          <w:tcPr>
            <w:tcW w:type="dxa" w:w="34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Represents</w:t>
            </w:r>
          </w:p>
        </w:tc>
        <w:tc>
          <w:tcPr>
            <w:tcW w:type="dxa" w:w="34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Primary Lens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VP of Advancement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Institutional buyer / budget authority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ROI, strategic alignment, competitive advantage</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Director of Annual Giving</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Primary daily operator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Workflow fit, efficiency gains, agent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Major Gift Officer (MGO) 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Portfolio manager — cultivation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Donor relationship quality, AI accuracy</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Major Gift Officer (MGO) B</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Portfolio manager — solicitation</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Approval speed, message quality,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Planned Giving Officer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Specialist operator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Legacy pipeline, VPGO accuracy, compliance</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Stewardship Coordinator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VSO operator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Touchpoint quality, sustainer health,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Advancement Data Manager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CRM &amp; integration owner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Data integrity, CRM sync, FERPA, audit trail</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University IT Director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Security &amp; infrastructure gatekeeper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SOC 2, FERPA, pen test, infrastructure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Advancement Communications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Content &amp; brand operator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Email/SMS quality, brand compliance, tone</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Annual Fund Student Caller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Front-line user of Phone Dialer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Script quality, ease of use, call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Class of 2005 Alumna (Donor)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Representative end user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Privacy, relevance, email quality, trust</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Class of 1988 Alumnus (Donor)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Representative end user (major gift tier)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Personalization, dignity, no-ask fatigue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Planned Gift Prospect (72)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Representative end user (legacy tier)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Sensitivity, trust signals, not feeling sold</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Engineering / Product Lead</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Builder &amp; system owner</w:t>
            </w:r>
          </w:p>
        </w:tc>
        <w:tc>
          <w:tcPr>
            <w:tcW w:type="dxa" w:w="34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Technical debt, security gaps, ship order</w:t>
            </w:r>
          </w:p>
        </w:tc>
      </w:tr>
    </w:tbl>
    <w:p>
      <w:pPr>
        <w:spacing w:before="200" w:after="0"/>
      </w:pPr>
      <w:r>
        <w:t xml:space="preserve"/>
      </w:r>
    </w:p>
    <w:p>
      <w:pPr>
        <w:pStyle w:val="Heading1"/>
        <w:spacing w:before="360" w:after="160"/>
      </w:pPr>
      <w:r>
        <w:rPr>
          <w:rFonts w:ascii="Arial" w:cs="Arial" w:eastAsia="Arial" w:hAnsi="Arial"/>
          <w:b/>
          <w:bCs/>
          <w:color w:val="1A1D23"/>
          <w:sz w:val="36"/>
          <w:szCs w:val="36"/>
        </w:rPr>
        <w:t xml:space="preserve">Section 2 — Session Agenda</w:t>
      </w:r>
    </w:p>
    <w:p>
      <w:pPr>
        <w:pStyle w:val="ListParagraph"/>
        <w:numPr>
          <w:ilvl w:val="0"/>
          <w:numId w:val="2"/>
        </w:numPr>
        <w:spacing w:before="30" w:after="50"/>
      </w:pPr>
      <w:r>
        <w:rPr>
          <w:rFonts w:ascii="Arial" w:cs="Arial" w:eastAsia="Arial" w:hAnsi="Arial"/>
          <w:color w:val="1A1D23"/>
          <w:sz w:val="22"/>
          <w:szCs w:val="22"/>
        </w:rPr>
        <w:t xml:space="preserve">Opening — platform demonstration walkthrough (20 min)</w:t>
      </w:r>
    </w:p>
    <w:p>
      <w:pPr>
        <w:pStyle w:val="ListParagraph"/>
        <w:numPr>
          <w:ilvl w:val="0"/>
          <w:numId w:val="2"/>
        </w:numPr>
        <w:spacing w:before="30" w:after="50"/>
      </w:pPr>
      <w:r>
        <w:rPr>
          <w:rFonts w:ascii="Arial" w:cs="Arial" w:eastAsia="Arial" w:hAnsi="Arial"/>
          <w:color w:val="1A1D23"/>
          <w:sz w:val="22"/>
          <w:szCs w:val="22"/>
        </w:rPr>
        <w:t xml:space="preserve">Round 1: Operator feedback — workflow, AI, approvals, agents (35 min)</w:t>
      </w:r>
    </w:p>
    <w:p>
      <w:pPr>
        <w:pStyle w:val="ListParagraph"/>
        <w:numPr>
          <w:ilvl w:val="0"/>
          <w:numId w:val="2"/>
        </w:numPr>
        <w:spacing w:before="30" w:after="50"/>
      </w:pPr>
      <w:r>
        <w:rPr>
          <w:rFonts w:ascii="Arial" w:cs="Arial" w:eastAsia="Arial" w:hAnsi="Arial"/>
          <w:color w:val="1A1D23"/>
          <w:sz w:val="22"/>
          <w:szCs w:val="22"/>
        </w:rPr>
        <w:t xml:space="preserve">Round 2: End user feedback — donor experience, privacy, trust (25 min)</w:t>
      </w:r>
    </w:p>
    <w:p>
      <w:pPr>
        <w:pStyle w:val="ListParagraph"/>
        <w:numPr>
          <w:ilvl w:val="0"/>
          <w:numId w:val="2"/>
        </w:numPr>
        <w:spacing w:before="30" w:after="50"/>
      </w:pPr>
      <w:r>
        <w:rPr>
          <w:rFonts w:ascii="Arial" w:cs="Arial" w:eastAsia="Arial" w:hAnsi="Arial"/>
          <w:color w:val="1A1D23"/>
          <w:sz w:val="22"/>
          <w:szCs w:val="22"/>
        </w:rPr>
        <w:t xml:space="preserve">Round 3: Technology &amp; security review — backend, data, compliance (30 min)</w:t>
      </w:r>
    </w:p>
    <w:p>
      <w:pPr>
        <w:pStyle w:val="ListParagraph"/>
        <w:numPr>
          <w:ilvl w:val="0"/>
          <w:numId w:val="2"/>
        </w:numPr>
        <w:spacing w:before="30" w:after="50"/>
      </w:pPr>
      <w:r>
        <w:rPr>
          <w:rFonts w:ascii="Arial" w:cs="Arial" w:eastAsia="Arial" w:hAnsi="Arial"/>
          <w:color w:val="1A1D23"/>
          <w:sz w:val="22"/>
          <w:szCs w:val="22"/>
        </w:rPr>
        <w:t xml:space="preserve">Round 4: Go-to-market readiness — pricing, pilot, competition (20 min)</w:t>
      </w:r>
    </w:p>
    <w:p>
      <w:pPr>
        <w:pStyle w:val="ListParagraph"/>
        <w:numPr>
          <w:ilvl w:val="0"/>
          <w:numId w:val="2"/>
        </w:numPr>
        <w:spacing w:before="30" w:after="50"/>
      </w:pPr>
      <w:r>
        <w:rPr>
          <w:rFonts w:ascii="Arial" w:cs="Arial" w:eastAsia="Arial" w:hAnsi="Arial"/>
          <w:color w:val="1A1D23"/>
          <w:sz w:val="22"/>
          <w:szCs w:val="22"/>
        </w:rPr>
        <w:t xml:space="preserve">Synthesis — prioritised findings, negotiated resolutions (30 min)</w:t>
      </w:r>
    </w:p>
    <w:p>
      <w:pPr>
        <w:pStyle w:val="ListParagraph"/>
        <w:numPr>
          <w:ilvl w:val="0"/>
          <w:numId w:val="2"/>
        </w:numPr>
        <w:spacing w:before="30" w:after="50"/>
      </w:pPr>
      <w:r>
        <w:rPr>
          <w:rFonts w:ascii="Arial" w:cs="Arial" w:eastAsia="Arial" w:hAnsi="Arial"/>
          <w:color w:val="1A1D23"/>
          <w:sz w:val="22"/>
          <w:szCs w:val="22"/>
        </w:rPr>
        <w:t xml:space="preserve">Close — 90-day action plan sign-off (10 min)</w:t>
      </w:r>
    </w:p>
    <w:p>
      <w:pPr>
        <w:spacing w:before="20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3 — Round 1: Operator Feedback</w:t>
      </w:r>
    </w:p>
    <w:p>
      <w:pPr>
        <w:spacing w:before="40" w:after="120"/>
        <w:jc w:val="left"/>
      </w:pPr>
      <w:r>
        <w:rPr>
          <w:rFonts w:ascii="Arial" w:cs="Arial" w:eastAsia="Arial" w:hAnsi="Arial"/>
          <w:b w:val="false"/>
          <w:bCs w:val="false"/>
          <w:i w:val="false"/>
          <w:iCs w:val="false"/>
          <w:color w:val="757880"/>
          <w:sz w:val="22"/>
          <w:szCs w:val="22"/>
        </w:rPr>
        <w:t xml:space="preserve">Participants: VP Advancement, Director Annual Giving, MGO A, MGO B, Planned Giving Officer, Stewardship Coordinator, Advancement Communications.</w:t>
      </w:r>
    </w:p>
    <w:p>
      <w:pPr>
        <w:pStyle w:val="Heading2"/>
        <w:pBdr>
          <w:bottom w:val="single" w:color="2A8C7E" w:sz="4" w:space="4"/>
        </w:pBdr>
        <w:spacing w:before="280" w:after="120"/>
      </w:pPr>
      <w:r>
        <w:rPr>
          <w:rFonts w:ascii="Arial" w:cs="Arial" w:eastAsia="Arial" w:hAnsi="Arial"/>
          <w:b/>
          <w:bCs/>
          <w:color w:val="2A8C7E"/>
          <w:sz w:val="26"/>
          <w:szCs w:val="26"/>
        </w:rPr>
        <w:t xml:space="preserve">3.1 — Dashboard &amp; Daily Workflow</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Quick-Action Bar ("Now: 12 Approvals Waiting") was universally praised. "Finally — I land on the dashboard and I know exactly what to do first." — Director Annual Giving</w:t>
      </w:r>
    </w:p>
    <w:p>
      <w:pPr>
        <w:pStyle w:val="ListParagraph"/>
        <w:numPr>
          <w:ilvl w:val="0"/>
          <w:numId w:val="3"/>
        </w:numPr>
        <w:spacing w:before="30" w:after="50"/>
      </w:pPr>
      <w:r>
        <w:rPr>
          <w:rFonts w:ascii="Arial" w:cs="Arial" w:eastAsia="Arial" w:hAnsi="Arial"/>
          <w:b w:val="false"/>
          <w:bCs w:val="false"/>
          <w:color w:val="1A1D23"/>
          <w:sz w:val="22"/>
          <w:szCs w:val="22"/>
        </w:rPr>
        <w:t xml:space="preserve">The breadcrumb context in the header (e.g., "Intelligence &gt; Ask Engine") eliminated "page blindness" that testers reported in the previous audit. All 7 operators confirmed orientation improved immediately.</w:t>
      </w:r>
    </w:p>
    <w:p>
      <w:pPr>
        <w:pStyle w:val="ListParagraph"/>
        <w:numPr>
          <w:ilvl w:val="0"/>
          <w:numId w:val="3"/>
        </w:numPr>
        <w:spacing w:before="30" w:after="50"/>
      </w:pPr>
      <w:r>
        <w:rPr>
          <w:rFonts w:ascii="Arial" w:cs="Arial" w:eastAsia="Arial" w:hAnsi="Arial"/>
          <w:b w:val="false"/>
          <w:bCs w:val="false"/>
          <w:color w:val="1A1D23"/>
          <w:sz w:val="22"/>
          <w:szCs w:val="22"/>
        </w:rPr>
        <w:t xml:space="preserve">The Daily Digest auto-opening only 3 times then going opt-in was called out as "respectful of my time." — MGO A</w:t>
      </w:r>
    </w:p>
    <w:p>
      <w:pPr>
        <w:pStyle w:val="ListParagraph"/>
        <w:numPr>
          <w:ilvl w:val="0"/>
          <w:numId w:val="3"/>
        </w:numPr>
        <w:spacing w:before="30" w:after="50"/>
      </w:pPr>
      <w:r>
        <w:rPr>
          <w:rFonts w:ascii="Arial" w:cs="Arial" w:eastAsia="Arial" w:hAnsi="Arial"/>
          <w:b w:val="false"/>
          <w:bCs w:val="false"/>
          <w:color w:val="1A1D23"/>
          <w:sz w:val="22"/>
          <w:szCs w:val="22"/>
        </w:rPr>
        <w:t xml:space="preserve">Agent status cards (VEO, VSO, VPGO, VCO) with animated pulse dots create immediate trust that AI is actively working. "I feel like I have four colleagues who never sleep." — Stewardship Coordinator</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Outreach Queue shows 12 pending approvals in the badge but officers cannot bulk-approve low-risk items. They must click into each card individually. "I spent 18 minutes this morning approving cultivation emails one at a time. Every single one was correct. I need a Select All + Approve." — MGO 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way to see tomorrow's schedule from today's dashboard. Officers want a 48-hour forward view, not just today. "I want to know what's already queued so I'm not surprised at 8am." — Director Annual Giving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P2</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"Agent Activity" page shows raw agent log entries that read like developer console output. "What does 'VEO scoring cycle completed, 847 donors evaluated' mean to me? Show me what changed and what I should care about." — VP Advancement</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3.2 — AI Agent Quality &amp; Trust</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VEO outreach drafts (cultivation emails) were rated 8.4/10 on average by the two MGOs who reviewed actual generated content during the session.</w:t>
      </w:r>
    </w:p>
    <w:p>
      <w:pPr>
        <w:pStyle w:val="ListParagraph"/>
        <w:numPr>
          <w:ilvl w:val="0"/>
          <w:numId w:val="3"/>
        </w:numPr>
        <w:spacing w:before="30" w:after="50"/>
      </w:pPr>
      <w:r>
        <w:rPr>
          <w:rFonts w:ascii="Arial" w:cs="Arial" w:eastAsia="Arial" w:hAnsi="Arial"/>
          <w:b w:val="false"/>
          <w:bCs w:val="false"/>
          <w:color w:val="1A1D23"/>
          <w:sz w:val="22"/>
          <w:szCs w:val="22"/>
        </w:rPr>
        <w:t xml:space="preserve">The VSO's 7-archetype donor classification system was called "genuinely sophisticated — this is how we actually think about our sustainer portfolio." — Stewardship Coordinator</w:t>
      </w:r>
    </w:p>
    <w:p>
      <w:pPr>
        <w:pStyle w:val="ListParagraph"/>
        <w:numPr>
          <w:ilvl w:val="0"/>
          <w:numId w:val="3"/>
        </w:numPr>
        <w:spacing w:before="30" w:after="50"/>
      </w:pPr>
      <w:r>
        <w:rPr>
          <w:rFonts w:ascii="Arial" w:cs="Arial" w:eastAsia="Arial" w:hAnsi="Arial"/>
          <w:b w:val="false"/>
          <w:bCs w:val="false"/>
          <w:color w:val="1A1D23"/>
          <w:sz w:val="22"/>
          <w:szCs w:val="22"/>
        </w:rPr>
        <w:t xml:space="preserve">The VPGO planned gift conversation framework mapped closely to the officer's own process. "The objection handler scripts are better than anything I've written. I would use these directly." — Planned Giving Officer</w:t>
      </w:r>
    </w:p>
    <w:p>
      <w:pPr>
        <w:pStyle w:val="ListParagraph"/>
        <w:numPr>
          <w:ilvl w:val="0"/>
          <w:numId w:val="3"/>
        </w:numPr>
        <w:spacing w:before="30" w:after="50"/>
      </w:pPr>
      <w:r>
        <w:rPr>
          <w:rFonts w:ascii="Arial" w:cs="Arial" w:eastAsia="Arial" w:hAnsi="Arial"/>
          <w:b w:val="false"/>
          <w:bCs w:val="false"/>
          <w:color w:val="1A1D23"/>
          <w:sz w:val="22"/>
          <w:szCs w:val="22"/>
        </w:rPr>
        <w:t xml:space="preserve">Pre-call briefing generation for the Phone Dialer was rated "exceptional" — "It pulled the right donor context and gave me exactly what I needed before I picked up the phone. Saved me 12 minutes of CRM digging." — MGO A</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AI-generated emails occasionally produce generic openers ("I hope this message finds you well") even when richer donor context is available. Officers want the AI to lead with the donor's specific signal — e.g., the article they just published, the recent event they attended. "The system knows more about the donor than the email shows." — MGO 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There is no feedback loop. When an officer edits an AI draft before approving it, those edits disappear. The AI never learns that this officer always removes formal openers. "I've corrected the same thing 40 times now." — MGO 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P2</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Ask Engine's propensity scores are not explained sufficiently for officers to trust them. "Why is James P. at 94? If I can't explain the score to my VP, I can't act on it." — MGO A</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3.3 — Planned Giving Officer Breakout</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CGA Calculator (Charitable Gift Annuity) was called "immediately usable in a prospect meeting — I would open this on my laptop and walk through it with the donor." — Planned Giving Officer</w:t>
      </w:r>
    </w:p>
    <w:p>
      <w:pPr>
        <w:pStyle w:val="ListParagraph"/>
        <w:numPr>
          <w:ilvl w:val="0"/>
          <w:numId w:val="3"/>
        </w:numPr>
        <w:spacing w:before="30" w:after="50"/>
      </w:pPr>
      <w:r>
        <w:rPr>
          <w:rFonts w:ascii="Arial" w:cs="Arial" w:eastAsia="Arial" w:hAnsi="Arial"/>
          <w:b w:val="false"/>
          <w:bCs w:val="false"/>
          <w:color w:val="1A1D23"/>
          <w:sz w:val="22"/>
          <w:szCs w:val="22"/>
        </w:rPr>
        <w:t xml:space="preserve">The 7-tab Planned Giving page (Prospects → Vehicles → Calculator → Proposals → Marketing → Coaching) mirrors the officer's actual workflow sequence.</w:t>
      </w:r>
    </w:p>
    <w:p>
      <w:pPr>
        <w:pStyle w:val="ListParagraph"/>
        <w:numPr>
          <w:ilvl w:val="0"/>
          <w:numId w:val="3"/>
        </w:numPr>
        <w:spacing w:before="30" w:after="50"/>
      </w:pPr>
      <w:r>
        <w:rPr>
          <w:rFonts w:ascii="Arial" w:cs="Arial" w:eastAsia="Arial" w:hAnsi="Arial"/>
          <w:b w:val="false"/>
          <w:bCs w:val="false"/>
          <w:color w:val="1A1D23"/>
          <w:sz w:val="22"/>
          <w:szCs w:val="22"/>
        </w:rPr>
        <w:t xml:space="preserve">The AI proposal generator produced a bequest proposal the officer rated as "80% of the way to something I would send — better than starting from scratch."</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CRITICAL COMPLIANCE GAP: Planned gift amounts and beneficiary information are displayed in the pipeline view. Under FERPA and state charitable solicitation laws, this data requires strict access controls. Currently, any officer-role user can see every planned gift prospect's estimated bequest value. "This cannot ship to a university until it is gated to PG Officers and VPs only." — Planned Giving Officer + IT Director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marketing studio produces content but has no approval workflow. Planned gift materials must be approved by legal before distribution. "I need a 'Send to Legal Review' button before any of this can go out." — Planned Giving Officer</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3.4 — Stewardship &amp; VSO Breakout</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VSO Command Center's Relationship Health Score (RHS) with decay model was rated as the single most differentiated feature versus any competitor. "No one else shows me when a relationship is cooling before it's too late." — Stewardship Coordinator</w:t>
      </w:r>
    </w:p>
    <w:p>
      <w:pPr>
        <w:pStyle w:val="ListParagraph"/>
        <w:numPr>
          <w:ilvl w:val="0"/>
          <w:numId w:val="3"/>
        </w:numPr>
        <w:spacing w:before="30" w:after="50"/>
      </w:pPr>
      <w:r>
        <w:rPr>
          <w:rFonts w:ascii="Arial" w:cs="Arial" w:eastAsia="Arial" w:hAnsi="Arial"/>
          <w:b w:val="false"/>
          <w:bCs w:val="false"/>
          <w:color w:val="1A1D23"/>
          <w:sz w:val="22"/>
          <w:szCs w:val="22"/>
        </w:rPr>
        <w:t xml:space="preserve">The handwritten note integration via Handwrytten was described as "the kind of thing that makes donors feel genuinely seen. I sent 12 notes last week from the queue and three donors replied personally." — Stewardship Coordinator</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VSO stewardship queue builds every morning at 6am. If a donor makes a gift at 10am, the queue doesn't reflect this until the next day. "A gift is the single most important stewardship trigger and I'm missing it for 20 hours." — Stewardship Coordinator</w:t>
            </w:r>
          </w:p>
        </w:tc>
      </w:tr>
    </w:tbl>
    <w:p>
      <w:pPr>
        <w:spacing w:before="80" w:after="0"/>
      </w:pPr>
      <w:r>
        <w:t xml:space="preserve"/>
      </w:r>
    </w:p>
    <w:p>
      <w:pPr>
        <w:spacing w:before="8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4 — Round 2: End User Feedback</w:t>
      </w:r>
    </w:p>
    <w:p>
      <w:pPr>
        <w:spacing w:before="40" w:after="120"/>
        <w:jc w:val="left"/>
      </w:pPr>
      <w:r>
        <w:rPr>
          <w:rFonts w:ascii="Arial" w:cs="Arial" w:eastAsia="Arial" w:hAnsi="Arial"/>
          <w:b w:val="false"/>
          <w:bCs w:val="false"/>
          <w:i w:val="false"/>
          <w:iCs w:val="false"/>
          <w:color w:val="757880"/>
          <w:sz w:val="22"/>
          <w:szCs w:val="22"/>
        </w:rPr>
        <w:t xml:space="preserve">Participants: Class of 2005 Alumna, Class of 1988 Alumnus, Planned Gift Prospect (age 72). These participants reviewed orbit-giving.html (the public donor-facing platform) and representative communications generated by the AI agents.</w:t>
      </w:r>
    </w:p>
    <w:p>
      <w:pPr>
        <w:pStyle w:val="Heading2"/>
        <w:pBdr>
          <w:bottom w:val="single" w:color="2A8C7E" w:sz="4" w:space="4"/>
        </w:pBdr>
        <w:spacing w:before="280" w:after="120"/>
      </w:pPr>
      <w:r>
        <w:rPr>
          <w:rFonts w:ascii="Arial" w:cs="Arial" w:eastAsia="Arial" w:hAnsi="Arial"/>
          <w:b/>
          <w:bCs/>
          <w:color w:val="2A8C7E"/>
          <w:sz w:val="26"/>
          <w:szCs w:val="26"/>
        </w:rPr>
        <w:t xml:space="preserve">4.1 — Giving Experience (orbit-giving.html)</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giving page is clean and fast. I donated in under 90 seconds. It asked me how I wanted to be recognised and that felt respectful." — Class of 2005 Alumna</w:t>
      </w:r>
    </w:p>
    <w:p>
      <w:pPr>
        <w:pStyle w:val="ListParagraph"/>
        <w:numPr>
          <w:ilvl w:val="0"/>
          <w:numId w:val="3"/>
        </w:numPr>
        <w:spacing w:before="30" w:after="50"/>
      </w:pPr>
      <w:r>
        <w:rPr>
          <w:rFonts w:ascii="Arial" w:cs="Arial" w:eastAsia="Arial" w:hAnsi="Arial"/>
          <w:b w:val="false"/>
          <w:bCs w:val="false"/>
          <w:color w:val="1A1D23"/>
          <w:sz w:val="22"/>
          <w:szCs w:val="22"/>
        </w:rPr>
        <w:t xml:space="preserve">"The impact stories are what got me to give more than I planned. I saw the scholarship story, increased my gift from $250 to $500." — Class of 2005 Alumna</w:t>
      </w:r>
    </w:p>
    <w:p>
      <w:pPr>
        <w:pStyle w:val="ListParagraph"/>
        <w:numPr>
          <w:ilvl w:val="0"/>
          <w:numId w:val="3"/>
        </w:numPr>
        <w:spacing w:before="30" w:after="50"/>
      </w:pPr>
      <w:r>
        <w:rPr>
          <w:rFonts w:ascii="Arial" w:cs="Arial" w:eastAsia="Arial" w:hAnsi="Arial"/>
          <w:b w:val="false"/>
          <w:bCs w:val="false"/>
          <w:color w:val="1A1D23"/>
          <w:sz w:val="22"/>
          <w:szCs w:val="22"/>
        </w:rPr>
        <w:t xml:space="preserve">"It let me set up a monthly gift without making me feel pressured. The interface was calm." — Class of 1988 Alumnus</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giving page (orbit-giving.html) does not currently connect to the live backend. Gifts submitted through the public form are not written to the database. This means the form cannot be used in production. "If this is what donors use, it has to actually work." — Engineering Lead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received an email that started with 'Dear Patricia' and referenced my last gift amount correctly, but then mentioned a programme I have never been interested in. The personalisation felt halfway done — the data was right but the insight was wrong." — Class of 2005 Alumna (reviewing a VEO-generated cultivation email)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P2</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don't know who is sending me these emails. Is it a person or a computer? I think I deserve to know." — Class of 1988 Alumnus. Note: AI disclosure is present in the dashboard for operators but is NOT included in donor-facing communications. This is both an ethical issue and an emerging legal risk.</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4.2 — Planned Gift Prospect Experience</w:t>
      </w:r>
    </w:p>
    <w:p>
      <w:pPr>
        <w:pStyle w:val="Heading3"/>
        <w:spacing w:before="200" w:after="80"/>
      </w:pPr>
      <w:r>
        <w:rPr>
          <w:rFonts w:ascii="Arial" w:cs="Arial" w:eastAsia="Arial" w:hAnsi="Arial"/>
          <w:b/>
          <w:bCs/>
          <w:color w:val="1A1D23"/>
          <w:sz w:val="22"/>
          <w:szCs w:val="22"/>
        </w:rPr>
        <w:t xml:space="preserve">What worked well</w:t>
      </w:r>
    </w:p>
    <w:p>
      <w:pPr>
        <w:pStyle w:val="ListParagraph"/>
        <w:numPr>
          <w:ilvl w:val="0"/>
          <w:numId w:val="3"/>
        </w:numPr>
        <w:spacing w:before="30" w:after="50"/>
      </w:pPr>
      <w:r>
        <w:rPr>
          <w:rFonts w:ascii="Arial" w:cs="Arial" w:eastAsia="Arial" w:hAnsi="Arial"/>
          <w:b w:val="false"/>
          <w:bCs w:val="false"/>
          <w:color w:val="1A1D23"/>
          <w:sz w:val="22"/>
          <w:szCs w:val="22"/>
        </w:rPr>
        <w:t xml:space="preserve">"The materials I received were not pushy. They explained the gift vehicle clearly and gave me time to think." — Planned Gift Prospect (age 72)</w:t>
      </w:r>
    </w:p>
    <w:p>
      <w:pPr>
        <w:spacing w:before="80" w:after="0"/>
      </w:pPr>
      <w:r>
        <w:t xml:space="preserve"/>
      </w:r>
    </w:p>
    <w:p>
      <w:pPr>
        <w:pStyle w:val="Heading3"/>
        <w:spacing w:before="200" w:after="80"/>
      </w:pPr>
      <w:r>
        <w:rPr>
          <w:rFonts w:ascii="Arial" w:cs="Arial" w:eastAsia="Arial" w:hAnsi="Arial"/>
          <w:b/>
          <w:bCs/>
          <w:color w:val="1A1D23"/>
          <w:sz w:val="22"/>
          <w:szCs w:val="22"/>
        </w:rPr>
        <w:t xml:space="preserve">Issues raised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was contacted three times in two weeks about including the university in my estate. The first time was welcome. By the third time I felt harassed. Is there a maximum contact frequency for this type of outreach?" — Planned Gift Prospect (age 72). Note: VPGO currently has no hard contact frequency cap for planned gift cultivation. This is a reputational and legal risk.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found out my giving history was being used to calculate what I might leave in my will. I'm not sure I agreed to that." — Planned Gift Prospect (age 72). Note: The privacy policy and consent framework for AI-driven wealth screening and bequest likelihood scoring does not yet exist. This is a FERPA-adjacent risk.</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4.3 — Overall Donor Trust Signals</w:t>
      </w:r>
    </w:p>
    <w:p>
      <w:pPr>
        <w:spacing w:before="40" w:after="80"/>
        <w:jc w:val="left"/>
      </w:pPr>
      <w:r>
        <w:rPr>
          <w:rFonts w:ascii="Arial" w:cs="Arial" w:eastAsia="Arial" w:hAnsi="Arial"/>
          <w:b w:val="false"/>
          <w:bCs w:val="false"/>
          <w:i w:val="false"/>
          <w:iCs w:val="false"/>
          <w:color w:val="1A1D23"/>
          <w:sz w:val="22"/>
          <w:szCs w:val="22"/>
        </w:rPr>
        <w:t xml:space="preserve">The three end user participants converged on four trust requirements that must be present before they would engage confidently with Orbit-powered communications:</w:t>
      </w:r>
    </w:p>
    <w:p>
      <w:pPr>
        <w:pStyle w:val="ListParagraph"/>
        <w:numPr>
          <w:ilvl w:val="0"/>
          <w:numId w:val="3"/>
        </w:numPr>
        <w:spacing w:before="30" w:after="50"/>
      </w:pPr>
      <w:r>
        <w:rPr>
          <w:rFonts w:ascii="Arial" w:cs="Arial" w:eastAsia="Arial" w:hAnsi="Arial"/>
          <w:b w:val="false"/>
          <w:bCs w:val="false"/>
          <w:color w:val="1A1D23"/>
          <w:sz w:val="22"/>
          <w:szCs w:val="22"/>
        </w:rPr>
        <w:t xml:space="preserve">They must know if a message was written by AI or a human. Transparency is non-negotiable.</w:t>
      </w:r>
    </w:p>
    <w:p>
      <w:pPr>
        <w:pStyle w:val="ListParagraph"/>
        <w:numPr>
          <w:ilvl w:val="0"/>
          <w:numId w:val="3"/>
        </w:numPr>
        <w:spacing w:before="30" w:after="50"/>
      </w:pPr>
      <w:r>
        <w:rPr>
          <w:rFonts w:ascii="Arial" w:cs="Arial" w:eastAsia="Arial" w:hAnsi="Arial"/>
          <w:b w:val="false"/>
          <w:bCs w:val="false"/>
          <w:color w:val="1A1D23"/>
          <w:sz w:val="22"/>
          <w:szCs w:val="22"/>
        </w:rPr>
        <w:t xml:space="preserve">They must be able to unsubscribe from all AI-generated outreach with one click.</w:t>
      </w:r>
    </w:p>
    <w:p>
      <w:pPr>
        <w:pStyle w:val="ListParagraph"/>
        <w:numPr>
          <w:ilvl w:val="0"/>
          <w:numId w:val="3"/>
        </w:numPr>
        <w:spacing w:before="30" w:after="50"/>
      </w:pPr>
      <w:r>
        <w:rPr>
          <w:rFonts w:ascii="Arial" w:cs="Arial" w:eastAsia="Arial" w:hAnsi="Arial"/>
          <w:b w:val="false"/>
          <w:bCs w:val="false"/>
          <w:color w:val="1A1D23"/>
          <w:sz w:val="22"/>
          <w:szCs w:val="22"/>
        </w:rPr>
        <w:t xml:space="preserve">They must be told what data is held about them and be able to request its deletion.</w:t>
      </w:r>
    </w:p>
    <w:p>
      <w:pPr>
        <w:pStyle w:val="ListParagraph"/>
        <w:numPr>
          <w:ilvl w:val="0"/>
          <w:numId w:val="3"/>
        </w:numPr>
        <w:spacing w:before="30" w:after="50"/>
      </w:pPr>
      <w:r>
        <w:rPr>
          <w:rFonts w:ascii="Arial" w:cs="Arial" w:eastAsia="Arial" w:hAnsi="Arial"/>
          <w:b w:val="false"/>
          <w:bCs w:val="false"/>
          <w:color w:val="1A1D23"/>
          <w:sz w:val="22"/>
          <w:szCs w:val="22"/>
        </w:rPr>
        <w:t xml:space="preserve">Contact frequency must be capped and honoured — particularly for legacy/planned gift outreach.</w:t>
      </w:r>
    </w:p>
    <w:p>
      <w:pPr>
        <w:spacing w:before="8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5 — Round 3: Technology &amp; Security Review</w:t>
      </w:r>
    </w:p>
    <w:p>
      <w:pPr>
        <w:spacing w:before="40" w:after="120"/>
        <w:jc w:val="left"/>
      </w:pPr>
      <w:r>
        <w:rPr>
          <w:rFonts w:ascii="Arial" w:cs="Arial" w:eastAsia="Arial" w:hAnsi="Arial"/>
          <w:b w:val="false"/>
          <w:bCs w:val="false"/>
          <w:i w:val="false"/>
          <w:iCs w:val="false"/>
          <w:color w:val="757880"/>
          <w:sz w:val="22"/>
          <w:szCs w:val="22"/>
        </w:rPr>
        <w:t xml:space="preserve">Participants: Advancement Data Manager, University IT Director, Engineering Lead. This round reviewed backend architecture, data flows, security posture, and infrastructure readiness.</w:t>
      </w:r>
    </w:p>
    <w:p>
      <w:pPr>
        <w:pStyle w:val="Heading2"/>
        <w:pBdr>
          <w:bottom w:val="single" w:color="2A8C7E" w:sz="4" w:space="4"/>
        </w:pBdr>
        <w:spacing w:before="280" w:after="120"/>
      </w:pPr>
      <w:r>
        <w:rPr>
          <w:rFonts w:ascii="Arial" w:cs="Arial" w:eastAsia="Arial" w:hAnsi="Arial"/>
          <w:b/>
          <w:bCs/>
          <w:color w:val="2A8C7E"/>
          <w:sz w:val="26"/>
          <w:szCs w:val="26"/>
        </w:rPr>
        <w:t xml:space="preserve">5.1 — Backend Architecture Review</w:t>
      </w:r>
    </w:p>
    <w:p>
      <w:pPr>
        <w:pStyle w:val="Heading3"/>
        <w:spacing w:before="200" w:after="80"/>
      </w:pPr>
      <w:r>
        <w:rPr>
          <w:rFonts w:ascii="Arial" w:cs="Arial" w:eastAsia="Arial" w:hAnsi="Arial"/>
          <w:b/>
          <w:bCs/>
          <w:color w:val="1A1D23"/>
          <w:sz w:val="22"/>
          <w:szCs w:val="22"/>
        </w:rPr>
        <w:t xml:space="preserve">What is built and solid</w:t>
      </w:r>
    </w:p>
    <w:p>
      <w:pPr>
        <w:pStyle w:val="ListParagraph"/>
        <w:numPr>
          <w:ilvl w:val="0"/>
          <w:numId w:val="3"/>
        </w:numPr>
        <w:spacing w:before="30" w:after="50"/>
      </w:pPr>
      <w:r>
        <w:rPr>
          <w:rFonts w:ascii="Arial" w:cs="Arial" w:eastAsia="Arial" w:hAnsi="Arial"/>
          <w:b w:val="false"/>
          <w:bCs w:val="false"/>
          <w:color w:val="1A1D23"/>
          <w:sz w:val="22"/>
          <w:szCs w:val="22"/>
        </w:rPr>
        <w:t xml:space="preserve">55 backend source files totalling approximately 520KB of production-quality Node.js — well above the threshold for a first-version SaaS platform.</w:t>
      </w:r>
    </w:p>
    <w:p>
      <w:pPr>
        <w:pStyle w:val="ListParagraph"/>
        <w:numPr>
          <w:ilvl w:val="0"/>
          <w:numId w:val="3"/>
        </w:numPr>
        <w:spacing w:before="30" w:after="50"/>
      </w:pPr>
      <w:r>
        <w:rPr>
          <w:rFonts w:ascii="Arial" w:cs="Arial" w:eastAsia="Arial" w:hAnsi="Arial"/>
          <w:b w:val="false"/>
          <w:bCs w:val="false"/>
          <w:color w:val="1A1D23"/>
          <w:sz w:val="22"/>
          <w:szCs w:val="22"/>
        </w:rPr>
        <w:t xml:space="preserve">17 API routes mounted; middleware stack (auth, tenantScope, rateLimit, helmet, CORS) correctly configured.</w:t>
      </w:r>
    </w:p>
    <w:p>
      <w:pPr>
        <w:pStyle w:val="ListParagraph"/>
        <w:numPr>
          <w:ilvl w:val="0"/>
          <w:numId w:val="3"/>
        </w:numPr>
        <w:spacing w:before="30" w:after="50"/>
      </w:pPr>
      <w:r>
        <w:rPr>
          <w:rFonts w:ascii="Arial" w:cs="Arial" w:eastAsia="Arial" w:hAnsi="Arial"/>
          <w:b w:val="false"/>
          <w:bCs w:val="false"/>
          <w:color w:val="1A1D23"/>
          <w:sz w:val="22"/>
          <w:szCs w:val="22"/>
        </w:rPr>
        <w:t xml:space="preserve">Payment gateway supports 6 providers (Stripe, Authorize.net, TouchNet, CashNet, BBMS, PayPal) with PCI DSS SAQ-A architecture.</w:t>
      </w:r>
    </w:p>
    <w:p>
      <w:pPr>
        <w:pStyle w:val="ListParagraph"/>
        <w:numPr>
          <w:ilvl w:val="0"/>
          <w:numId w:val="3"/>
        </w:numPr>
        <w:spacing w:before="30" w:after="50"/>
      </w:pPr>
      <w:r>
        <w:rPr>
          <w:rFonts w:ascii="Arial" w:cs="Arial" w:eastAsia="Arial" w:hAnsi="Arial"/>
          <w:b w:val="false"/>
          <w:bCs w:val="false"/>
          <w:color w:val="1A1D23"/>
          <w:sz w:val="22"/>
          <w:szCs w:val="22"/>
        </w:rPr>
        <w:t xml:space="preserve">9 cron jobs running daily scoring, ingestion, VSO queue building, sustainer churn detection, and gift confirmation.</w:t>
      </w:r>
    </w:p>
    <w:p>
      <w:pPr>
        <w:pStyle w:val="ListParagraph"/>
        <w:numPr>
          <w:ilvl w:val="0"/>
          <w:numId w:val="3"/>
        </w:numPr>
        <w:spacing w:before="30" w:after="50"/>
      </w:pPr>
      <w:r>
        <w:rPr>
          <w:rFonts w:ascii="Arial" w:cs="Arial" w:eastAsia="Arial" w:hAnsi="Arial"/>
          <w:b w:val="false"/>
          <w:bCs w:val="false"/>
          <w:color w:val="1A1D23"/>
          <w:sz w:val="22"/>
          <w:szCs w:val="22"/>
        </w:rPr>
        <w:t xml:space="preserve">Three database migration sets (004, 005, 006) covering predictive engine, payment gateway, and giving platform tables.</w:t>
      </w:r>
    </w:p>
    <w:p>
      <w:pPr>
        <w:spacing w:before="80" w:after="0"/>
      </w:pPr>
      <w:r>
        <w:t xml:space="preserve"/>
      </w:r>
    </w:p>
    <w:p>
      <w:pPr>
        <w:pStyle w:val="Heading3"/>
        <w:spacing w:before="200" w:after="80"/>
      </w:pPr>
      <w:r>
        <w:rPr>
          <w:rFonts w:ascii="Arial" w:cs="Arial" w:eastAsia="Arial" w:hAnsi="Arial"/>
          <w:b/>
          <w:bCs/>
          <w:color w:val="1A1D23"/>
          <w:sz w:val="22"/>
          <w:szCs w:val="22"/>
        </w:rPr>
        <w:t xml:space="preserve">Critical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6 built routes (giving, payment, plannedGiving, vso, tenant, webhooks) are imported in server.js but NOT mounted with app.use(). This means: payment processing, planned giving, VSO intelligence, and live giving are silently unreachable in production. "We have six fully-built engines that are not plugged in." — Engineering Lead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Backend version string still reads "v1.4.0" in the health check and server startup log despite 4 subsequent versions of new features. This will cause confusion in production monitoring and incident response.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production deployment exists. The backend has never run outside a local dev environment. No Railway, Render, or AWS instance is provisioned. "You cannot sell a SaaS that does not have a server." — IT Director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orbit-giving.html donor-facing form submits to a simulated endpoint. It is not wired to /api/v1/giving/give. Gifts submitted are lost. SSE live totals are also simulated, not real.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CRM OAuth tokens (Salesforce, RE NXT) expire every 2 hours and there is no token refresh logic. After 2 hours, every CRM integration call will fail silently. Data sync will stale without any alert to the operator.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error monitoring (Sentry or equivalent) is installed. If the production API throws a 500, there is no alert, no stack trace capture, and no way to debug remotely.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P2</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database has no row-level security (RLS) configured at the database layer. Tenant isolation relies entirely on application middleware. A middleware bug could expose cross-tenant data. "This is acceptable for early pilots but must be fixed before enterprise contracts." — IT Director</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5.2 — FERPA &amp; Compliance Review</w:t>
      </w:r>
    </w:p>
    <w:p>
      <w:pPr>
        <w:pStyle w:val="Heading3"/>
        <w:spacing w:before="200" w:after="80"/>
      </w:pPr>
      <w:r>
        <w:rPr>
          <w:rFonts w:ascii="Arial" w:cs="Arial" w:eastAsia="Arial" w:hAnsi="Arial"/>
          <w:b/>
          <w:bCs/>
          <w:color w:val="1A1D23"/>
          <w:sz w:val="22"/>
          <w:szCs w:val="22"/>
        </w:rPr>
        <w:t xml:space="preserve">What is in place</w:t>
      </w:r>
    </w:p>
    <w:p>
      <w:pPr>
        <w:pStyle w:val="ListParagraph"/>
        <w:numPr>
          <w:ilvl w:val="0"/>
          <w:numId w:val="3"/>
        </w:numPr>
        <w:spacing w:before="30" w:after="50"/>
      </w:pPr>
      <w:r>
        <w:rPr>
          <w:rFonts w:ascii="Arial" w:cs="Arial" w:eastAsia="Arial" w:hAnsi="Arial"/>
          <w:b w:val="false"/>
          <w:bCs w:val="false"/>
          <w:color w:val="1A1D23"/>
          <w:sz w:val="22"/>
          <w:szCs w:val="22"/>
        </w:rPr>
        <w:t xml:space="preserve">Audit log with hash chain integrity — every data access, AI generation, and approval action is logged and tamper-evident.</w:t>
      </w:r>
    </w:p>
    <w:p>
      <w:pPr>
        <w:pStyle w:val="ListParagraph"/>
        <w:numPr>
          <w:ilvl w:val="0"/>
          <w:numId w:val="3"/>
        </w:numPr>
        <w:spacing w:before="30" w:after="50"/>
      </w:pPr>
      <w:r>
        <w:rPr>
          <w:rFonts w:ascii="Arial" w:cs="Arial" w:eastAsia="Arial" w:hAnsi="Arial"/>
          <w:b w:val="false"/>
          <w:bCs w:val="false"/>
          <w:color w:val="1A1D23"/>
          <w:sz w:val="22"/>
          <w:szCs w:val="22"/>
        </w:rPr>
        <w:t xml:space="preserve">RBAC system with 7 distinct roles (superadmin → read-only) correctly scoped to page-level access.</w:t>
      </w:r>
    </w:p>
    <w:p>
      <w:pPr>
        <w:pStyle w:val="ListParagraph"/>
        <w:numPr>
          <w:ilvl w:val="0"/>
          <w:numId w:val="3"/>
        </w:numPr>
        <w:spacing w:before="30" w:after="50"/>
      </w:pPr>
      <w:r>
        <w:rPr>
          <w:rFonts w:ascii="Arial" w:cs="Arial" w:eastAsia="Arial" w:hAnsi="Arial"/>
          <w:b w:val="false"/>
          <w:bCs w:val="false"/>
          <w:color w:val="1A1D23"/>
          <w:sz w:val="22"/>
          <w:szCs w:val="22"/>
        </w:rPr>
        <w:t xml:space="preserve">Compliance page with FERPA, SOC 2, and GDPR status tracking.</w:t>
      </w:r>
    </w:p>
    <w:p>
      <w:pPr>
        <w:pStyle w:val="ListParagraph"/>
        <w:numPr>
          <w:ilvl w:val="0"/>
          <w:numId w:val="3"/>
        </w:numPr>
        <w:spacing w:before="30" w:after="50"/>
      </w:pPr>
      <w:r>
        <w:rPr>
          <w:rFonts w:ascii="Arial" w:cs="Arial" w:eastAsia="Arial" w:hAnsi="Arial"/>
          <w:b w:val="false"/>
          <w:bCs w:val="false"/>
          <w:color w:val="1A1D23"/>
          <w:sz w:val="22"/>
          <w:szCs w:val="22"/>
        </w:rPr>
        <w:t xml:space="preserve">PCI DSS SAQ-A architecture document (Orbit_Payment_Gateway_PCI_Spec.docx) complete.</w:t>
      </w:r>
    </w:p>
    <w:p>
      <w:pPr>
        <w:spacing w:before="80" w:after="0"/>
      </w:pPr>
      <w:r>
        <w:t xml:space="preserve"/>
      </w:r>
    </w:p>
    <w:p>
      <w:pPr>
        <w:pStyle w:val="Heading3"/>
        <w:spacing w:before="200" w:after="80"/>
      </w:pPr>
      <w:r>
        <w:rPr>
          <w:rFonts w:ascii="Arial" w:cs="Arial" w:eastAsia="Arial" w:hAnsi="Arial"/>
          <w:b/>
          <w:bCs/>
          <w:color w:val="1A1D23"/>
          <w:sz w:val="22"/>
          <w:szCs w:val="22"/>
        </w:rPr>
        <w:t xml:space="preserve">Gaps requiring resolution before any university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Privacy Policy exists. No Terms of Service exists. No Data Processing Agreement (DPA) template exists. A university cannot execute a contract without all three. "We cannot sign a purchase order without a DPA." — IT Director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Planned gift prospect data (wealth estimates, bequest likelihood scores) is accessible to all officer-role users. This violates the principle of minimum necessary access under FERPA. Planned giving data must be gated to Planned Giving Officers and Advancement leadership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P0</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AI-generated donor outreach emails do not carry any disclosure that they were created by AI. Several states (CA, CO, IL) are moving toward mandatory AI disclosure requirements. Proactive disclosure is also the ethical standard.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VPGO contact frequency cap is enforced. Planned gift prospects can receive unlimited AI-generated outreach. A configurable maximum of 2 contacts per 30 days is the industry standard for this sensitive category.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P1</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 formal FERPA assessment has been completed. A FERPA risk assessment from an education law attorney is required before any US university can deploy a platform that processes student records.</w:t>
            </w:r>
          </w:p>
        </w:tc>
      </w:tr>
    </w:tbl>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5.3 — Infrastructure &amp; Performance</w:t>
      </w:r>
    </w:p>
    <w:p>
      <w:pPr>
        <w:pStyle w:val="ListParagraph"/>
        <w:numPr>
          <w:ilvl w:val="0"/>
          <w:numId w:val="3"/>
        </w:numPr>
        <w:spacing w:before="30" w:after="50"/>
      </w:pPr>
      <w:r>
        <w:rPr>
          <w:rFonts w:ascii="Arial" w:cs="Arial" w:eastAsia="Arial" w:hAnsi="Arial"/>
          <w:b w:val="false"/>
          <w:bCs w:val="false"/>
          <w:color w:val="1A1D23"/>
          <w:sz w:val="22"/>
          <w:szCs w:val="22"/>
        </w:rPr>
        <w:t xml:space="preserve">No load testing has been run. Giving Day scenarios (1,000+ simultaneous donors) are not validated.</w:t>
      </w:r>
    </w:p>
    <w:p>
      <w:pPr>
        <w:pStyle w:val="ListParagraph"/>
        <w:numPr>
          <w:ilvl w:val="0"/>
          <w:numId w:val="3"/>
        </w:numPr>
        <w:spacing w:before="30" w:after="50"/>
      </w:pPr>
      <w:r>
        <w:rPr>
          <w:rFonts w:ascii="Arial" w:cs="Arial" w:eastAsia="Arial" w:hAnsi="Arial"/>
          <w:b w:val="false"/>
          <w:bCs w:val="false"/>
          <w:color w:val="1A1D23"/>
          <w:sz w:val="22"/>
          <w:szCs w:val="22"/>
        </w:rPr>
        <w:t xml:space="preserve">No CDN is configured for orbit-giving.html. A high-traffic Giving Day event served from a single origin will introduce latency spikes.</w:t>
      </w:r>
    </w:p>
    <w:p>
      <w:pPr>
        <w:pStyle w:val="ListParagraph"/>
        <w:numPr>
          <w:ilvl w:val="0"/>
          <w:numId w:val="3"/>
        </w:numPr>
        <w:spacing w:before="30" w:after="50"/>
      </w:pPr>
      <w:r>
        <w:rPr>
          <w:rFonts w:ascii="Arial" w:cs="Arial" w:eastAsia="Arial" w:hAnsi="Arial"/>
          <w:b w:val="false"/>
          <w:bCs w:val="false"/>
          <w:color w:val="1A1D23"/>
          <w:sz w:val="22"/>
          <w:szCs w:val="22"/>
        </w:rPr>
        <w:t xml:space="preserve">The single-HTML-file architecture of the dashboard (25,646 lines, 1.5MB) will cause initial parse times of 800ms–1.4 seconds on slower devices. Acceptable for a desktop advancement tool; noted as a future refactor target.</w:t>
      </w:r>
    </w:p>
    <w:p>
      <w:pPr>
        <w:pStyle w:val="ListParagraph"/>
        <w:numPr>
          <w:ilvl w:val="0"/>
          <w:numId w:val="3"/>
        </w:numPr>
        <w:spacing w:before="30" w:after="50"/>
      </w:pPr>
      <w:r>
        <w:rPr>
          <w:rFonts w:ascii="Arial" w:cs="Arial" w:eastAsia="Arial" w:hAnsi="Arial"/>
          <w:b w:val="false"/>
          <w:bCs w:val="false"/>
          <w:color w:val="1A1D23"/>
          <w:sz w:val="22"/>
          <w:szCs w:val="22"/>
        </w:rPr>
        <w:t xml:space="preserve">Database connection pooling is configured via pg (Postgres) — appropriate for the current scale. Redis is referenced in config but not confirmed active.</w:t>
      </w:r>
    </w:p>
    <w:p>
      <w:pPr>
        <w:spacing w:before="8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6 — Round 4: Go-To-Market Readiness</w:t>
      </w:r>
    </w:p>
    <w:p>
      <w:pPr>
        <w:spacing w:before="40" w:after="120"/>
        <w:jc w:val="left"/>
      </w:pPr>
      <w:r>
        <w:rPr>
          <w:rFonts w:ascii="Arial" w:cs="Arial" w:eastAsia="Arial" w:hAnsi="Arial"/>
          <w:b w:val="false"/>
          <w:bCs w:val="false"/>
          <w:i w:val="false"/>
          <w:iCs w:val="false"/>
          <w:color w:val="757880"/>
          <w:sz w:val="22"/>
          <w:szCs w:val="22"/>
        </w:rPr>
        <w:t xml:space="preserve">Participants: VP Advancement (as buyer), Director Annual Giving, Engineering Lead. Focus: competitive positioning, pricing reaction, pilot readiness.</w:t>
      </w:r>
    </w:p>
    <w:p>
      <w:pPr>
        <w:pStyle w:val="Heading2"/>
        <w:pBdr>
          <w:bottom w:val="single" w:color="2A8C7E" w:sz="4" w:space="4"/>
        </w:pBdr>
        <w:spacing w:before="280" w:after="120"/>
      </w:pPr>
      <w:r>
        <w:rPr>
          <w:rFonts w:ascii="Arial" w:cs="Arial" w:eastAsia="Arial" w:hAnsi="Arial"/>
          <w:b/>
          <w:bCs/>
          <w:color w:val="2A8C7E"/>
          <w:sz w:val="26"/>
          <w:szCs w:val="26"/>
        </w:rPr>
        <w:t xml:space="preserve">6.1 — Competitive Positioning vs. Givzey</w:t>
      </w:r>
    </w:p>
    <w:p>
      <w:pPr>
        <w:pStyle w:val="Heading3"/>
        <w:spacing w:before="200" w:after="80"/>
      </w:pPr>
      <w:r>
        <w:rPr>
          <w:rFonts w:ascii="Arial" w:cs="Arial" w:eastAsia="Arial" w:hAnsi="Arial"/>
          <w:b/>
          <w:bCs/>
          <w:color w:val="1A1D23"/>
          <w:sz w:val="22"/>
          <w:szCs w:val="22"/>
        </w:rPr>
        <w:t xml:space="preserve">How Orbit compares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Dimension</w:t>
            </w:r>
          </w:p>
        </w:tc>
        <w:tc>
          <w:tcPr>
            <w:tcW w:type="dxa" w:w="3280"/>
            <w:tcBorders>
              <w:top w:val="single" w:color="757880" w:sz="1"/>
              <w:left w:val="single" w:color="757880" w:sz="1"/>
              <w:bottom w:val="single" w:color="757880" w:sz="1"/>
              <w:right w:val="single" w:color="757880" w:sz="1"/>
            </w:tcBorders>
            <w:shd w:fill="757880"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Givzey / Version2</w:t>
            </w:r>
          </w:p>
        </w:tc>
        <w:tc>
          <w:tcPr>
            <w:tcW w:type="dxa" w:w="3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Orbit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AI Agents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VEO, VSO, VPGO, VCO (4 distinct)</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VEO, VSO, VCO (3, less granular)</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VSO Stewardship</w:t>
            </w:r>
          </w:p>
        </w:tc>
        <w:tc>
          <w:tcPr>
            <w:tcW w:type="dxa" w:w="3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7 donor archetypes, RHS decay model, planned gift covenant reinforcement</w:t>
            </w:r>
          </w:p>
        </w:tc>
        <w:tc>
          <w:tcPr>
            <w:tcW w:type="dxa" w:w="3280"/>
            <w:tcBorders>
              <w:top w:val="single" w:color="CCCCCC" w:sz="1"/>
              <w:left w:val="single" w:color="CCCCCC" w:sz="1"/>
              <w:bottom w:val="single" w:color="CCCCCC" w:sz="1"/>
              <w:right w:val="single" w:color="CCCCCC" w:sz="1"/>
            </w:tcBorders>
            <w:shd w:fill="D0EDE9" w:val="clear"/>
            <w:tcMar>
              <w:top w:type="dxa" w:w="80"/>
              <w:left w:type="dxa" w:w="140"/>
              <w:bottom w:type="dxa" w:w="80"/>
              <w:right w:type="dxa" w:w="140"/>
            </w:tcMar>
            <w:vAlign w:val="top"/>
          </w:tcPr>
          <w:p>
            <w:r>
              <w:rPr>
                <w:rFonts w:ascii="Arial" w:cs="Arial" w:eastAsia="Arial" w:hAnsi="Arial"/>
                <w:b/>
                <w:bCs/>
                <w:color w:val="2A8C7E"/>
                <w:sz w:val="19"/>
                <w:szCs w:val="19"/>
              </w:rPr>
              <w:t xml:space="preserve">Generic cadence-based stewardship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Planned Giving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Full VPGO brain, CGA calculator, AI proposals, objection coaching</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Not a core feature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Approval Queue</w:t>
            </w:r>
          </w:p>
        </w:tc>
        <w:tc>
          <w:tcPr>
            <w:tcW w:type="dxa" w:w="3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Full review + edit + bulk (in progress)</w:t>
            </w:r>
          </w:p>
        </w:tc>
        <w:tc>
          <w:tcPr>
            <w:tcW w:type="dxa" w:w="3280"/>
            <w:tcBorders>
              <w:top w:val="single" w:color="CCCCCC" w:sz="1"/>
              <w:left w:val="single" w:color="CCCCCC" w:sz="1"/>
              <w:bottom w:val="single" w:color="CCCCCC" w:sz="1"/>
              <w:right w:val="single" w:color="CCCCCC" w:sz="1"/>
            </w:tcBorders>
            <w:shd w:fill="D0EDE9" w:val="clear"/>
            <w:tcMar>
              <w:top w:type="dxa" w:w="80"/>
              <w:left w:type="dxa" w:w="140"/>
              <w:bottom w:type="dxa" w:w="80"/>
              <w:right w:type="dxa" w:w="140"/>
            </w:tcMar>
            <w:vAlign w:val="top"/>
          </w:tcPr>
          <w:p>
            <w:r>
              <w:rPr>
                <w:rFonts w:ascii="Arial" w:cs="Arial" w:eastAsia="Arial" w:hAnsi="Arial"/>
                <w:b/>
                <w:bCs/>
                <w:color w:val="2A8C7E"/>
                <w:sz w:val="19"/>
                <w:szCs w:val="19"/>
              </w:rPr>
              <w:t xml:space="preserve">Basic approve/reject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Payment Gateways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6 university-native gateways + Stripe</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Stripe only</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Predictive Engine</w:t>
            </w:r>
          </w:p>
        </w:tc>
        <w:tc>
          <w:tcPr>
            <w:tcW w:type="dxa" w:w="3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5-layer 0–100 contact readiness score</w:t>
            </w:r>
          </w:p>
        </w:tc>
        <w:tc>
          <w:tcPr>
            <w:tcW w:type="dxa" w:w="3280"/>
            <w:tcBorders>
              <w:top w:val="single" w:color="CCCCCC" w:sz="1"/>
              <w:left w:val="single" w:color="CCCCCC" w:sz="1"/>
              <w:bottom w:val="single" w:color="CCCCCC" w:sz="1"/>
              <w:right w:val="single" w:color="CCCCCC" w:sz="1"/>
            </w:tcBorders>
            <w:shd w:fill="D0EDE9" w:val="clear"/>
            <w:tcMar>
              <w:top w:type="dxa" w:w="80"/>
              <w:left w:type="dxa" w:w="140"/>
              <w:bottom w:type="dxa" w:w="80"/>
              <w:right w:type="dxa" w:w="140"/>
            </w:tcMar>
            <w:vAlign w:val="top"/>
          </w:tcPr>
          <w:p>
            <w:r>
              <w:rPr>
                <w:rFonts w:ascii="Arial" w:cs="Arial" w:eastAsia="Arial" w:hAnsi="Arial"/>
                <w:b/>
                <w:bCs/>
                <w:color w:val="2A8C7E"/>
                <w:sz w:val="19"/>
                <w:szCs w:val="19"/>
              </w:rPr>
              <w:t xml:space="preserve">Basic propensity scoring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Matching Gifts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Built-in engine with employer lookup</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Not available</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Handwritten Notes</w:t>
            </w:r>
          </w:p>
        </w:tc>
        <w:tc>
          <w:tcPr>
            <w:tcW w:type="dxa" w:w="3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Integrated via Handwrytten API</w:t>
            </w:r>
          </w:p>
        </w:tc>
        <w:tc>
          <w:tcPr>
            <w:tcW w:type="dxa" w:w="3280"/>
            <w:tcBorders>
              <w:top w:val="single" w:color="CCCCCC" w:sz="1"/>
              <w:left w:val="single" w:color="CCCCCC" w:sz="1"/>
              <w:bottom w:val="single" w:color="CCCCCC" w:sz="1"/>
              <w:right w:val="single" w:color="CCCCCC" w:sz="1"/>
            </w:tcBorders>
            <w:shd w:fill="D0EDE9" w:val="clear"/>
            <w:tcMar>
              <w:top w:type="dxa" w:w="80"/>
              <w:left w:type="dxa" w:w="140"/>
              <w:bottom w:type="dxa" w:w="80"/>
              <w:right w:type="dxa" w:w="140"/>
            </w:tcMar>
            <w:vAlign w:val="top"/>
          </w:tcPr>
          <w:p>
            <w:r>
              <w:rPr>
                <w:rFonts w:ascii="Arial" w:cs="Arial" w:eastAsia="Arial" w:hAnsi="Arial"/>
                <w:b/>
                <w:bCs/>
                <w:color w:val="2A8C7E"/>
                <w:sz w:val="19"/>
                <w:szCs w:val="19"/>
              </w:rPr>
              <w:t xml:space="preserve">Not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FERPA Controls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Audit log + RBAC + hash chain</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Standard RBAC only</w:t>
            </w:r>
          </w:p>
        </w:tc>
      </w:tr>
      <w:tr>
        <w:tc>
          <w:tcPr>
            <w:tcW w:type="dxa" w:w="28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Giving Day Platform</w:t>
            </w:r>
          </w:p>
        </w:tc>
        <w:tc>
          <w:tcPr>
            <w:tcW w:type="dxa" w:w="3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Live war room, volunteer management, SSE</w:t>
            </w:r>
          </w:p>
        </w:tc>
        <w:tc>
          <w:tcPr>
            <w:tcW w:type="dxa" w:w="3280"/>
            <w:tcBorders>
              <w:top w:val="single" w:color="CCCCCC" w:sz="1"/>
              <w:left w:val="single" w:color="CCCCCC" w:sz="1"/>
              <w:bottom w:val="single" w:color="CCCCCC" w:sz="1"/>
              <w:right w:val="single" w:color="CCCCCC" w:sz="1"/>
            </w:tcBorders>
            <w:shd w:fill="D0EDE9" w:val="clear"/>
            <w:tcMar>
              <w:top w:type="dxa" w:w="80"/>
              <w:left w:type="dxa" w:w="140"/>
              <w:bottom w:type="dxa" w:w="80"/>
              <w:right w:type="dxa" w:w="140"/>
            </w:tcMar>
            <w:vAlign w:val="top"/>
          </w:tcPr>
          <w:p>
            <w:r>
              <w:rPr>
                <w:rFonts w:ascii="Arial" w:cs="Arial" w:eastAsia="Arial" w:hAnsi="Arial"/>
                <w:b/>
                <w:bCs/>
                <w:color w:val="2A8C7E"/>
                <w:sz w:val="19"/>
                <w:szCs w:val="19"/>
              </w:rPr>
              <w:t xml:space="preserve">Basic campaign tracker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Deployment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Production hosted SaaS</w:t>
            </w:r>
          </w:p>
        </w:tc>
        <w:tc>
          <w:tcPr>
            <w:tcW w:type="dxa" w:w="3280"/>
            <w:tcBorders>
              <w:top w:val="single" w:color="CCCCCC" w:sz="1"/>
              <w:left w:val="single" w:color="CCCCCC" w:sz="1"/>
              <w:bottom w:val="single" w:color="CCCCCC" w:sz="1"/>
              <w:right w:val="single" w:color="CCCCCC" w:sz="1"/>
            </w:tcBorders>
            <w:shd w:fill="E4F4F1" w:val="clear"/>
            <w:tcMar>
              <w:top w:type="dxa" w:w="80"/>
              <w:left w:type="dxa" w:w="140"/>
              <w:bottom w:type="dxa" w:w="80"/>
              <w:right w:type="dxa" w:w="140"/>
            </w:tcMar>
            <w:vAlign w:val="top"/>
          </w:tcPr>
          <w:p>
            <w:r>
              <w:rPr>
                <w:rFonts w:ascii="Arial" w:cs="Arial" w:eastAsia="Arial" w:hAnsi="Arial"/>
                <w:b/>
                <w:bCs/>
                <w:color w:val="2A8C7E"/>
                <w:sz w:val="19"/>
                <w:szCs w:val="19"/>
              </w:rPr>
              <w:t xml:space="preserve">Local only — not yet deployed</w:t>
            </w:r>
          </w:p>
        </w:tc>
      </w:tr>
    </w:tbl>
    <w:p>
      <w:pPr>
        <w:spacing w:before="160" w:after="0"/>
      </w:pPr>
      <w:r>
        <w:t xml:space="preserve"/>
      </w:r>
    </w:p>
    <w:p>
      <w:pPr>
        <w:pStyle w:val="Heading3"/>
        <w:spacing w:before="200" w:after="80"/>
      </w:pPr>
      <w:r>
        <w:rPr>
          <w:rFonts w:ascii="Arial" w:cs="Arial" w:eastAsia="Arial" w:hAnsi="Arial"/>
          <w:b/>
          <w:bCs/>
          <w:color w:val="1A1D23"/>
          <w:sz w:val="22"/>
          <w:szCs w:val="22"/>
        </w:rPr>
        <w:t xml:space="preserve">Buyer reaction to competitive positioning</w:t>
      </w:r>
    </w:p>
    <w:p>
      <w:pPr>
        <w:pStyle w:val="ListParagraph"/>
        <w:numPr>
          <w:ilvl w:val="0"/>
          <w:numId w:val="3"/>
        </w:numPr>
        <w:spacing w:before="30" w:after="50"/>
      </w:pPr>
      <w:r>
        <w:rPr>
          <w:rFonts w:ascii="Arial" w:cs="Arial" w:eastAsia="Arial" w:hAnsi="Arial"/>
          <w:b w:val="false"/>
          <w:bCs w:val="false"/>
          <w:color w:val="1A1D23"/>
          <w:sz w:val="22"/>
          <w:szCs w:val="22"/>
        </w:rPr>
        <w:t xml:space="preserve">"If Orbit is meaningfully better on planned giving and stewardship depth, that is our gap with Givzey and I would evaluate it seriously. Those are our two hardest problems." — VP Advancement (as buyer)</w:t>
      </w:r>
    </w:p>
    <w:p>
      <w:pPr>
        <w:pStyle w:val="ListParagraph"/>
        <w:numPr>
          <w:ilvl w:val="0"/>
          <w:numId w:val="3"/>
        </w:numPr>
        <w:spacing w:before="30" w:after="50"/>
      </w:pPr>
      <w:r>
        <w:rPr>
          <w:rFonts w:ascii="Arial" w:cs="Arial" w:eastAsia="Arial" w:hAnsi="Arial"/>
          <w:b w:val="false"/>
          <w:bCs w:val="false"/>
          <w:color w:val="1A1D23"/>
          <w:sz w:val="22"/>
          <w:szCs w:val="22"/>
        </w:rPr>
        <w:t xml:space="preserve">"The price point at $1,299/month is lower than what I expected. I would have guessed $2,000–$3,000 for this feature set." — VP Advancement</w:t>
      </w:r>
    </w:p>
    <w:p>
      <w:pPr>
        <w:pStyle w:val="ListParagraph"/>
        <w:numPr>
          <w:ilvl w:val="0"/>
          <w:numId w:val="3"/>
        </w:numPr>
        <w:spacing w:before="30" w:after="50"/>
      </w:pPr>
      <w:r>
        <w:rPr>
          <w:rFonts w:ascii="Arial" w:cs="Arial" w:eastAsia="Arial" w:hAnsi="Arial"/>
          <w:b w:val="false"/>
          <w:bCs w:val="false"/>
          <w:color w:val="1A1D23"/>
          <w:sz w:val="22"/>
          <w:szCs w:val="22"/>
        </w:rPr>
        <w:t xml:space="preserve">"I would need to see a FERPA assessment, a DPA, and a live demo before I could bring this to my CFO." — VP Advancement</w:t>
      </w:r>
    </w:p>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6.2 — Pricing Reaction</w:t>
      </w:r>
    </w:p>
    <w:p>
      <w:pPr>
        <w:pStyle w:val="ListParagraph"/>
        <w:numPr>
          <w:ilvl w:val="0"/>
          <w:numId w:val="3"/>
        </w:numPr>
        <w:spacing w:before="30" w:after="50"/>
      </w:pPr>
      <w:r>
        <w:rPr>
          <w:rFonts w:ascii="Arial" w:cs="Arial" w:eastAsia="Arial" w:hAnsi="Arial"/>
          <w:b w:val="false"/>
          <w:bCs w:val="false"/>
          <w:color w:val="1A1D23"/>
          <w:sz w:val="22"/>
          <w:szCs w:val="22"/>
        </w:rPr>
        <w:t xml:space="preserve">Starter $499/month: "This is appropriate for a small alumni association or a community college with a small advancement team." — Director Annual Giving</w:t>
      </w:r>
    </w:p>
    <w:p>
      <w:pPr>
        <w:pStyle w:val="ListParagraph"/>
        <w:numPr>
          <w:ilvl w:val="0"/>
          <w:numId w:val="3"/>
        </w:numPr>
        <w:spacing w:before="30" w:after="50"/>
      </w:pPr>
      <w:r>
        <w:rPr>
          <w:rFonts w:ascii="Arial" w:cs="Arial" w:eastAsia="Arial" w:hAnsi="Arial"/>
          <w:b w:val="false"/>
          <w:bCs w:val="false"/>
          <w:color w:val="1A1D23"/>
          <w:sz w:val="22"/>
          <w:szCs w:val="22"/>
        </w:rPr>
        <w:t xml:space="preserve">Growth $1,299/month: "This is the right price for a mid-size private university. We would evaluate this tier." — VP Advancement</w:t>
      </w:r>
    </w:p>
    <w:p>
      <w:pPr>
        <w:pStyle w:val="ListParagraph"/>
        <w:numPr>
          <w:ilvl w:val="0"/>
          <w:numId w:val="3"/>
        </w:numPr>
        <w:spacing w:before="30" w:after="50"/>
      </w:pPr>
      <w:r>
        <w:rPr>
          <w:rFonts w:ascii="Arial" w:cs="Arial" w:eastAsia="Arial" w:hAnsi="Arial"/>
          <w:b w:val="false"/>
          <w:bCs w:val="false"/>
          <w:color w:val="1A1D23"/>
          <w:sz w:val="22"/>
          <w:szCs w:val="22"/>
        </w:rPr>
        <w:t xml:space="preserve">Enterprise $3,999/month: "Need to understand what is in the enterprise tier that is not in Growth before evaluating. The number is not a barrier if the value is there." — VP Advancement</w:t>
      </w:r>
    </w:p>
    <w:p>
      <w:pPr>
        <w:pStyle w:val="ListParagraph"/>
        <w:numPr>
          <w:ilvl w:val="0"/>
          <w:numId w:val="3"/>
        </w:numPr>
        <w:spacing w:before="30" w:after="50"/>
      </w:pPr>
      <w:r>
        <w:rPr>
          <w:rFonts w:ascii="Arial" w:cs="Arial" w:eastAsia="Arial" w:hAnsi="Arial"/>
          <w:b w:val="false"/>
          <w:bCs w:val="false"/>
          <w:color w:val="1A1D23"/>
          <w:sz w:val="22"/>
          <w:szCs w:val="22"/>
        </w:rPr>
        <w:t xml:space="preserve">90-day pilot at no cost: "This is the right approach for a first product with no track record. We would not pay for something unproven." — VP Advancement</w:t>
      </w:r>
    </w:p>
    <w:p>
      <w:pPr>
        <w:spacing w:before="8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6.3 — Pilot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VERDICT</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Not ready for live pilot. Pilot-readiness requires: (1) Backend deployed to production, (2) giving form wired to live API, (3) Privacy Policy + DPA completed, (4) FERPA assessment initiated, (5) Planned giving RBAC gating enforced, (6) AI disclosure in outreach emails, (7) VPGO contact frequency cap implemented. Estimated time to pilot-ready: 6–8 weeks with focused effort.</w:t>
            </w:r>
          </w:p>
        </w:tc>
      </w:tr>
    </w:tbl>
    <w:p>
      <w:pPr>
        <w:spacing w:before="8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7 — Platform Scorecard</w:t>
      </w:r>
    </w:p>
    <w:p>
      <w:pPr>
        <w:spacing w:before="40" w:after="120"/>
        <w:jc w:val="left"/>
      </w:pPr>
      <w:r>
        <w:rPr>
          <w:rFonts w:ascii="Arial" w:cs="Arial" w:eastAsia="Arial" w:hAnsi="Arial"/>
          <w:b w:val="false"/>
          <w:bCs w:val="false"/>
          <w:i w:val="false"/>
          <w:iCs w:val="false"/>
          <w:color w:val="757880"/>
          <w:sz w:val="22"/>
          <w:szCs w:val="22"/>
        </w:rPr>
        <w:t xml:space="preserve">Consensus ratings from all 14 participant archetypes after full session review. Graded A–F on standard academic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Area</w:t>
            </w:r>
          </w:p>
        </w:tc>
        <w:tc>
          <w:tcPr>
            <w:tcW w:type="dxa" w:w="1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Score</w:t>
            </w:r>
          </w:p>
        </w:tc>
        <w:tc>
          <w:tcPr>
            <w:tcW w:type="dxa" w:w="516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Key Observations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Core Fundraising Workflow</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Outreach queue, approval flow, donor profiles are production-quality. Bulk approve missing.</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AI Agent Intelligence (VEO/VSO)</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A−</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Content quality rated 8.4/10. Needs signal-led openers and feedback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Planned Giving (VPGO)</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Best-in-class feature set. Blocked by FERPA gating and frequency cap gaps.</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Stewardship / VSO Engine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A</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RHS decay model, handwritten notes, archetype system are genuinely differentiated.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Payment &amp; Giving Platform</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6 gateways built. Neither mounted in backend nor wired to public form yet.</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Signal Intelligence / Predictive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Strong 5-layer scoring model. Score explainability needs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UX &amp; Navigation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Post-audit improvements are solid. Bulk approve and 48-hr view still outstanding.</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Mobile Experience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Mobile tab bar fixed. Heavy initial load (1.5MB) limits mobile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Security &amp; Compliance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Audit log and RBAC are strong. Privacy Policy, FERPA, disclosure gaps are P0.</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Backend Reliability</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C+</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6 routes unconnected. No production deployment. No error monitoring. Not shippable.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Go-to-Market Readiness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Strong product narrative. No legal docs, no deployment, no live pilot. 6–8 weeks out.</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End User / Donor Experience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20"/>
                <w:szCs w:val="20"/>
              </w:rPr>
              <w:t xml:space="preserve">Giving page clean. AI disclosure absent. Contact frequency uncontrolled.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OVERALL PLATFORM</w:t>
            </w:r>
          </w:p>
        </w:tc>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4"/>
                <w:szCs w:val="24"/>
              </w:rPr>
              <w:t xml:space="preserve">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20"/>
                <w:szCs w:val="20"/>
              </w:rPr>
              <w:t xml:space="preserve">Sophisticated, differentiated platform. 7 P0 issues must close before first pilot.</w:t>
            </w:r>
          </w:p>
        </w:tc>
      </w:tr>
    </w:tbl>
    <w:p>
      <w:pPr>
        <w:spacing w:before="20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8 — Full Findings Register</w:t>
      </w:r>
    </w:p>
    <w:p>
      <w:pPr>
        <w:spacing w:before="40" w:after="120"/>
        <w:jc w:val="left"/>
      </w:pPr>
      <w:r>
        <w:rPr>
          <w:rFonts w:ascii="Arial" w:cs="Arial" w:eastAsia="Arial" w:hAnsi="Arial"/>
          <w:b w:val="false"/>
          <w:bCs w:val="false"/>
          <w:i w:val="false"/>
          <w:iCs w:val="false"/>
          <w:color w:val="757880"/>
          <w:sz w:val="22"/>
          <w:szCs w:val="22"/>
        </w:rPr>
        <w:t xml:space="preserve">All 47 issues raised during the session, triaged by priority.</w:t>
      </w:r>
    </w:p>
    <w:p>
      <w:pPr>
        <w:pStyle w:val="Heading2"/>
        <w:pBdr>
          <w:bottom w:val="single" w:color="DC2626" w:sz="4" w:space="4"/>
        </w:pBdr>
        <w:spacing w:before="280" w:after="120"/>
      </w:pPr>
      <w:r>
        <w:rPr>
          <w:rFonts w:ascii="Arial" w:cs="Arial" w:eastAsia="Arial" w:hAnsi="Arial"/>
          <w:b/>
          <w:bCs/>
          <w:color w:val="DC2626"/>
          <w:sz w:val="26"/>
          <w:szCs w:val="26"/>
        </w:rPr>
        <w:t xml:space="preserve">P0 — Must Fix Before Pilot (7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Priority</w:t>
            </w:r>
          </w:p>
        </w:tc>
        <w:tc>
          <w:tcPr>
            <w:tcW w:type="dxa" w:w="36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Finding</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Who Raised It</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Resolution</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Backend routes for giving, payment, plannedGiving, vso, tenant, webhooks built but not mounted in server.js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Wire all 6 routes — 2 hour fix</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production deployment — backend has never run outside localhost</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IT Director + Engineering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Deploy to Railway or Render this sprint</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orbit-giving.html form not connected to live /api/v1/giving/give endpoint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Wire form + SSE to real API</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Planned giving data (wealth, bequest scores) visible to all officer roles — FERPA violation</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PG Officer + IT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PG-only RBAC gate to PlannedGivingPage</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AI-generated outreach emails carry no AI disclosure — ethical + emerging legal risk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Comms + Engineering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one-line disclosure footer to all AI drafts</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VPGO has no contact frequency cap for legacy/planned gift outreach</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PG Officer + Engineering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max 2 contacts / 30 days config to VPGO engine</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top"/>
          </w:tcPr>
          <w:p>
            <w:pPr>
              <w:jc w:val="center"/>
            </w:pPr>
            <w:r>
              <w:rPr>
                <w:rFonts w:ascii="Arial" w:cs="Arial" w:eastAsia="Arial" w:hAnsi="Arial"/>
                <w:b/>
                <w:bCs/>
                <w:color w:val="DC2626"/>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Privacy Policy, Terms of Service, or DPA template exists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Legal (external) + Founder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Engage attorney — 3 week drafting cycle</w:t>
            </w:r>
          </w:p>
        </w:tc>
      </w:tr>
    </w:tbl>
    <w:p>
      <w:pPr>
        <w:spacing w:before="160" w:after="0"/>
      </w:pPr>
      <w:r>
        <w:t xml:space="preserve"/>
      </w:r>
    </w:p>
    <w:p>
      <w:pPr>
        <w:pStyle w:val="Heading2"/>
        <w:pBdr>
          <w:bottom w:val="single" w:color="CC6D52" w:sz="4" w:space="4"/>
        </w:pBdr>
        <w:spacing w:before="280" w:after="120"/>
      </w:pPr>
      <w:r>
        <w:rPr>
          <w:rFonts w:ascii="Arial" w:cs="Arial" w:eastAsia="Arial" w:hAnsi="Arial"/>
          <w:b/>
          <w:bCs/>
          <w:color w:val="CC6D52"/>
          <w:sz w:val="26"/>
          <w:szCs w:val="26"/>
        </w:rPr>
        <w:t xml:space="preserve">P1 — Fix Before First Customer Demo (9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Priority</w:t>
            </w:r>
          </w:p>
        </w:tc>
        <w:tc>
          <w:tcPr>
            <w:tcW w:type="dxa" w:w="36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Finding</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Who Raised It</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Resolution</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bulk-approve action in Outreach Queue — officers approve one at a time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MGO B + Director Annual Giving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"Select All + Approve" to OutreachPage</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48-hour forward view on dashboard — officers want tomorrow's queue visible today</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Director Annual Giving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"Tomorrow" section to OverviewPage quick bar</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AI email openers are generic even when rich donor signal exists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MGO 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Update VEO prompt to lead with most recent signal</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feedback loop — officer edits to AI drafts are discarded and never learned from</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MGO B</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Log edits to DB; feed back into per-officer style model</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VSO queue is daily-only — gift events do not trigger real-time queue refresh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Stewardship Coordinator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webhook/event trigger on gift write to VSO queue</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CRM OAuth tokens expire every 2 hours with no refresh logic</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Data Manager + Engineering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Implement token refresh in salesforce + blackbaud integrations</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Sentry or error monitoring installed — blind in production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Install Sentry before first deployment</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AI disclosure absent in donor-facing emails and communications</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All end users</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One-line footer: "This message was drafted with AI assistance"</w:t>
            </w:r>
          </w:p>
        </w:tc>
      </w:tr>
      <w:tr>
        <w:tc>
          <w:tcPr>
            <w:tcW w:type="dxa" w:w="1200"/>
            <w:tcBorders>
              <w:top w:val="single" w:color="CCCCCC" w:sz="1"/>
              <w:left w:val="single" w:color="CCCCCC" w:sz="1"/>
              <w:bottom w:val="single" w:color="CCCCCC" w:sz="1"/>
              <w:right w:val="single" w:color="CCCCCC" w:sz="1"/>
            </w:tcBorders>
            <w:shd w:fill="FAEDE8" w:val="clear"/>
            <w:tcMar>
              <w:top w:type="dxa" w:w="80"/>
              <w:left w:type="dxa" w:w="140"/>
              <w:bottom w:type="dxa" w:w="80"/>
              <w:right w:type="dxa" w:w="140"/>
            </w:tcMar>
            <w:vAlign w:val="top"/>
          </w:tcPr>
          <w:p>
            <w:pPr>
              <w:jc w:val="center"/>
            </w:pPr>
            <w:r>
              <w:rPr>
                <w:rFonts w:ascii="Arial" w:cs="Arial" w:eastAsia="Arial" w:hAnsi="Arial"/>
                <w:b/>
                <w:bCs/>
                <w:color w:val="CC6D52"/>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Planned gift marketing materials have no legal approval workflow</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PG Officer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"Send to Legal Review" state to PG marketing studio</w:t>
            </w:r>
          </w:p>
        </w:tc>
      </w:tr>
    </w:tbl>
    <w:p>
      <w:pPr>
        <w:spacing w:before="160" w:after="0"/>
      </w:pPr>
      <w:r>
        <w:t xml:space="preserve"/>
      </w:r>
    </w:p>
    <w:p>
      <w:pPr>
        <w:pStyle w:val="Heading2"/>
        <w:pBdr>
          <w:bottom w:val="single" w:color="C2853A" w:sz="4" w:space="4"/>
        </w:pBdr>
        <w:spacing w:before="280" w:after="120"/>
      </w:pPr>
      <w:r>
        <w:rPr>
          <w:rFonts w:ascii="Arial" w:cs="Arial" w:eastAsia="Arial" w:hAnsi="Arial"/>
          <w:b/>
          <w:bCs/>
          <w:color w:val="C2853A"/>
          <w:sz w:val="26"/>
          <w:szCs w:val="26"/>
        </w:rPr>
        <w:t xml:space="preserve">P2 — Fix Within 60 Days (15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Priority</w:t>
            </w:r>
          </w:p>
        </w:tc>
        <w:tc>
          <w:tcPr>
            <w:tcW w:type="dxa" w:w="36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Finding</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Who Raised It</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Resolution</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Agent Activity page shows raw log entries — needs executive-friendly narrative view</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VP Advancement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Rebuild AgentsPage summary tab with human narrative</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Ask Engine propensity scores lack explainability — officers cannot justify to leadership</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MGO A</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top-3 score drivers to each donor score card</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Backend version still reads "v1.4.0" — out of sync with actual v2.0.0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Update version string in server.js and health endpoint</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load testing — Giving Day concurrent user capacity unknown</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IT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Run k6 or Artillery load test before first Giving Day</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CDN for orbit-giving.html — high-traffic Giving Day events will have latency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CloudFront or Cloudflare in front of giving page</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Row-level security not enforced at database layer — relies only on middleware</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IT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RLS policies to Postgres after pilot proves model</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FERPA risk assessment completed — required for university contracts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Founder + Legal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Engage education law attorney for FERPA assessment</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E2E tests — smoke test on donation flow would catch wiring bugs earlier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Write Playwright smoke tests: login → give → confirm</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Student Caller (phone dialer) finds it hard to log call outcomes quickly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Student Caller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Streamline outcome logging to one tap + auto-advance</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Donor has no way to see what data is held about them or request deletion</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All end users</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"Your Privacy" link to all donor-facing emails</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"Halfway personalisation" — right donor data, wrong programme reference in emails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Class of 2005 Alumna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interest/programme matching step to VEO prompt chain</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Social Comms page lacks metrics — no way to see if LinkedIn DMs were read</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Comms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delivery/read tracking to SocialCommsPage</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SMS opt-in/opt-out compliance (TCPA) not explicitly enforced in SMS engine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IT Director + Legal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explicit opt-in gate and STOP keyword handler to SMS</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product website — buyers cannot find or evaluate Orbit independently</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Founder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Build 3-page product site before outbound sales begins</w:t>
            </w:r>
          </w:p>
        </w:tc>
      </w:tr>
      <w:tr>
        <w:tc>
          <w:tcPr>
            <w:tcW w:type="dxa" w:w="1200"/>
            <w:tcBorders>
              <w:top w:val="single" w:color="CCCCCC" w:sz="1"/>
              <w:left w:val="single" w:color="CCCCCC" w:sz="1"/>
              <w:bottom w:val="single" w:color="CCCCCC" w:sz="1"/>
              <w:right w:val="single" w:color="CCCCCC" w:sz="1"/>
            </w:tcBorders>
            <w:shd w:fill="FDF2E4" w:val="clear"/>
            <w:tcMar>
              <w:top w:type="dxa" w:w="80"/>
              <w:left w:type="dxa" w:w="140"/>
              <w:bottom w:type="dxa" w:w="80"/>
              <w:right w:type="dxa" w:w="140"/>
            </w:tcMar>
            <w:vAlign w:val="top"/>
          </w:tcPr>
          <w:p>
            <w:pPr>
              <w:jc w:val="center"/>
            </w:pPr>
            <w:r>
              <w:rPr>
                <w:rFonts w:ascii="Arial" w:cs="Arial" w:eastAsia="Arial" w:hAnsi="Arial"/>
                <w:b/>
                <w:bCs/>
                <w:color w:val="C2853A"/>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Demo Tour button is not prominent enough for new users on first login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New Officer (Day 1 user)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Make tour auto-launch on first login, persist state</w:t>
            </w:r>
          </w:p>
        </w:tc>
      </w:tr>
    </w:tbl>
    <w:p>
      <w:pPr>
        <w:spacing w:before="16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P3 — Backlog / Future Sprints (16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Priority</w:t>
            </w:r>
          </w:p>
        </w:tc>
        <w:tc>
          <w:tcPr>
            <w:tcW w:type="dxa" w:w="36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Finding</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Who Raised It</w:t>
            </w:r>
          </w:p>
        </w:tc>
        <w:tc>
          <w:tcPr>
            <w:tcW w:type="dxa" w:w="228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Resolution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No Salesforce NPSP / RE NXT bi-directional write-back tested end-to-end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Data Manager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Run full integration test cycle with test CRM instance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Matching Gifts page lacks integration with Double the Donation API</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Director Annual Giving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Evaluate DTD API partnership for verified employer data</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Phone Dialer has no click-to-call integration — officer must dial manually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Student Caller + MGO 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Integrate Twilio or RingCentral for one-click dialing</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mobile app — officers want to approve outreach from phone while travelling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MGO B</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Progressive Web App wrapper for outreach queue approval</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GiftsPage is thin (183 lines) — gift history and analytics are minimal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Director Annual Giving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Expand with gift timeline, designation breakdown, year-over-year</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calendar integration — next-action dates don't sync to Outlook/Google Cal</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All officers</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iCal export / calendar event creation from task items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Analytics board summary report does not auto-send to VP on Monday morning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VP Advancement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scheduled report delivery via email attachment</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A/B testing for email subject lines — can't measure what performs better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Comms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Add basic subject line variant testing to EmailTemplatesPage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Volunteer management in Giving Day is visual-only — no volunteer comms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Director Annual Giving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Add SMS/email blast to registered volunteers from GivingDayPage</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Orbit Membership (orbit-membership.html) not covered in this session — needs own review</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All</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Schedule dedicated membership module focus group</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Legal entity not yet formed — cannot sign contracts or open bank accounts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Founder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Incorporate as Delaware C-corp before first LOI</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BAA (Business Associate Agreement) with Anthropic for AI data processing</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IT Director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Negotiate BAA with Anthropic before HIPAA-adjacent institutions</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Billing page does not integrate with live Stripe for self-serve subscription mgmt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Engineering Lead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Wire billing page to Stripe Customer Portal</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community or support channel for advancement staff users</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Stewardship Coordinator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Launch Slack community or help desk before pilot cohort</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D23"/>
                <w:sz w:val="20"/>
                <w:szCs w:val="20"/>
              </w:rPr>
              <w:t xml:space="preserve">Superadmin portal not covered in this session — needs its own review</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8"/>
                <w:szCs w:val="18"/>
              </w:rPr>
              <w:t xml:space="preserve">Founder + Engineering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18"/>
                <w:szCs w:val="18"/>
              </w:rPr>
              <w:t xml:space="preserve">Schedule superadmin review session</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40"/>
              <w:bottom w:type="dxa" w:w="80"/>
              <w:right w:type="dxa" w:w="140"/>
            </w:tcMar>
            <w:vAlign w:val="top"/>
          </w:tcPr>
          <w:p>
            <w:pPr>
              <w:jc w:val="center"/>
            </w:pPr>
            <w:r>
              <w:rPr>
                <w:rFonts w:ascii="Arial" w:cs="Arial" w:eastAsia="Arial" w:hAnsi="Arial"/>
                <w:b/>
                <w:bCs/>
                <w:color w:val="16A34A"/>
                <w:sz w:val="20"/>
                <w:szCs w:val="20"/>
              </w:rPr>
              <w:t xml:space="preserve">P3</w:t>
            </w:r>
          </w:p>
        </w:tc>
        <w:tc>
          <w:tcPr>
            <w:tcW w:type="dxa" w:w="3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1A1D23"/>
                <w:sz w:val="20"/>
                <w:szCs w:val="20"/>
              </w:rPr>
              <w:t xml:space="preserve">No product demo video — buyers cannot self-evaluate asynchronously</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8"/>
                <w:szCs w:val="18"/>
              </w:rPr>
              <w:t xml:space="preserve">Founder</w:t>
            </w:r>
          </w:p>
        </w:tc>
        <w:tc>
          <w:tcPr>
            <w:tcW w:type="dxa" w:w="228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18"/>
                <w:szCs w:val="18"/>
              </w:rPr>
              <w:t xml:space="preserve">Record 3-minute Loom walkthrough before any outbound sales</w:t>
            </w:r>
          </w:p>
        </w:tc>
      </w:tr>
    </w:tbl>
    <w:p>
      <w:pPr>
        <w:spacing w:before="20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9 — 90-Day Action Plan</w:t>
      </w:r>
    </w:p>
    <w:p>
      <w:pPr>
        <w:spacing w:before="40" w:after="120"/>
        <w:jc w:val="left"/>
      </w:pPr>
      <w:r>
        <w:rPr>
          <w:rFonts w:ascii="Arial" w:cs="Arial" w:eastAsia="Arial" w:hAnsi="Arial"/>
          <w:b w:val="false"/>
          <w:bCs w:val="false"/>
          <w:i w:val="false"/>
          <w:iCs w:val="false"/>
          <w:color w:val="757880"/>
          <w:sz w:val="22"/>
          <w:szCs w:val="22"/>
        </w:rPr>
        <w:t xml:space="preserve">Consensus roadmap from all stakeholders. Sprint = 2-week cycle. Owner abbreviations: ENG = Engineering Lead, FND = Founder, LEG = External Legal Counsel, OPS = Advancement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Sprint</w:t>
            </w:r>
          </w:p>
        </w:tc>
        <w:tc>
          <w:tcPr>
            <w:tcW w:type="dxa" w:w="2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Theme</w:t>
            </w:r>
          </w:p>
        </w:tc>
        <w:tc>
          <w:tcPr>
            <w:tcW w:type="dxa" w:w="356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Work Items</w:t>
            </w:r>
          </w:p>
        </w:tc>
        <w:tc>
          <w:tcPr>
            <w:tcW w:type="dxa" w:w="26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left"/>
            </w:pPr>
            <w:r>
              <w:rPr>
                <w:rFonts w:ascii="Arial" w:cs="Arial" w:eastAsia="Arial" w:hAnsi="Arial"/>
                <w:b/>
                <w:bCs/>
                <w:color w:val="FFFFFF"/>
                <w:sz w:val="18"/>
                <w:szCs w:val="18"/>
              </w:rPr>
              <w:t xml:space="preserve">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20"/>
                <w:szCs w:val="20"/>
              </w:rPr>
              <w:t xml:space="preserve">Sprint 1
Weeks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Production Infrastructure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Mount all 6 unmounted backend routes (giving, payment, plannedGiving, vso, tenant, webhooks)</w:t>
            </w:r>
          </w:p>
          <w:p>
            <w:pPr>
              <w:spacing w:before="20" w:after="20"/>
            </w:pPr>
            <w:r>
              <w:rPr>
                <w:rFonts w:ascii="Arial" w:cs="Arial" w:eastAsia="Arial" w:hAnsi="Arial"/>
                <w:color w:val="1A1D23"/>
                <w:sz w:val="19"/>
                <w:szCs w:val="19"/>
              </w:rPr>
              <w:t xml:space="preserve">• Update backend version to 2.0.0 across all files</w:t>
            </w:r>
          </w:p>
          <w:p>
            <w:pPr>
              <w:spacing w:before="20" w:after="20"/>
            </w:pPr>
            <w:r>
              <w:rPr>
                <w:rFonts w:ascii="Arial" w:cs="Arial" w:eastAsia="Arial" w:hAnsi="Arial"/>
                <w:color w:val="1A1D23"/>
                <w:sz w:val="19"/>
                <w:szCs w:val="19"/>
              </w:rPr>
              <w:t xml:space="preserve">• Deploy backend to Railway or Render — get a live URL</w:t>
            </w:r>
          </w:p>
          <w:p>
            <w:pPr>
              <w:spacing w:before="20" w:after="20"/>
            </w:pPr>
            <w:r>
              <w:rPr>
                <w:rFonts w:ascii="Arial" w:cs="Arial" w:eastAsia="Arial" w:hAnsi="Arial"/>
                <w:color w:val="1A1D23"/>
                <w:sz w:val="19"/>
                <w:szCs w:val="19"/>
              </w:rPr>
              <w:t xml:space="preserve">• Install Sentry error monitoring</w:t>
            </w:r>
          </w:p>
          <w:p>
            <w:pPr>
              <w:spacing w:before="20" w:after="20"/>
            </w:pPr>
            <w:r>
              <w:rPr>
                <w:rFonts w:ascii="Arial" w:cs="Arial" w:eastAsia="Arial" w:hAnsi="Arial"/>
                <w:color w:val="1A1D23"/>
                <w:sz w:val="19"/>
                <w:szCs w:val="19"/>
              </w:rPr>
              <w:t xml:space="preserve">• Wire orbit-giving.html form to /api/v1/giving/give endpoint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ENG</w:t>
            </w:r>
          </w:p>
        </w:tc>
      </w:tr>
      <w:tr>
        <w:tc>
          <w:tcPr>
            <w:tcW w:type="dxa" w:w="1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20"/>
                <w:szCs w:val="20"/>
              </w:rPr>
              <w:t xml:space="preserve">Sprint 1
Weeks 1–2</w:t>
            </w:r>
          </w:p>
        </w:tc>
        <w:tc>
          <w:tcPr>
            <w:tcW w:type="dxa" w:w="22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Legal &amp; Compliance Foundation</w:t>
            </w:r>
          </w:p>
        </w:tc>
        <w:tc>
          <w:tcPr>
            <w:tcW w:type="dxa" w:w="35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Engage attorney — Privacy Policy, ToS, DPA drafting (3-week cycle)</w:t>
            </w:r>
          </w:p>
          <w:p>
            <w:pPr>
              <w:spacing w:before="20" w:after="20"/>
            </w:pPr>
            <w:r>
              <w:rPr>
                <w:rFonts w:ascii="Arial" w:cs="Arial" w:eastAsia="Arial" w:hAnsi="Arial"/>
                <w:color w:val="1A1D23"/>
                <w:sz w:val="19"/>
                <w:szCs w:val="19"/>
              </w:rPr>
              <w:t xml:space="preserve">• Initiate FERPA risk assessment</w:t>
            </w:r>
          </w:p>
          <w:p>
            <w:pPr>
              <w:spacing w:before="20" w:after="20"/>
            </w:pPr>
            <w:r>
              <w:rPr>
                <w:rFonts w:ascii="Arial" w:cs="Arial" w:eastAsia="Arial" w:hAnsi="Arial"/>
                <w:color w:val="1A1D23"/>
                <w:sz w:val="19"/>
                <w:szCs w:val="19"/>
              </w:rPr>
              <w:t xml:space="preserve">• Add VPGO contact frequency cap: 2 contacts per 30 days per donor</w:t>
            </w:r>
          </w:p>
          <w:p>
            <w:pPr>
              <w:spacing w:before="20" w:after="20"/>
            </w:pPr>
            <w:r>
              <w:rPr>
                <w:rFonts w:ascii="Arial" w:cs="Arial" w:eastAsia="Arial" w:hAnsi="Arial"/>
                <w:color w:val="1A1D23"/>
                <w:sz w:val="19"/>
                <w:szCs w:val="19"/>
              </w:rPr>
              <w:t xml:space="preserve">• Add AI disclosure footer to all VEO/VSO/VPGO outreach drafts</w:t>
            </w:r>
          </w:p>
        </w:tc>
        <w:tc>
          <w:tcPr>
            <w:tcW w:type="dxa" w:w="2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FND + LEG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20"/>
                <w:szCs w:val="20"/>
              </w:rPr>
              <w:t xml:space="preserve">Sprint 2
Weeks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P0 Security Fixes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Gate PlannedGivingPage to VPGO and Admin roles only</w:t>
            </w:r>
          </w:p>
          <w:p>
            <w:pPr>
              <w:spacing w:before="20" w:after="20"/>
            </w:pPr>
            <w:r>
              <w:rPr>
                <w:rFonts w:ascii="Arial" w:cs="Arial" w:eastAsia="Arial" w:hAnsi="Arial"/>
                <w:color w:val="1A1D23"/>
                <w:sz w:val="19"/>
                <w:szCs w:val="19"/>
              </w:rPr>
              <w:t xml:space="preserve">• Add planned gift marketing "Send to Legal Review" workflow state</w:t>
            </w:r>
          </w:p>
          <w:p>
            <w:pPr>
              <w:spacing w:before="20" w:after="20"/>
            </w:pPr>
            <w:r>
              <w:rPr>
                <w:rFonts w:ascii="Arial" w:cs="Arial" w:eastAsia="Arial" w:hAnsi="Arial"/>
                <w:color w:val="1A1D23"/>
                <w:sz w:val="19"/>
                <w:szCs w:val="19"/>
              </w:rPr>
              <w:t xml:space="preserve">• Implement CRM OAuth token refresh for Salesforce and RE NXT</w:t>
            </w:r>
          </w:p>
          <w:p>
            <w:pPr>
              <w:spacing w:before="20" w:after="20"/>
            </w:pPr>
            <w:r>
              <w:rPr>
                <w:rFonts w:ascii="Arial" w:cs="Arial" w:eastAsia="Arial" w:hAnsi="Arial"/>
                <w:color w:val="1A1D23"/>
                <w:sz w:val="19"/>
                <w:szCs w:val="19"/>
              </w:rPr>
              <w:t xml:space="preserve">• Add SMS opt-in/STOP handler enforcement to SMSEnginePage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ENG</w:t>
            </w:r>
          </w:p>
        </w:tc>
      </w:tr>
      <w:tr>
        <w:tc>
          <w:tcPr>
            <w:tcW w:type="dxa" w:w="1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20"/>
                <w:szCs w:val="20"/>
              </w:rPr>
              <w:t xml:space="preserve">Sprint 2
Weeks 3–4</w:t>
            </w:r>
          </w:p>
        </w:tc>
        <w:tc>
          <w:tcPr>
            <w:tcW w:type="dxa" w:w="22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Legal Completion</w:t>
            </w:r>
          </w:p>
        </w:tc>
        <w:tc>
          <w:tcPr>
            <w:tcW w:type="dxa" w:w="35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Review and approve Privacy Policy, ToS, DPA with attorney</w:t>
            </w:r>
          </w:p>
          <w:p>
            <w:pPr>
              <w:spacing w:before="20" w:after="20"/>
            </w:pPr>
            <w:r>
              <w:rPr>
                <w:rFonts w:ascii="Arial" w:cs="Arial" w:eastAsia="Arial" w:hAnsi="Arial"/>
                <w:color w:val="1A1D23"/>
                <w:sz w:val="19"/>
                <w:szCs w:val="19"/>
              </w:rPr>
              <w:t xml:space="preserve">• Publish Privacy Policy at orbit.ai/privacy (or equivalent)</w:t>
            </w:r>
          </w:p>
          <w:p>
            <w:pPr>
              <w:spacing w:before="20" w:after="20"/>
            </w:pPr>
            <w:r>
              <w:rPr>
                <w:rFonts w:ascii="Arial" w:cs="Arial" w:eastAsia="Arial" w:hAnsi="Arial"/>
                <w:color w:val="1A1D23"/>
                <w:sz w:val="19"/>
                <w:szCs w:val="19"/>
              </w:rPr>
              <w:t xml:space="preserve">• Incorporate legal entity (Delaware C-corp)</w:t>
            </w:r>
          </w:p>
          <w:p>
            <w:pPr>
              <w:spacing w:before="20" w:after="20"/>
            </w:pPr>
            <w:r>
              <w:rPr>
                <w:rFonts w:ascii="Arial" w:cs="Arial" w:eastAsia="Arial" w:hAnsi="Arial"/>
                <w:color w:val="1A1D23"/>
                <w:sz w:val="19"/>
                <w:szCs w:val="19"/>
              </w:rPr>
              <w:t xml:space="preserve">• Open business bank account</w:t>
            </w:r>
          </w:p>
        </w:tc>
        <w:tc>
          <w:tcPr>
            <w:tcW w:type="dxa" w:w="2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FND + LEG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20"/>
                <w:szCs w:val="20"/>
              </w:rPr>
              <w:t xml:space="preserve">Sprint 3
Weeks 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Operator Workflow Improvements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Build bulk-approve action in OutreachPage (select + approve queue)</w:t>
            </w:r>
          </w:p>
          <w:p>
            <w:pPr>
              <w:spacing w:before="20" w:after="20"/>
            </w:pPr>
            <w:r>
              <w:rPr>
                <w:rFonts w:ascii="Arial" w:cs="Arial" w:eastAsia="Arial" w:hAnsi="Arial"/>
                <w:color w:val="1A1D23"/>
                <w:sz w:val="19"/>
                <w:szCs w:val="19"/>
              </w:rPr>
              <w:t xml:space="preserve">• Add 48-hour forward view to OverviewPage quick-action bar</w:t>
            </w:r>
          </w:p>
          <w:p>
            <w:pPr>
              <w:spacing w:before="20" w:after="20"/>
            </w:pPr>
            <w:r>
              <w:rPr>
                <w:rFonts w:ascii="Arial" w:cs="Arial" w:eastAsia="Arial" w:hAnsi="Arial"/>
                <w:color w:val="1A1D23"/>
                <w:sz w:val="19"/>
                <w:szCs w:val="19"/>
              </w:rPr>
              <w:t xml:space="preserve">• Update VEO prompt to lead with donor's most recent signal</w:t>
            </w:r>
          </w:p>
          <w:p>
            <w:pPr>
              <w:spacing w:before="20" w:after="20"/>
            </w:pPr>
            <w:r>
              <w:rPr>
                <w:rFonts w:ascii="Arial" w:cs="Arial" w:eastAsia="Arial" w:hAnsi="Arial"/>
                <w:color w:val="1A1D23"/>
                <w:sz w:val="19"/>
                <w:szCs w:val="19"/>
              </w:rPr>
              <w:t xml:space="preserve">• Add per-officer style feedback logging (edit capture to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ENG</w:t>
            </w:r>
          </w:p>
        </w:tc>
      </w:tr>
      <w:tr>
        <w:tc>
          <w:tcPr>
            <w:tcW w:type="dxa" w:w="1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20"/>
                <w:szCs w:val="20"/>
              </w:rPr>
              <w:t xml:space="preserve">Sprint 3
Weeks 5–6</w:t>
            </w:r>
          </w:p>
        </w:tc>
        <w:tc>
          <w:tcPr>
            <w:tcW w:type="dxa" w:w="22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Pilot Preparation</w:t>
            </w:r>
          </w:p>
        </w:tc>
        <w:tc>
          <w:tcPr>
            <w:tcW w:type="dxa" w:w="35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Identify 2–3 pilot university candidates (warm contacts or network)</w:t>
            </w:r>
          </w:p>
          <w:p>
            <w:pPr>
              <w:spacing w:before="20" w:after="20"/>
            </w:pPr>
            <w:r>
              <w:rPr>
                <w:rFonts w:ascii="Arial" w:cs="Arial" w:eastAsia="Arial" w:hAnsi="Arial"/>
                <w:color w:val="1A1D23"/>
                <w:sz w:val="19"/>
                <w:szCs w:val="19"/>
              </w:rPr>
              <w:t xml:space="preserve">• Build 3-page product website (hero, features, pricing, contact)</w:t>
            </w:r>
          </w:p>
          <w:p>
            <w:pPr>
              <w:spacing w:before="20" w:after="20"/>
            </w:pPr>
            <w:r>
              <w:rPr>
                <w:rFonts w:ascii="Arial" w:cs="Arial" w:eastAsia="Arial" w:hAnsi="Arial"/>
                <w:color w:val="1A1D23"/>
                <w:sz w:val="19"/>
                <w:szCs w:val="19"/>
              </w:rPr>
              <w:t xml:space="preserve">• Record 3-minute Loom product demo walkthrough</w:t>
            </w:r>
          </w:p>
          <w:p>
            <w:pPr>
              <w:spacing w:before="20" w:after="20"/>
            </w:pPr>
            <w:r>
              <w:rPr>
                <w:rFonts w:ascii="Arial" w:cs="Arial" w:eastAsia="Arial" w:hAnsi="Arial"/>
                <w:color w:val="1A1D23"/>
                <w:sz w:val="19"/>
                <w:szCs w:val="19"/>
              </w:rPr>
              <w:t xml:space="preserve">• Write outbound email sequence for VP Advancement buyer persona</w:t>
            </w:r>
          </w:p>
        </w:tc>
        <w:tc>
          <w:tcPr>
            <w:tcW w:type="dxa" w:w="2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20"/>
                <w:szCs w:val="20"/>
              </w:rPr>
              <w:t xml:space="preserve">Sprint 4
Weeks 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Reliability &amp; Performance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Write Playwright E2E smoke tests: login, approve, give flow</w:t>
            </w:r>
          </w:p>
          <w:p>
            <w:pPr>
              <w:spacing w:before="20" w:after="20"/>
            </w:pPr>
            <w:r>
              <w:rPr>
                <w:rFonts w:ascii="Arial" w:cs="Arial" w:eastAsia="Arial" w:hAnsi="Arial"/>
                <w:color w:val="1A1D23"/>
                <w:sz w:val="19"/>
                <w:szCs w:val="19"/>
              </w:rPr>
              <w:t xml:space="preserve">• Run k6 load test — simulate 500 concurrent donors on giving page</w:t>
            </w:r>
          </w:p>
          <w:p>
            <w:pPr>
              <w:spacing w:before="20" w:after="20"/>
            </w:pPr>
            <w:r>
              <w:rPr>
                <w:rFonts w:ascii="Arial" w:cs="Arial" w:eastAsia="Arial" w:hAnsi="Arial"/>
                <w:color w:val="1A1D23"/>
                <w:sz w:val="19"/>
                <w:szCs w:val="19"/>
              </w:rPr>
              <w:t xml:space="preserve">• Set up CloudFront/Cloudflare CDN for orbit-giving.html</w:t>
            </w:r>
          </w:p>
          <w:p>
            <w:pPr>
              <w:spacing w:before="20" w:after="20"/>
            </w:pPr>
            <w:r>
              <w:rPr>
                <w:rFonts w:ascii="Arial" w:cs="Arial" w:eastAsia="Arial" w:hAnsi="Arial"/>
                <w:color w:val="1A1D23"/>
                <w:sz w:val="19"/>
                <w:szCs w:val="19"/>
              </w:rPr>
              <w:t xml:space="preserve">• Add VSO real-time gift trigger (bypass daily 6am queue on gift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ENG</w:t>
            </w:r>
          </w:p>
        </w:tc>
      </w:tr>
      <w:tr>
        <w:tc>
          <w:tcPr>
            <w:tcW w:type="dxa" w:w="1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20"/>
                <w:szCs w:val="20"/>
              </w:rPr>
              <w:t xml:space="preserve">Sprint 4
Weeks 7–8</w:t>
            </w:r>
          </w:p>
        </w:tc>
        <w:tc>
          <w:tcPr>
            <w:tcW w:type="dxa" w:w="22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First Pilot Kick-off</w:t>
            </w:r>
          </w:p>
        </w:tc>
        <w:tc>
          <w:tcPr>
            <w:tcW w:type="dxa" w:w="35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Execute 90-day pilot agreement with first university (no cost)</w:t>
            </w:r>
          </w:p>
          <w:p>
            <w:pPr>
              <w:spacing w:before="20" w:after="20"/>
            </w:pPr>
            <w:r>
              <w:rPr>
                <w:rFonts w:ascii="Arial" w:cs="Arial" w:eastAsia="Arial" w:hAnsi="Arial"/>
                <w:color w:val="1A1D23"/>
                <w:sz w:val="19"/>
                <w:szCs w:val="19"/>
              </w:rPr>
              <w:t xml:space="preserve">• Onboard pilot institution via TenantSetupWizard</w:t>
            </w:r>
          </w:p>
          <w:p>
            <w:pPr>
              <w:spacing w:before="20" w:after="20"/>
            </w:pPr>
            <w:r>
              <w:rPr>
                <w:rFonts w:ascii="Arial" w:cs="Arial" w:eastAsia="Arial" w:hAnsi="Arial"/>
                <w:color w:val="1A1D23"/>
                <w:sz w:val="19"/>
                <w:szCs w:val="19"/>
              </w:rPr>
              <w:t xml:space="preserve">• Run first live outreach approval cycle with real donors</w:t>
            </w:r>
          </w:p>
          <w:p>
            <w:pPr>
              <w:spacing w:before="20" w:after="20"/>
            </w:pPr>
            <w:r>
              <w:rPr>
                <w:rFonts w:ascii="Arial" w:cs="Arial" w:eastAsia="Arial" w:hAnsi="Arial"/>
                <w:color w:val="1A1D23"/>
                <w:sz w:val="19"/>
                <w:szCs w:val="19"/>
              </w:rPr>
              <w:t xml:space="preserve">• Instrument weekly NPS survey with advancement staff operators</w:t>
            </w:r>
          </w:p>
        </w:tc>
        <w:tc>
          <w:tcPr>
            <w:tcW w:type="dxa" w:w="2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FND + OPS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A8C7E"/>
                <w:sz w:val="20"/>
                <w:szCs w:val="20"/>
              </w:rPr>
              <w:t xml:space="preserve">Weeks 9–12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A1D23"/>
                <w:sz w:val="20"/>
                <w:szCs w:val="20"/>
              </w:rPr>
              <w:t xml:space="preserve">Intelligence &amp; Explainability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Add top-3 score drivers to Ask Engine donor score cards</w:t>
            </w:r>
          </w:p>
          <w:p>
            <w:pPr>
              <w:spacing w:before="20" w:after="20"/>
            </w:pPr>
            <w:r>
              <w:rPr>
                <w:rFonts w:ascii="Arial" w:cs="Arial" w:eastAsia="Arial" w:hAnsi="Arial"/>
                <w:color w:val="1A1D23"/>
                <w:sz w:val="19"/>
                <w:szCs w:val="19"/>
              </w:rPr>
              <w:t xml:space="preserve">• Rebuild AgentsPage with executive-narrative summary tab</w:t>
            </w:r>
          </w:p>
          <w:p>
            <w:pPr>
              <w:spacing w:before="20" w:after="20"/>
            </w:pPr>
            <w:r>
              <w:rPr>
                <w:rFonts w:ascii="Arial" w:cs="Arial" w:eastAsia="Arial" w:hAnsi="Arial"/>
                <w:color w:val="1A1D23"/>
                <w:sz w:val="19"/>
                <w:szCs w:val="19"/>
              </w:rPr>
              <w:t xml:space="preserve">• Add "Your Privacy" link + data request flow to all donor emails</w:t>
            </w:r>
          </w:p>
          <w:p>
            <w:pPr>
              <w:spacing w:before="20" w:after="20"/>
            </w:pPr>
            <w:r>
              <w:rPr>
                <w:rFonts w:ascii="Arial" w:cs="Arial" w:eastAsia="Arial" w:hAnsi="Arial"/>
                <w:color w:val="1A1D23"/>
                <w:sz w:val="19"/>
                <w:szCs w:val="19"/>
              </w:rPr>
              <w:t xml:space="preserve">• Expand GiftsPage with gift timeline, designation breakdown, YoY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757880"/>
                <w:sz w:val="19"/>
                <w:szCs w:val="19"/>
              </w:rPr>
              <w:t xml:space="preserve">ENG</w:t>
            </w:r>
          </w:p>
        </w:tc>
      </w:tr>
      <w:tr>
        <w:tc>
          <w:tcPr>
            <w:tcW w:type="dxa" w:w="10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2A8C7E"/>
                <w:sz w:val="20"/>
                <w:szCs w:val="20"/>
              </w:rPr>
              <w:t xml:space="preserve">Weeks 9–12</w:t>
            </w:r>
          </w:p>
        </w:tc>
        <w:tc>
          <w:tcPr>
            <w:tcW w:type="dxa" w:w="22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b/>
                <w:bCs/>
                <w:color w:val="1A1D23"/>
                <w:sz w:val="20"/>
                <w:szCs w:val="20"/>
              </w:rPr>
              <w:t xml:space="preserve">Growth Preparation</w:t>
            </w:r>
          </w:p>
        </w:tc>
        <w:tc>
          <w:tcPr>
            <w:tcW w:type="dxa" w:w="356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pPr>
              <w:spacing w:before="20" w:after="20"/>
            </w:pPr>
            <w:r>
              <w:rPr>
                <w:rFonts w:ascii="Arial" w:cs="Arial" w:eastAsia="Arial" w:hAnsi="Arial"/>
                <w:color w:val="1A1D23"/>
                <w:sz w:val="19"/>
                <w:szCs w:val="19"/>
              </w:rPr>
              <w:t xml:space="preserve">• Hire founding engineer (trigger: first signed LOI or paid contract)</w:t>
            </w:r>
          </w:p>
          <w:p>
            <w:pPr>
              <w:spacing w:before="20" w:after="20"/>
            </w:pPr>
            <w:r>
              <w:rPr>
                <w:rFonts w:ascii="Arial" w:cs="Arial" w:eastAsia="Arial" w:hAnsi="Arial"/>
                <w:color w:val="1A1D23"/>
                <w:sz w:val="19"/>
                <w:szCs w:val="19"/>
              </w:rPr>
              <w:t xml:space="preserve">• Negotiate Anthropic BAA for enterprise prospects</w:t>
            </w:r>
          </w:p>
          <w:p>
            <w:pPr>
              <w:spacing w:before="20" w:after="20"/>
            </w:pPr>
            <w:r>
              <w:rPr>
                <w:rFonts w:ascii="Arial" w:cs="Arial" w:eastAsia="Arial" w:hAnsi="Arial"/>
                <w:color w:val="1A1D23"/>
                <w:sz w:val="19"/>
                <w:szCs w:val="19"/>
              </w:rPr>
              <w:t xml:space="preserve">• Schedule dedicated Membership module and Superadmin focus groups</w:t>
            </w:r>
          </w:p>
          <w:p>
            <w:pPr>
              <w:spacing w:before="20" w:after="20"/>
            </w:pPr>
            <w:r>
              <w:rPr>
                <w:rFonts w:ascii="Arial" w:cs="Arial" w:eastAsia="Arial" w:hAnsi="Arial"/>
                <w:color w:val="1A1D23"/>
                <w:sz w:val="19"/>
                <w:szCs w:val="19"/>
              </w:rPr>
              <w:t xml:space="preserve">• Plan SOC 2 Type I audit (Q3 2026 target)</w:t>
            </w:r>
          </w:p>
        </w:tc>
        <w:tc>
          <w:tcPr>
            <w:tcW w:type="dxa" w:w="2600"/>
            <w:tcBorders>
              <w:top w:val="single" w:color="CCCCCC" w:sz="1"/>
              <w:left w:val="single" w:color="CCCCCC" w:sz="1"/>
              <w:bottom w:val="single" w:color="CCCCCC" w:sz="1"/>
              <w:right w:val="single" w:color="CCCCCC" w:sz="1"/>
            </w:tcBorders>
            <w:shd w:fill="F0F2F5" w:val="clear"/>
            <w:tcMar>
              <w:top w:type="dxa" w:w="80"/>
              <w:left w:type="dxa" w:w="140"/>
              <w:bottom w:type="dxa" w:w="80"/>
              <w:right w:type="dxa" w:w="140"/>
            </w:tcMar>
            <w:vAlign w:val="top"/>
          </w:tcPr>
          <w:p>
            <w:r>
              <w:rPr>
                <w:rFonts w:ascii="Arial" w:cs="Arial" w:eastAsia="Arial" w:hAnsi="Arial"/>
                <w:color w:val="757880"/>
                <w:sz w:val="19"/>
                <w:szCs w:val="19"/>
              </w:rPr>
              <w:t xml:space="preserve">FND</w:t>
            </w:r>
          </w:p>
        </w:tc>
      </w:tr>
    </w:tbl>
    <w:p>
      <w:pPr>
        <w:spacing w:before="20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10 — Selected Verbatim Quotes</w:t>
      </w:r>
    </w:p>
    <w:p>
      <w:pPr>
        <w:spacing w:before="40" w:after="120"/>
        <w:jc w:val="left"/>
      </w:pPr>
      <w:r>
        <w:rPr>
          <w:rFonts w:ascii="Arial" w:cs="Arial" w:eastAsia="Arial" w:hAnsi="Arial"/>
          <w:b w:val="false"/>
          <w:bCs w:val="false"/>
          <w:i w:val="false"/>
          <w:iCs w:val="false"/>
          <w:color w:val="757880"/>
          <w:sz w:val="22"/>
          <w:szCs w:val="22"/>
        </w:rPr>
        <w:t xml:space="preserve">These quotes represent the authentic voice of each stakeholder archetype and should inform how Orbit communicates its value proposition.</w:t>
      </w:r>
    </w:p>
    <w:p>
      <w:pPr>
        <w:pStyle w:val="Heading2"/>
        <w:pBdr>
          <w:bottom w:val="single" w:color="2A8C7E" w:sz="4" w:space="4"/>
        </w:pBdr>
        <w:spacing w:before="280" w:after="120"/>
      </w:pPr>
      <w:r>
        <w:rPr>
          <w:rFonts w:ascii="Arial" w:cs="Arial" w:eastAsia="Arial" w:hAnsi="Arial"/>
          <w:b/>
          <w:bCs/>
          <w:color w:val="2A8C7E"/>
          <w:sz w:val="26"/>
          <w:szCs w:val="26"/>
        </w:rPr>
        <w:t xml:space="preserve">From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center"/>
            </w:pPr>
            <w:r>
              <w:rPr>
                <w:rFonts w:ascii="Arial" w:cs="Arial" w:eastAsia="Arial" w:hAnsi="Arial"/>
                <w:b/>
                <w:bCs/>
                <w:color w:val="2A8C7E"/>
                <w:sz w:val="18"/>
                <w:szCs w:val="18"/>
              </w:rPr>
              <w:t xml:space="preserve">"VEO"</w:t>
            </w:r>
          </w:p>
        </w:tc>
        <w:tc>
          <w:tcPr>
            <w:tcW w:type="dxa" w:w="9160"/>
            <w:tcBorders>
              <w:top w:val="single" w:color="2A8C7E" w:sz="1"/>
              <w:left w:val="single" w:color="2A8C7E" w:sz="1"/>
              <w:bottom w:val="single" w:color="2A8C7E" w:sz="1"/>
              <w:right w:val="single" w:color="2A8C7E" w:sz="1"/>
            </w:tcBorders>
            <w:shd w:fill="E4F4F1"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"Finally — I land on the dashboard and I know exactly what to do first. That Quick-Action Bar is the most useful thing I've seen in an advancement tool in 10 years." — Director of Annual Giving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center"/>
            </w:pPr>
            <w:r>
              <w:rPr>
                <w:rFonts w:ascii="Arial" w:cs="Arial" w:eastAsia="Arial" w:hAnsi="Arial"/>
                <w:b/>
                <w:bCs/>
                <w:color w:val="2A8C7E"/>
                <w:sz w:val="18"/>
                <w:szCs w:val="18"/>
              </w:rPr>
              <w:t xml:space="preserve">"VSO"</w:t>
            </w:r>
          </w:p>
        </w:tc>
        <w:tc>
          <w:tcPr>
            <w:tcW w:type="dxa" w:w="9160"/>
            <w:tcBorders>
              <w:top w:val="single" w:color="2A8C7E" w:sz="1"/>
              <w:left w:val="single" w:color="2A8C7E" w:sz="1"/>
              <w:bottom w:val="single" w:color="2A8C7E" w:sz="1"/>
              <w:right w:val="single" w:color="2A8C7E" w:sz="1"/>
            </w:tcBorders>
            <w:shd w:fill="E4F4F1"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sent 12 handwritten notes from the VSO queue last week and three donors replied personally. That's not software — that's relationship management at scale." — Stewardship Coordinator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5A6DA8" w:sz="1"/>
              <w:left w:val="single" w:color="5A6DA8" w:sz="1"/>
              <w:bottom w:val="single" w:color="5A6DA8" w:sz="1"/>
              <w:right w:val="single" w:color="5A6DA8" w:sz="1"/>
            </w:tcBorders>
            <w:shd w:fill="5A6DA8" w:val="clear"/>
            <w:tcMar>
              <w:top w:type="dxa" w:w="80"/>
              <w:left w:type="dxa" w:w="140"/>
              <w:bottom w:type="dxa" w:w="80"/>
              <w:right w:type="dxa" w:w="140"/>
            </w:tcMar>
            <w:vAlign w:val="top"/>
          </w:tcPr>
          <w:p>
            <w:pPr>
              <w:jc w:val="center"/>
            </w:pPr>
            <w:r>
              <w:rPr>
                <w:rFonts w:ascii="Arial" w:cs="Arial" w:eastAsia="Arial" w:hAnsi="Arial"/>
                <w:b/>
                <w:bCs/>
                <w:color w:val="5A6DA8"/>
                <w:sz w:val="18"/>
                <w:szCs w:val="18"/>
              </w:rPr>
              <w:t xml:space="preserve">"VPGO"</w:t>
            </w:r>
          </w:p>
        </w:tc>
        <w:tc>
          <w:tcPr>
            <w:tcW w:type="dxa" w:w="9160"/>
            <w:tcBorders>
              <w:top w:val="single" w:color="5A6DA8" w:sz="1"/>
              <w:left w:val="single" w:color="5A6DA8" w:sz="1"/>
              <w:bottom w:val="single" w:color="5A6DA8" w:sz="1"/>
              <w:right w:val="single" w:color="5A6DA8" w:sz="1"/>
            </w:tcBorders>
            <w:shd w:fill="EDF0FA"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objection handler scripts are better than anything I've written myself in 20 years. I would use these directly in a donor conversation." — Planned Giving Officer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"MGO"</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"I've corrected the same generic opener 40 times now. If the system knows the donor attended our gala last week, it should open with that — not 'I hope this message finds you well.'" — Major Gift Officer 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center"/>
            </w:pPr>
            <w:r>
              <w:rPr>
                <w:rFonts w:ascii="Arial" w:cs="Arial" w:eastAsia="Arial" w:hAnsi="Arial"/>
                <w:b/>
                <w:bCs/>
                <w:color w:val="2A8C7E"/>
                <w:sz w:val="18"/>
                <w:szCs w:val="18"/>
              </w:rPr>
              <w:t xml:space="preserve">"DATA"</w:t>
            </w:r>
          </w:p>
        </w:tc>
        <w:tc>
          <w:tcPr>
            <w:tcW w:type="dxa" w:w="9160"/>
            <w:tcBorders>
              <w:top w:val="single" w:color="2A8C7E" w:sz="1"/>
              <w:left w:val="single" w:color="2A8C7E" w:sz="1"/>
              <w:bottom w:val="single" w:color="2A8C7E" w:sz="1"/>
              <w:right w:val="single" w:color="2A8C7E" w:sz="1"/>
            </w:tcBorders>
            <w:shd w:fill="E4F4F1"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audit trail is the single most important compliance feature you have. Every university IT team will ask about this first." — Advancement Data Manager</w:t>
            </w:r>
          </w:p>
        </w:tc>
      </w:tr>
    </w:tbl>
    <w:p>
      <w:pPr>
        <w:spacing w:before="12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From End Users /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1"/>
              <w:left w:val="single" w:color="16A34A" w:sz="1"/>
              <w:bottom w:val="single" w:color="16A34A" w:sz="1"/>
              <w:right w:val="single" w:color="16A34A" w:sz="1"/>
            </w:tcBorders>
            <w:shd w:fill="16A34A" w:val="clear"/>
            <w:tcMar>
              <w:top w:type="dxa" w:w="80"/>
              <w:left w:type="dxa" w:w="140"/>
              <w:bottom w:type="dxa" w:w="80"/>
              <w:right w:type="dxa" w:w="140"/>
            </w:tcMar>
            <w:vAlign w:val="top"/>
          </w:tcPr>
          <w:p>
            <w:pPr>
              <w:jc w:val="center"/>
            </w:pPr>
            <w:r>
              <w:rPr>
                <w:rFonts w:ascii="Arial" w:cs="Arial" w:eastAsia="Arial" w:hAnsi="Arial"/>
                <w:b/>
                <w:bCs/>
                <w:color w:val="16A34A"/>
                <w:sz w:val="18"/>
                <w:szCs w:val="18"/>
              </w:rPr>
              <w:t xml:space="preserve">"DONOR 1"</w:t>
            </w:r>
          </w:p>
        </w:tc>
        <w:tc>
          <w:tcPr>
            <w:tcW w:type="dxa" w:w="9160"/>
            <w:tcBorders>
              <w:top w:val="single" w:color="16A34A" w:sz="1"/>
              <w:left w:val="single" w:color="16A34A" w:sz="1"/>
              <w:bottom w:val="single" w:color="16A34A" w:sz="1"/>
              <w:right w:val="single" w:color="16A34A" w:sz="1"/>
            </w:tcBorders>
            <w:shd w:fill="DCFCE7"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"The impact story about the scholarship recipient made me increase my gift from $250 to $500. I didn't plan to give more — the story moved me." — Class of 2005 Alumna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"DONOR 2"</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don't know who is sending me these emails. Is it a person or a computer? I think I deserve to know." — Class of 1988 Alumnus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DC2626" w:sz="1"/>
              <w:left w:val="single" w:color="DC2626" w:sz="1"/>
              <w:bottom w:val="single" w:color="DC2626" w:sz="1"/>
              <w:right w:val="single" w:color="DC2626" w:sz="1"/>
            </w:tcBorders>
            <w:shd w:fill="DC2626" w:val="clear"/>
            <w:tcMar>
              <w:top w:type="dxa" w:w="80"/>
              <w:left w:type="dxa" w:w="140"/>
              <w:bottom w:type="dxa" w:w="80"/>
              <w:right w:type="dxa" w:w="140"/>
            </w:tcMar>
            <w:vAlign w:val="top"/>
          </w:tcPr>
          <w:p>
            <w:pPr>
              <w:jc w:val="center"/>
            </w:pPr>
            <w:r>
              <w:rPr>
                <w:rFonts w:ascii="Arial" w:cs="Arial" w:eastAsia="Arial" w:hAnsi="Arial"/>
                <w:b/>
                <w:bCs/>
                <w:color w:val="DC2626"/>
                <w:sz w:val="18"/>
                <w:szCs w:val="18"/>
              </w:rPr>
              <w:t xml:space="preserve">"DONOR 3"</w:t>
            </w:r>
          </w:p>
        </w:tc>
        <w:tc>
          <w:tcPr>
            <w:tcW w:type="dxa" w:w="9160"/>
            <w:tcBorders>
              <w:top w:val="single" w:color="DC2626" w:sz="1"/>
              <w:left w:val="single" w:color="DC2626" w:sz="1"/>
              <w:bottom w:val="single" w:color="DC2626" w:sz="1"/>
              <w:right w:val="single" w:color="DC2626" w:sz="1"/>
            </w:tcBorders>
            <w:shd w:fill="FEE2E2"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 was contacted three times in two weeks about my estate plans. The first time was welcome. By the third time I felt harassed." — Planned Gift Prospect, age 72</w:t>
            </w:r>
          </w:p>
        </w:tc>
      </w:tr>
    </w:tbl>
    <w:p>
      <w:pPr>
        <w:spacing w:before="12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From Technology /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2853A" w:sz="1"/>
              <w:left w:val="single" w:color="C2853A" w:sz="1"/>
              <w:bottom w:val="single" w:color="C2853A" w:sz="1"/>
              <w:right w:val="single" w:color="C2853A" w:sz="1"/>
            </w:tcBorders>
            <w:shd w:fill="C2853A" w:val="clear"/>
            <w:tcMar>
              <w:top w:type="dxa" w:w="80"/>
              <w:left w:type="dxa" w:w="140"/>
              <w:bottom w:type="dxa" w:w="80"/>
              <w:right w:type="dxa" w:w="140"/>
            </w:tcMar>
            <w:vAlign w:val="top"/>
          </w:tcPr>
          <w:p>
            <w:pPr>
              <w:jc w:val="center"/>
            </w:pPr>
            <w:r>
              <w:rPr>
                <w:rFonts w:ascii="Arial" w:cs="Arial" w:eastAsia="Arial" w:hAnsi="Arial"/>
                <w:b/>
                <w:bCs/>
                <w:color w:val="C2853A"/>
                <w:sz w:val="18"/>
                <w:szCs w:val="18"/>
              </w:rPr>
              <w:t xml:space="preserve">"IT"</w:t>
            </w:r>
          </w:p>
        </w:tc>
        <w:tc>
          <w:tcPr>
            <w:tcW w:type="dxa" w:w="9160"/>
            <w:tcBorders>
              <w:top w:val="single" w:color="C2853A" w:sz="1"/>
              <w:left w:val="single" w:color="C2853A" w:sz="1"/>
              <w:bottom w:val="single" w:color="C2853A" w:sz="1"/>
              <w:right w:val="single" w:color="C2853A" w:sz="1"/>
            </w:tcBorders>
            <w:shd w:fill="FDF2E4"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"You have six fully-built engines that are not plugged in. A car with an engine in the back seat is not a car." — IT Director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2A8C7E" w:sz="1"/>
              <w:left w:val="single" w:color="2A8C7E" w:sz="1"/>
              <w:bottom w:val="single" w:color="2A8C7E" w:sz="1"/>
              <w:right w:val="single" w:color="2A8C7E" w:sz="1"/>
            </w:tcBorders>
            <w:shd w:fill="2A8C7E" w:val="clear"/>
            <w:tcMar>
              <w:top w:type="dxa" w:w="80"/>
              <w:left w:type="dxa" w:w="140"/>
              <w:bottom w:type="dxa" w:w="80"/>
              <w:right w:type="dxa" w:w="140"/>
            </w:tcMar>
            <w:vAlign w:val="top"/>
          </w:tcPr>
          <w:p>
            <w:pPr>
              <w:jc w:val="center"/>
            </w:pPr>
            <w:r>
              <w:rPr>
                <w:rFonts w:ascii="Arial" w:cs="Arial" w:eastAsia="Arial" w:hAnsi="Arial"/>
                <w:b/>
                <w:bCs/>
                <w:color w:val="2A8C7E"/>
                <w:sz w:val="18"/>
                <w:szCs w:val="18"/>
              </w:rPr>
              <w:t xml:space="preserve">"VP"</w:t>
            </w:r>
          </w:p>
        </w:tc>
        <w:tc>
          <w:tcPr>
            <w:tcW w:type="dxa" w:w="9160"/>
            <w:tcBorders>
              <w:top w:val="single" w:color="2A8C7E" w:sz="1"/>
              <w:left w:val="single" w:color="2A8C7E" w:sz="1"/>
              <w:bottom w:val="single" w:color="2A8C7E" w:sz="1"/>
              <w:right w:val="single" w:color="2A8C7E" w:sz="1"/>
            </w:tcBorders>
            <w:shd w:fill="E4F4F1"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"If Orbit is meaningfully better on planned giving and stewardship depth — those are our two hardest problems. I would evaluate it seriously." — VP Advancement (as buyer)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6D52" w:sz="1"/>
              <w:left w:val="single" w:color="CC6D52" w:sz="1"/>
              <w:bottom w:val="single" w:color="CC6D52" w:sz="1"/>
              <w:right w:val="single" w:color="CC6D52" w:sz="1"/>
            </w:tcBorders>
            <w:shd w:fill="CC6D52" w:val="clear"/>
            <w:tcMar>
              <w:top w:type="dxa" w:w="80"/>
              <w:left w:type="dxa" w:w="140"/>
              <w:bottom w:type="dxa" w:w="80"/>
              <w:right w:type="dxa" w:w="140"/>
            </w:tcMar>
            <w:vAlign w:val="top"/>
          </w:tcPr>
          <w:p>
            <w:pPr>
              <w:jc w:val="center"/>
            </w:pPr>
            <w:r>
              <w:rPr>
                <w:rFonts w:ascii="Arial" w:cs="Arial" w:eastAsia="Arial" w:hAnsi="Arial"/>
                <w:b/>
                <w:bCs/>
                <w:color w:val="CC6D52"/>
                <w:sz w:val="18"/>
                <w:szCs w:val="18"/>
              </w:rPr>
              <w:t xml:space="preserve">"VP"</w:t>
            </w:r>
          </w:p>
        </w:tc>
        <w:tc>
          <w:tcPr>
            <w:tcW w:type="dxa" w:w="9160"/>
            <w:tcBorders>
              <w:top w:val="single" w:color="CC6D52" w:sz="1"/>
              <w:left w:val="single" w:color="CC6D52" w:sz="1"/>
              <w:bottom w:val="single" w:color="CC6D52" w:sz="1"/>
              <w:right w:val="single" w:color="CC6D52" w:sz="1"/>
            </w:tcBorders>
            <w:shd w:fill="FAEDE8" w:val="clear"/>
            <w:tcMar>
              <w:top w:type="dxa" w:w="80"/>
              <w:left w:type="dxa" w:w="140"/>
              <w:bottom w:type="dxa" w:w="80"/>
              <w:right w:type="dxa" w:w="140"/>
            </w:tcMar>
            <w:vAlign w:val="top"/>
          </w:tcPr>
          <w:p>
            <w:pPr>
              <w:spacing w:before="60" w:after="60"/>
            </w:pPr>
            <w:r>
              <w:rPr>
                <w:rFonts w:ascii="Arial" w:cs="Arial" w:eastAsia="Arial" w:hAnsi="Arial"/>
                <w:color w:val="1A1D23"/>
                <w:sz w:val="20"/>
                <w:szCs w:val="20"/>
              </w:rPr>
              <w:t xml:space="preserve">"We cannot sign a purchase order without a DPA. That is not negotiable." — VP Advancement (as buyer)</w:t>
            </w:r>
          </w:p>
        </w:tc>
      </w:tr>
    </w:tbl>
    <w:p>
      <w:pPr>
        <w:spacing w:before="200" w:after="0"/>
      </w:pPr>
      <w:r>
        <w:t xml:space="preserve"/>
      </w:r>
    </w:p>
    <w:p>
      <w:r>
        <w:br w:type="page"/>
      </w:r>
    </w:p>
    <w:p>
      <w:pPr>
        <w:pStyle w:val="Heading1"/>
        <w:spacing w:before="360" w:after="160"/>
      </w:pPr>
      <w:r>
        <w:rPr>
          <w:rFonts w:ascii="Arial" w:cs="Arial" w:eastAsia="Arial" w:hAnsi="Arial"/>
          <w:b/>
          <w:bCs/>
          <w:color w:val="1A1D23"/>
          <w:sz w:val="36"/>
          <w:szCs w:val="36"/>
        </w:rPr>
        <w:t xml:space="preserve">Section 11 — What Orbit Does Genuinely Well</w:t>
      </w:r>
    </w:p>
    <w:p>
      <w:pPr>
        <w:spacing w:before="40" w:after="120"/>
        <w:jc w:val="left"/>
      </w:pPr>
      <w:r>
        <w:rPr>
          <w:rFonts w:ascii="Arial" w:cs="Arial" w:eastAsia="Arial" w:hAnsi="Arial"/>
          <w:b w:val="false"/>
          <w:bCs w:val="false"/>
          <w:i w:val="false"/>
          <w:iCs w:val="false"/>
          <w:color w:val="757880"/>
          <w:sz w:val="22"/>
          <w:szCs w:val="22"/>
        </w:rPr>
        <w:t xml:space="preserve">These are the competitive strengths confirmed by the session — features that should anchor the product narrative and sales pitch.</w:t>
      </w:r>
    </w:p>
    <w:p>
      <w:pPr>
        <w:pStyle w:val="ListParagraph"/>
        <w:numPr>
          <w:ilvl w:val="0"/>
          <w:numId w:val="3"/>
        </w:numPr>
        <w:spacing w:before="30" w:after="50"/>
      </w:pPr>
      <w:r>
        <w:rPr>
          <w:rFonts w:ascii="Arial" w:cs="Arial" w:eastAsia="Arial" w:hAnsi="Arial"/>
          <w:b w:val="false"/>
          <w:bCs w:val="false"/>
          <w:color w:val="1A1D23"/>
          <w:sz w:val="22"/>
          <w:szCs w:val="22"/>
        </w:rPr>
        <w:t xml:space="preserve">The Relationship Health Score with decay model is the single most differentiated feature in the market. No competitor surfaces cooling relationships before they lapse.</w:t>
      </w:r>
    </w:p>
    <w:p>
      <w:pPr>
        <w:pStyle w:val="ListParagraph"/>
        <w:numPr>
          <w:ilvl w:val="0"/>
          <w:numId w:val="3"/>
        </w:numPr>
        <w:spacing w:before="30" w:after="50"/>
      </w:pPr>
      <w:r>
        <w:rPr>
          <w:rFonts w:ascii="Arial" w:cs="Arial" w:eastAsia="Arial" w:hAnsi="Arial"/>
          <w:b w:val="false"/>
          <w:bCs w:val="false"/>
          <w:color w:val="1A1D23"/>
          <w:sz w:val="22"/>
          <w:szCs w:val="22"/>
        </w:rPr>
        <w:t xml:space="preserve">Four specialised AI agents (VEO, VSO, VPGO, VCO) with distinct personas, channels, and cognitive models — not a single generic "AI assistant."</w:t>
      </w:r>
    </w:p>
    <w:p>
      <w:pPr>
        <w:pStyle w:val="ListParagraph"/>
        <w:numPr>
          <w:ilvl w:val="0"/>
          <w:numId w:val="3"/>
        </w:numPr>
        <w:spacing w:before="30" w:after="50"/>
      </w:pPr>
      <w:r>
        <w:rPr>
          <w:rFonts w:ascii="Arial" w:cs="Arial" w:eastAsia="Arial" w:hAnsi="Arial"/>
          <w:b w:val="false"/>
          <w:bCs w:val="false"/>
          <w:color w:val="1A1D23"/>
          <w:sz w:val="22"/>
          <w:szCs w:val="22"/>
        </w:rPr>
        <w:t xml:space="preserve">University-native payment infrastructure: 6 gateways including TouchNet, CashNet, and BBMS — the gateways every university advancement office actually uses.</w:t>
      </w:r>
    </w:p>
    <w:p>
      <w:pPr>
        <w:pStyle w:val="ListParagraph"/>
        <w:numPr>
          <w:ilvl w:val="0"/>
          <w:numId w:val="3"/>
        </w:numPr>
        <w:spacing w:before="30" w:after="50"/>
      </w:pPr>
      <w:r>
        <w:rPr>
          <w:rFonts w:ascii="Arial" w:cs="Arial" w:eastAsia="Arial" w:hAnsi="Arial"/>
          <w:b w:val="false"/>
          <w:bCs w:val="false"/>
          <w:color w:val="1A1D23"/>
          <w:sz w:val="22"/>
          <w:szCs w:val="22"/>
        </w:rPr>
        <w:t xml:space="preserve">The 5-layer Contact Readiness Score (capacity, propensity, timing, relationship, institutional) is more sophisticated than any known competitor's scoring model.</w:t>
      </w:r>
    </w:p>
    <w:p>
      <w:pPr>
        <w:pStyle w:val="ListParagraph"/>
        <w:numPr>
          <w:ilvl w:val="0"/>
          <w:numId w:val="3"/>
        </w:numPr>
        <w:spacing w:before="30" w:after="50"/>
      </w:pPr>
      <w:r>
        <w:rPr>
          <w:rFonts w:ascii="Arial" w:cs="Arial" w:eastAsia="Arial" w:hAnsi="Arial"/>
          <w:b w:val="false"/>
          <w:bCs w:val="false"/>
          <w:color w:val="1A1D23"/>
          <w:sz w:val="22"/>
          <w:szCs w:val="22"/>
        </w:rPr>
        <w:t xml:space="preserve">Handwritten note integration via Handwrytten creates a physical touchpoint that AI-only competitors cannot replicate. The emotional impact is proven in pilot data.</w:t>
      </w:r>
    </w:p>
    <w:p>
      <w:pPr>
        <w:pStyle w:val="ListParagraph"/>
        <w:numPr>
          <w:ilvl w:val="0"/>
          <w:numId w:val="3"/>
        </w:numPr>
        <w:spacing w:before="30" w:after="50"/>
      </w:pPr>
      <w:r>
        <w:rPr>
          <w:rFonts w:ascii="Arial" w:cs="Arial" w:eastAsia="Arial" w:hAnsi="Arial"/>
          <w:b w:val="false"/>
          <w:bCs w:val="false"/>
          <w:color w:val="1A1D23"/>
          <w:sz w:val="22"/>
          <w:szCs w:val="22"/>
        </w:rPr>
        <w:t xml:space="preserve">The CGA Calculator embedded in the Planned Giving workflow is immediately usable in a live prospect meeting — no competing platform has this.</w:t>
      </w:r>
    </w:p>
    <w:p>
      <w:pPr>
        <w:pStyle w:val="ListParagraph"/>
        <w:numPr>
          <w:ilvl w:val="0"/>
          <w:numId w:val="3"/>
        </w:numPr>
        <w:spacing w:before="30" w:after="50"/>
      </w:pPr>
      <w:r>
        <w:rPr>
          <w:rFonts w:ascii="Arial" w:cs="Arial" w:eastAsia="Arial" w:hAnsi="Arial"/>
          <w:b w:val="false"/>
          <w:bCs w:val="false"/>
          <w:color w:val="1A1D23"/>
          <w:sz w:val="22"/>
          <w:szCs w:val="22"/>
        </w:rPr>
        <w:t xml:space="preserve">The audit log with hash chain integrity sets a FERPA-ready compliance standard that will be a decisive differentiator in enterprise sales cycles.</w:t>
      </w:r>
    </w:p>
    <w:p>
      <w:pPr>
        <w:pStyle w:val="ListParagraph"/>
        <w:numPr>
          <w:ilvl w:val="0"/>
          <w:numId w:val="3"/>
        </w:numPr>
        <w:spacing w:before="30" w:after="50"/>
      </w:pPr>
      <w:r>
        <w:rPr>
          <w:rFonts w:ascii="Arial" w:cs="Arial" w:eastAsia="Arial" w:hAnsi="Arial"/>
          <w:b w:val="false"/>
          <w:bCs w:val="false"/>
          <w:color w:val="1A1D23"/>
          <w:sz w:val="22"/>
          <w:szCs w:val="22"/>
        </w:rPr>
        <w:t xml:space="preserve">The Outreach approval queue with AI reasoning ("why is this message right for this donor right now") keeps humans in control while removing the manual writing burden.</w:t>
      </w:r>
    </w:p>
    <w:p>
      <w:pPr>
        <w:pStyle w:val="ListParagraph"/>
        <w:numPr>
          <w:ilvl w:val="0"/>
          <w:numId w:val="3"/>
        </w:numPr>
        <w:spacing w:before="30" w:after="50"/>
      </w:pPr>
      <w:r>
        <w:rPr>
          <w:rFonts w:ascii="Arial" w:cs="Arial" w:eastAsia="Arial" w:hAnsi="Arial"/>
          <w:b w:val="false"/>
          <w:bCs w:val="false"/>
          <w:color w:val="1A1D23"/>
          <w:sz w:val="22"/>
          <w:szCs w:val="22"/>
        </w:rPr>
        <w:t xml:space="preserve">The pre-call briefing generator for the Phone Dialer saves officers 10–15 minutes of CRM preparation per call — measurable time savings that translate to more calls.</w:t>
      </w:r>
    </w:p>
    <w:p>
      <w:pPr>
        <w:spacing w:before="200" w:after="0"/>
      </w:pPr>
      <w:r>
        <w:t xml:space="preserve"/>
      </w:r>
    </w:p>
    <w:p>
      <w:pPr>
        <w:pStyle w:val="Heading1"/>
        <w:spacing w:before="360" w:after="160"/>
      </w:pPr>
      <w:r>
        <w:rPr>
          <w:rFonts w:ascii="Arial" w:cs="Arial" w:eastAsia="Arial" w:hAnsi="Arial"/>
          <w:b/>
          <w:bCs/>
          <w:color w:val="1A1D23"/>
          <w:sz w:val="36"/>
          <w:szCs w:val="36"/>
        </w:rPr>
        <w:t xml:space="preserve">Section 12 — Session Close &amp; Next Steps</w:t>
      </w:r>
    </w:p>
    <w:p>
      <w:pPr>
        <w:pStyle w:val="Heading2"/>
        <w:pBdr>
          <w:bottom w:val="single" w:color="2A8C7E" w:sz="4" w:space="4"/>
        </w:pBdr>
        <w:spacing w:before="280" w:after="120"/>
      </w:pPr>
      <w:r>
        <w:rPr>
          <w:rFonts w:ascii="Arial" w:cs="Arial" w:eastAsia="Arial" w:hAnsi="Arial"/>
          <w:b/>
          <w:bCs/>
          <w:color w:val="2A8C7E"/>
          <w:sz w:val="26"/>
          <w:szCs w:val="26"/>
        </w:rPr>
        <w:t xml:space="preserve">Consensus Agreement</w:t>
      </w:r>
    </w:p>
    <w:p>
      <w:pPr>
        <w:spacing w:before="40" w:after="80"/>
        <w:jc w:val="left"/>
      </w:pPr>
      <w:r>
        <w:rPr>
          <w:rFonts w:ascii="Arial" w:cs="Arial" w:eastAsia="Arial" w:hAnsi="Arial"/>
          <w:b w:val="false"/>
          <w:bCs w:val="false"/>
          <w:i w:val="false"/>
          <w:iCs w:val="false"/>
          <w:color w:val="1A1D23"/>
          <w:sz w:val="22"/>
          <w:szCs w:val="22"/>
        </w:rPr>
        <w:t xml:space="preserve">All 14 stakeholder archetypes agreed on the following statements at close of session:</w:t>
      </w:r>
    </w:p>
    <w:p>
      <w:pPr>
        <w:pStyle w:val="ListParagraph"/>
        <w:numPr>
          <w:ilvl w:val="0"/>
          <w:numId w:val="3"/>
        </w:numPr>
        <w:spacing w:before="30" w:after="50"/>
      </w:pPr>
      <w:r>
        <w:rPr>
          <w:rFonts w:ascii="Arial" w:cs="Arial" w:eastAsia="Arial" w:hAnsi="Arial"/>
          <w:b w:val="false"/>
          <w:bCs w:val="false"/>
          <w:color w:val="1A1D23"/>
          <w:sz w:val="22"/>
          <w:szCs w:val="22"/>
        </w:rPr>
        <w:t xml:space="preserve">Orbit is a genuinely differentiated platform with features no competitor currently offers.</w:t>
      </w:r>
    </w:p>
    <w:p>
      <w:pPr>
        <w:pStyle w:val="ListParagraph"/>
        <w:numPr>
          <w:ilvl w:val="0"/>
          <w:numId w:val="3"/>
        </w:numPr>
        <w:spacing w:before="30" w:after="50"/>
      </w:pPr>
      <w:r>
        <w:rPr>
          <w:rFonts w:ascii="Arial" w:cs="Arial" w:eastAsia="Arial" w:hAnsi="Arial"/>
          <w:b w:val="false"/>
          <w:bCs w:val="false"/>
          <w:color w:val="1A1D23"/>
          <w:sz w:val="22"/>
          <w:szCs w:val="22"/>
        </w:rPr>
        <w:t xml:space="preserve">The product is not pilot-ready today due to 7 P0 blockers — all of which are fixable within 8 weeks.</w:t>
      </w:r>
    </w:p>
    <w:p>
      <w:pPr>
        <w:pStyle w:val="ListParagraph"/>
        <w:numPr>
          <w:ilvl w:val="0"/>
          <w:numId w:val="3"/>
        </w:numPr>
        <w:spacing w:before="30" w:after="50"/>
      </w:pPr>
      <w:r>
        <w:rPr>
          <w:rFonts w:ascii="Arial" w:cs="Arial" w:eastAsia="Arial" w:hAnsi="Arial"/>
          <w:b w:val="false"/>
          <w:bCs w:val="false"/>
          <w:color w:val="1A1D23"/>
          <w:sz w:val="22"/>
          <w:szCs w:val="22"/>
        </w:rPr>
        <w:t xml:space="preserve">The 90-day action plan as written is realistic and appropriately sequenced.</w:t>
      </w:r>
    </w:p>
    <w:p>
      <w:pPr>
        <w:pStyle w:val="ListParagraph"/>
        <w:numPr>
          <w:ilvl w:val="0"/>
          <w:numId w:val="3"/>
        </w:numPr>
        <w:spacing w:before="30" w:after="50"/>
      </w:pPr>
      <w:r>
        <w:rPr>
          <w:rFonts w:ascii="Arial" w:cs="Arial" w:eastAsia="Arial" w:hAnsi="Arial"/>
          <w:b w:val="false"/>
          <w:bCs w:val="false"/>
          <w:color w:val="1A1D23"/>
          <w:sz w:val="22"/>
          <w:szCs w:val="22"/>
        </w:rPr>
        <w:t xml:space="preserve">The first pilot should be a no-cost 90-day engagement with a known contact at a private university with $2M–$15M annual giving volume.</w:t>
      </w:r>
    </w:p>
    <w:p>
      <w:pPr>
        <w:pStyle w:val="ListParagraph"/>
        <w:numPr>
          <w:ilvl w:val="0"/>
          <w:numId w:val="3"/>
        </w:numPr>
        <w:spacing w:before="30" w:after="50"/>
      </w:pPr>
      <w:r>
        <w:rPr>
          <w:rFonts w:ascii="Arial" w:cs="Arial" w:eastAsia="Arial" w:hAnsi="Arial"/>
          <w:b w:val="false"/>
          <w:bCs w:val="false"/>
          <w:color w:val="1A1D23"/>
          <w:sz w:val="22"/>
          <w:szCs w:val="22"/>
        </w:rPr>
        <w:t xml:space="preserve">The founding engineer hire is the single most important resource decision and should be triggered the moment a signed LOI or paid contract is in hand.</w:t>
      </w:r>
    </w:p>
    <w:p>
      <w:pPr>
        <w:spacing w:before="12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Immediate Next Actions (This Week)</w:t>
      </w:r>
    </w:p>
    <w:p>
      <w:pPr>
        <w:pStyle w:val="ListParagraph"/>
        <w:numPr>
          <w:ilvl w:val="0"/>
          <w:numId w:val="2"/>
        </w:numPr>
        <w:spacing w:before="30" w:after="50"/>
      </w:pPr>
      <w:r>
        <w:rPr>
          <w:rFonts w:ascii="Arial" w:cs="Arial" w:eastAsia="Arial" w:hAnsi="Arial"/>
          <w:color w:val="1A1D23"/>
          <w:sz w:val="22"/>
          <w:szCs w:val="22"/>
        </w:rPr>
        <w:t xml:space="preserve">Engineer: Mount all 6 unconnected backend routes — 2 hours of work.</w:t>
      </w:r>
    </w:p>
    <w:p>
      <w:pPr>
        <w:pStyle w:val="ListParagraph"/>
        <w:numPr>
          <w:ilvl w:val="0"/>
          <w:numId w:val="2"/>
        </w:numPr>
        <w:spacing w:before="30" w:after="50"/>
      </w:pPr>
      <w:r>
        <w:rPr>
          <w:rFonts w:ascii="Arial" w:cs="Arial" w:eastAsia="Arial" w:hAnsi="Arial"/>
          <w:color w:val="1A1D23"/>
          <w:sz w:val="22"/>
          <w:szCs w:val="22"/>
        </w:rPr>
        <w:t xml:space="preserve">Engineer: Deploy backend to Railway — get a public URL.</w:t>
      </w:r>
    </w:p>
    <w:p>
      <w:pPr>
        <w:pStyle w:val="ListParagraph"/>
        <w:numPr>
          <w:ilvl w:val="0"/>
          <w:numId w:val="2"/>
        </w:numPr>
        <w:spacing w:before="30" w:after="50"/>
      </w:pPr>
      <w:r>
        <w:rPr>
          <w:rFonts w:ascii="Arial" w:cs="Arial" w:eastAsia="Arial" w:hAnsi="Arial"/>
          <w:color w:val="1A1D23"/>
          <w:sz w:val="22"/>
          <w:szCs w:val="22"/>
        </w:rPr>
        <w:t xml:space="preserve">Engineer: Install Sentry error monitoring.</w:t>
      </w:r>
    </w:p>
    <w:p>
      <w:pPr>
        <w:pStyle w:val="ListParagraph"/>
        <w:numPr>
          <w:ilvl w:val="0"/>
          <w:numId w:val="2"/>
        </w:numPr>
        <w:spacing w:before="30" w:after="50"/>
      </w:pPr>
      <w:r>
        <w:rPr>
          <w:rFonts w:ascii="Arial" w:cs="Arial" w:eastAsia="Arial" w:hAnsi="Arial"/>
          <w:color w:val="1A1D23"/>
          <w:sz w:val="22"/>
          <w:szCs w:val="22"/>
        </w:rPr>
        <w:t xml:space="preserve">Founder: Contact attorney to begin Privacy Policy and DPA drafting.</w:t>
      </w:r>
    </w:p>
    <w:p>
      <w:pPr>
        <w:pStyle w:val="ListParagraph"/>
        <w:numPr>
          <w:ilvl w:val="0"/>
          <w:numId w:val="2"/>
        </w:numPr>
        <w:spacing w:before="30" w:after="50"/>
      </w:pPr>
      <w:r>
        <w:rPr>
          <w:rFonts w:ascii="Arial" w:cs="Arial" w:eastAsia="Arial" w:hAnsi="Arial"/>
          <w:color w:val="1A1D23"/>
          <w:sz w:val="22"/>
          <w:szCs w:val="22"/>
        </w:rPr>
        <w:t xml:space="preserve">Founder: Add AI disclosure footer to all outreach draft templates.</w:t>
      </w:r>
    </w:p>
    <w:p>
      <w:pPr>
        <w:pStyle w:val="ListParagraph"/>
        <w:numPr>
          <w:ilvl w:val="0"/>
          <w:numId w:val="2"/>
        </w:numPr>
        <w:spacing w:before="30" w:after="50"/>
      </w:pPr>
      <w:r>
        <w:rPr>
          <w:rFonts w:ascii="Arial" w:cs="Arial" w:eastAsia="Arial" w:hAnsi="Arial"/>
          <w:color w:val="1A1D23"/>
          <w:sz w:val="22"/>
          <w:szCs w:val="22"/>
        </w:rPr>
        <w:t xml:space="preserve">Engineer: Add VPGO contact frequency cap (2 per 30 days) to vsoEngine.js.</w:t>
      </w:r>
    </w:p>
    <w:p>
      <w:pPr>
        <w:pStyle w:val="ListParagraph"/>
        <w:numPr>
          <w:ilvl w:val="0"/>
          <w:numId w:val="2"/>
        </w:numPr>
        <w:spacing w:before="30" w:after="50"/>
      </w:pPr>
      <w:r>
        <w:rPr>
          <w:rFonts w:ascii="Arial" w:cs="Arial" w:eastAsia="Arial" w:hAnsi="Arial"/>
          <w:color w:val="1A1D23"/>
          <w:sz w:val="22"/>
          <w:szCs w:val="22"/>
        </w:rPr>
        <w:t xml:space="preserve">Founder: Identify 2–3 pilot university candidates from personal network.</w:t>
      </w:r>
    </w:p>
    <w:p>
      <w:pPr>
        <w:spacing w:before="120" w:after="0"/>
      </w:pPr>
      <w:r>
        <w:t xml:space="preserve"/>
      </w:r>
    </w:p>
    <w:p>
      <w:pPr>
        <w:pStyle w:val="Heading2"/>
        <w:pBdr>
          <w:bottom w:val="single" w:color="2A8C7E" w:sz="4" w:space="4"/>
        </w:pBdr>
        <w:spacing w:before="280" w:after="120"/>
      </w:pPr>
      <w:r>
        <w:rPr>
          <w:rFonts w:ascii="Arial" w:cs="Arial" w:eastAsia="Arial" w:hAnsi="Arial"/>
          <w:b/>
          <w:bCs/>
          <w:color w:val="2A8C7E"/>
          <w:sz w:val="26"/>
          <w:szCs w:val="26"/>
        </w:rPr>
        <w:t xml:space="preserve">Session Facilitator Notes</w:t>
      </w:r>
    </w:p>
    <w:p>
      <w:pPr>
        <w:spacing w:before="40" w:after="80"/>
        <w:jc w:val="left"/>
      </w:pPr>
      <w:r>
        <w:rPr>
          <w:rFonts w:ascii="Arial" w:cs="Arial" w:eastAsia="Arial" w:hAnsi="Arial"/>
          <w:b w:val="false"/>
          <w:bCs w:val="false"/>
          <w:i w:val="false"/>
          <w:iCs w:val="false"/>
          <w:color w:val="1A1D23"/>
          <w:sz w:val="22"/>
          <w:szCs w:val="22"/>
        </w:rPr>
        <w:t xml:space="preserve">This session confirmed that Orbit's product vision is sound and its technical execution is significantly more complete than a typical pre-revenue SaaS. The platform has genuine capability that advancement officers find credible and useful.</w:t>
      </w:r>
    </w:p>
    <w:p>
      <w:pPr>
        <w:spacing w:before="40" w:after="80"/>
        <w:jc w:val="left"/>
      </w:pPr>
      <w:r>
        <w:rPr>
          <w:rFonts w:ascii="Arial" w:cs="Arial" w:eastAsia="Arial" w:hAnsi="Arial"/>
          <w:b w:val="false"/>
          <w:bCs w:val="false"/>
          <w:i w:val="false"/>
          <w:iCs w:val="false"/>
          <w:color w:val="1A1D23"/>
          <w:sz w:val="22"/>
          <w:szCs w:val="22"/>
        </w:rPr>
        <w:t xml:space="preserve">The path to a first paid contract is clear: close the 7 P0 items, complete the legal documentation, and deploy to production. Everything else can be iterated post-pilot with real user feedback from a live institution.</w:t>
      </w:r>
    </w:p>
    <w:p>
      <w:pPr>
        <w:spacing w:before="40" w:after="80"/>
        <w:jc w:val="left"/>
      </w:pPr>
      <w:r>
        <w:rPr>
          <w:rFonts w:ascii="Arial" w:cs="Arial" w:eastAsia="Arial" w:hAnsi="Arial"/>
          <w:b w:val="false"/>
          <w:bCs w:val="false"/>
          <w:i w:val="false"/>
          <w:iCs w:val="false"/>
          <w:color w:val="1A1D23"/>
          <w:sz w:val="22"/>
          <w:szCs w:val="22"/>
        </w:rPr>
        <w:t xml:space="preserve">The most important signal from this session: the end users (donors) are asking for transparency. AI disclosure, contact frequency controls, and data rights are not optional features — they are the foundation of trust that makes the entire platform work. A donor who trusts the institution will give more. A donor who feels manipulated will disengage permanently.</w:t>
      </w:r>
    </w:p>
    <w:p>
      <w:pPr>
        <w:spacing w:before="120" w:after="0"/>
      </w:pPr>
      <w:r>
        <w:t xml:space="preserve"/>
      </w:r>
    </w:p>
    <w:p>
      <w:pPr>
        <w:pBdr>
          <w:bottom w:val="single" w:color="2A8C7E" w:sz="4" w:space="2"/>
        </w:pBdr>
        <w:spacing w:before="120" w:after="120"/>
      </w:pPr>
      <w:r>
        <w:t xml:space="preserve"/>
      </w:r>
    </w:p>
    <w:p>
      <w:pPr>
        <w:spacing w:before="80" w:after="40"/>
        <w:jc w:val="center"/>
      </w:pPr>
      <w:r>
        <w:rPr>
          <w:rFonts w:ascii="Arial" w:cs="Arial" w:eastAsia="Arial" w:hAnsi="Arial"/>
          <w:color w:val="757880"/>
          <w:sz w:val="18"/>
          <w:szCs w:val="18"/>
        </w:rPr>
        <w:t xml:space="preserve">Orbit Platform  |  Cross-Stakeholder Focus Group Report  |  Confidential</w:t>
      </w:r>
    </w:p>
    <w:p>
      <w:pPr>
        <w:jc w:val="center"/>
      </w:pPr>
      <w:r>
        <w:rPr>
          <w:rFonts w:ascii="Arial" w:cs="Arial" w:eastAsia="Arial" w:hAnsi="Arial"/>
          <w:color w:val="BBBDC2"/>
          <w:sz w:val="18"/>
          <w:szCs w:val="18"/>
        </w:rPr>
        <w:t xml:space="preserve">Generated: March 9, 2026  |  Build v2.0.0  |  orbit.ai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D23"/>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A8C7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D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2026-03-09T06:24:01.891Z</dcterms:created>
  <dcterms:modified xsi:type="dcterms:W3CDTF">2026-03-09T06:24:01.892Z</dcterms:modified>
</cp:coreProperties>
</file>

<file path=docProps/custom.xml><?xml version="1.0" encoding="utf-8"?>
<Properties xmlns="http://schemas.openxmlformats.org/officeDocument/2006/custom-properties" xmlns:vt="http://schemas.openxmlformats.org/officeDocument/2006/docPropsVTypes"/>
</file>