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2A8C7E"/>
          <w:sz w:val="72"/>
          <w:szCs w:val="72"/>
        </w:rPr>
        <w:t xml:space="preserve">Orbit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8181F"/>
          <w:sz w:val="36"/>
          <w:szCs w:val="36"/>
        </w:rPr>
        <w:t xml:space="preserve">The Autonomous Fundraising Intelligence Platform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2"/>
          <w:szCs w:val="22"/>
        </w:rPr>
        <w:t xml:space="preserve">Orbit deploys AI advancement officers — VEO, VSO, VPGO, and VCO — that identify, cultivate, and steward donors 24/7. Built specifically for university advancement offices, Orbit turns your alumni database into a precision fundraising engine without adding headcount.</w:t>
      </w:r>
    </w:p>
    <w:p>
      <w:pPr>
        <w:spacing w:before="8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A8C7E"/>
          <w:sz w:val="36"/>
          <w:szCs w:val="36"/>
        </w:rPr>
        <w:t xml:space="preserve">The Problem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4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181F"/>
                <w:sz w:val="22"/>
                <w:szCs w:val="22"/>
              </w:rPr>
              <w:t xml:space="preserve">University advancement offices are overwhelmed.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The average advancement officer manages 150+ donor relationships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80% of alumni never receive a personalized touchpoint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Major gift portfolios sit untouched for months between contacts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Lapsed donors silently churn — nobody has time to re-engage them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Matching gift opportunities worth millions go unclaimed every year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6D52"/>
                <w:sz w:val="20"/>
                <w:szCs w:val="20"/>
              </w:rPr>
              <w:t xml:space="preserve">The result: universities leave 40–60% of addressable fundraising capacity on the table — every single year.</w:t>
            </w:r>
          </w:p>
        </w:tc>
        <w:tc>
          <w:tcPr>
            <w:tcW w:type="dxa" w:w="4920"/>
            <w:tcBorders>
              <w:top w:val="none"/>
              <w:left w:val="single" w:color="DDDAD6" w:sz="4"/>
              <w:bottom w:val="none"/>
              <w:right w:val="none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8181F"/>
                <w:sz w:val="22"/>
                <w:szCs w:val="22"/>
              </w:rPr>
              <w:t xml:space="preserve">The advancement team is stretched thin:</w:t>
            </w:r>
          </w:p>
          <w:p>
            <w:pPr>
              <w:spacing w:before="40" w:after="0"/>
            </w:pPr>
            <w:r>
              <w:t xml:space="preserve"/>
            </w:r>
          </w:p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4680"/>
                  <w:tcBorders>
                    <w:top w:val="none"/>
                    <w:left w:val="none"/>
                    <w:bottom w:val="none"/>
                    <w:right w:val="single" w:color="FFFFFF" w:sz="4"/>
                  </w:tcBorders>
                  <w:shd w:color="E4F4F1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A8C7E"/>
                      <w:sz w:val="36"/>
                      <w:szCs w:val="36"/>
                    </w:rPr>
                    <w:t xml:space="preserve">150+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Avg donors per officer</w:t>
                  </w:r>
                </w:p>
                <w:p>
                  <w:pPr>
                    <w:spacing w:before="1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A8C7E"/>
                      <w:sz w:val="14"/>
                      <w:szCs w:val="14"/>
                    </w:rPr>
                    <w:t xml:space="preserve">industry avg</w:t>
                  </w:r>
                </w:p>
              </w:tc>
              <w:tc>
                <w:tcPr>
                  <w:tcW w:type="dxa" w:w="4680"/>
                  <w:tcBorders>
                    <w:top w:val="none"/>
                    <w:left w:val="none"/>
                    <w:bottom w:val="none"/>
                    <w:right w:val="single" w:color="FFFFFF" w:sz="4"/>
                  </w:tcBorders>
                  <w:shd w:color="E4F4F1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A8C7E"/>
                      <w:sz w:val="36"/>
                      <w:szCs w:val="36"/>
                    </w:rPr>
                    <w:t xml:space="preserve">80%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Alumni never contacted</w:t>
                  </w:r>
                </w:p>
                <w:p>
                  <w:pPr>
                    <w:spacing w:before="1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A8C7E"/>
                      <w:sz w:val="14"/>
                      <w:szCs w:val="14"/>
                    </w:rPr>
                    <w:t xml:space="preserve">annually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4680"/>
                  <w:tcBorders>
                    <w:top w:val="none"/>
                    <w:left w:val="none"/>
                    <w:bottom w:val="none"/>
                    <w:right w:val="single" w:color="FFFFFF" w:sz="4"/>
                  </w:tcBorders>
                  <w:shd w:color="FDF2E4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A8C7E"/>
                      <w:sz w:val="36"/>
                      <w:szCs w:val="36"/>
                    </w:rPr>
                    <w:t xml:space="preserve">$4–7B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Unclaimed matching gifts</w:t>
                  </w:r>
                </w:p>
                <w:p>
                  <w:pPr>
                    <w:spacing w:before="1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A8C7E"/>
                      <w:sz w:val="14"/>
                      <w:szCs w:val="14"/>
                    </w:rPr>
                    <w:t xml:space="preserve">US universities/yr</w:t>
                  </w:r>
                </w:p>
              </w:tc>
              <w:tc>
                <w:tcPr>
                  <w:tcW w:type="dxa" w:w="4680"/>
                  <w:tcBorders>
                    <w:top w:val="none"/>
                    <w:left w:val="none"/>
                    <w:bottom w:val="none"/>
                    <w:right w:val="single" w:color="FFFFFF" w:sz="4"/>
                  </w:tcBorders>
                  <w:shd w:color="FDF2E4" w:val="solid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A8C7E"/>
                      <w:sz w:val="36"/>
                      <w:szCs w:val="36"/>
                    </w:rPr>
                    <w:t xml:space="preserve">40–60%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6"/>
                      <w:szCs w:val="16"/>
                    </w:rPr>
                    <w:t xml:space="preserve">Fundraising capacity gap</w:t>
                  </w:r>
                </w:p>
                <w:p>
                  <w:pPr>
                    <w:spacing w:before="1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A8C7E"/>
                      <w:sz w:val="14"/>
                      <w:szCs w:val="14"/>
                    </w:rPr>
                    <w:t xml:space="preserve">left on table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A8C7E"/>
          <w:sz w:val="36"/>
          <w:szCs w:val="36"/>
        </w:rPr>
        <w:t xml:space="preserve">The Solution: 4 AI Advancement Officers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1"/>
          <w:szCs w:val="21"/>
        </w:rPr>
        <w:t xml:space="preserve">Orbit's four autonomous agents run continuously across your donor database, acting with the judgment of experienced fundraisers at 1/10th the cost of an equivalent team.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DDDAD6" w:sz="4"/>
          <w:left w:val="none"/>
          <w:bottom w:val="single" w:color="DDDAD6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color="2A8C7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81F"/>
                <w:sz w:val="18"/>
                <w:szCs w:val="18"/>
              </w:rPr>
              <w:t xml:space="preserve">Virtual Engagement Officer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81F"/>
                <w:sz w:val="18"/>
                <w:szCs w:val="18"/>
              </w:rPr>
              <w:t xml:space="preserve">Manages 8–14 touchpoint cultivation journeys for mid-level and major gift prospects. Generates personalized outreach, briefings, and call scripts.</w:t>
            </w:r>
          </w:p>
        </w:tc>
        <w:tc>
          <w:tcPr>
            <w:tcW w:type="dxa" w:w="2160"/>
            <w:shd w:color="F6F5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8C7E"/>
                <w:sz w:val="18"/>
                <w:szCs w:val="18"/>
              </w:rPr>
              <w:t xml:space="preserve">$8.2M portfolio under management</w:t>
            </w:r>
          </w:p>
        </w:tc>
      </w:tr>
      <w:tr>
        <w:tc>
          <w:tcPr>
            <w:tcW w:type="dxa" w:w="1200"/>
            <w:shd w:color="CC6D5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81F"/>
                <w:sz w:val="18"/>
                <w:szCs w:val="18"/>
              </w:rPr>
              <w:t xml:space="preserve">Virtual Stewardship Officer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81F"/>
                <w:sz w:val="18"/>
                <w:szCs w:val="18"/>
              </w:rPr>
              <w:t xml:space="preserve">Delivers impact reports, anniversary thank-yous, and milestone messages to every donor post-gift. Perpetual, automated, human-feeling.</w:t>
            </w:r>
          </w:p>
        </w:tc>
        <w:tc>
          <w:tcPr>
            <w:tcW w:type="dxa" w:w="2160"/>
            <w:shd w:color="F6F5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D52"/>
                <w:sz w:val="18"/>
                <w:szCs w:val="18"/>
              </w:rPr>
              <w:t xml:space="preserve">94.6% stewardship coverage</w:t>
            </w:r>
          </w:p>
        </w:tc>
      </w:tr>
      <w:tr>
        <w:tc>
          <w:tcPr>
            <w:tcW w:type="dxa" w:w="1200"/>
            <w:shd w:color="5A6DA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VPGO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81F"/>
                <w:sz w:val="18"/>
                <w:szCs w:val="18"/>
              </w:rPr>
              <w:t xml:space="preserve">Virtual Planned Giving Officer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81F"/>
                <w:sz w:val="18"/>
                <w:szCs w:val="18"/>
              </w:rPr>
              <w:t xml:space="preserve">Identifies estate gift prospects and initiates long-horizon legacy conversations with empathy and patience across months and years.</w:t>
            </w:r>
          </w:p>
        </w:tc>
        <w:tc>
          <w:tcPr>
            <w:tcW w:type="dxa" w:w="2160"/>
            <w:shd w:color="F6F5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DA8"/>
                <w:sz w:val="18"/>
                <w:szCs w:val="18"/>
              </w:rPr>
              <w:t xml:space="preserve">Est. $2.1M pipeline</w:t>
            </w:r>
          </w:p>
        </w:tc>
      </w:tr>
      <w:tr>
        <w:tc>
          <w:tcPr>
            <w:tcW w:type="dxa" w:w="1200"/>
            <w:shd w:color="C285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81F"/>
                <w:sz w:val="18"/>
                <w:szCs w:val="18"/>
              </w:rPr>
              <w:t xml:space="preserve">Virtual Campaign Officer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81F"/>
                <w:sz w:val="18"/>
                <w:szCs w:val="18"/>
              </w:rPr>
              <w:t xml:space="preserve">Orchestrates time-sensitive giving day and campaign appeals with real-time personalization, urgency signals, and live optimization.</w:t>
            </w:r>
          </w:p>
        </w:tc>
        <w:tc>
          <w:tcPr>
            <w:tcW w:type="dxa" w:w="2160"/>
            <w:shd w:color="F6F5F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34% campaign conversion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A8C7E"/>
          <w:sz w:val="36"/>
          <w:szCs w:val="36"/>
        </w:rPr>
        <w:t xml:space="preserve">Pilot Results — Greenfield University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0"/>
          <w:szCs w:val="20"/>
        </w:rPr>
        <w:t xml:space="preserve">Results from a 90-day pilot with Greenfield University (Growth plan, ~350 alumni in system).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color="E4F4F1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36"/>
                <w:szCs w:val="36"/>
              </w:rPr>
              <w:t xml:space="preserve">$49M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donor capacity identified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14"/>
                <w:szCs w:val="14"/>
              </w:rPr>
              <w:t xml:space="preserve">350 alumni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color="E4F4F1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36"/>
                <w:szCs w:val="36"/>
              </w:rPr>
              <w:t xml:space="preserve">$8.7M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raised (historical)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14"/>
                <w:szCs w:val="14"/>
              </w:rPr>
              <w:t xml:space="preserve">tracked in Orbit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color="E4F4F1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36"/>
                <w:szCs w:val="36"/>
              </w:rPr>
              <w:t xml:space="preserve">$535K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YTD raised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14"/>
                <w:szCs w:val="14"/>
              </w:rPr>
              <w:t xml:space="preserve">this fiscal year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color="E4F4F1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36"/>
                <w:szCs w:val="36"/>
              </w:rPr>
              <w:t xml:space="preserve">$7,860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Avg gift size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14"/>
                <w:szCs w:val="14"/>
              </w:rPr>
              <w:t xml:space="preserve">across all gifts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color="FDF2E4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36"/>
                <w:szCs w:val="36"/>
              </w:rPr>
              <w:t xml:space="preserve">79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Matching gift eligible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14"/>
                <w:szCs w:val="14"/>
              </w:rPr>
              <w:t xml:space="preserve">donors identified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color="FDF2E4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36"/>
                <w:szCs w:val="36"/>
              </w:rPr>
              <w:t xml:space="preserve">15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Pledge pipeline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14"/>
                <w:szCs w:val="14"/>
              </w:rPr>
              <w:t xml:space="preserve">active pledges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color="FDF2E4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36"/>
                <w:szCs w:val="36"/>
              </w:rPr>
              <w:t xml:space="preserve">582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Outreach messages sent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14"/>
                <w:szCs w:val="14"/>
              </w:rPr>
              <w:t xml:space="preserve">in 90 days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color="FDF2E4" w:val="solid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36"/>
                <w:szCs w:val="36"/>
              </w:rPr>
              <w:t xml:space="preserve">141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Lapsed donors flagged</w:t>
            </w:r>
          </w:p>
          <w:p>
            <w:pPr>
              <w:spacing w:before="1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14"/>
                <w:szCs w:val="14"/>
              </w:rPr>
              <w:t xml:space="preserve">re-engagement queue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A8C7E"/>
          <w:sz w:val="36"/>
          <w:szCs w:val="36"/>
        </w:rPr>
        <w:t xml:space="preserve">How It Works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4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E4F4F1" w:sz="4"/>
              </w:pBd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18181F"/>
                <w:sz w:val="26"/>
                <w:szCs w:val="26"/>
              </w:rPr>
              <w:t xml:space="preserve">Connect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Native integrations: Salesforce NPSP, Blackbaud RE NXT, HubSpot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One-click OAuth sync — no manual data exports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Historical giving, engagement, and wealth screening data imported automatically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Go live in under 48 hours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Bdr>
                <w:bottom w:val="single" w:color="E4F4F1" w:sz="4"/>
              </w:pBd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18181F"/>
                <w:sz w:val="26"/>
                <w:szCs w:val="26"/>
              </w:rPr>
              <w:t xml:space="preserve">Orbit Runs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AI agents score every donor daily on capacity, engagement, and giving signals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Agents draft outreach, briefings, and call scripts autonomously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Advancement officers review and approve in a clean queue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All actions logged for FERPA compliance and audit trail</w:t>
            </w:r>
          </w:p>
        </w:tc>
        <w:tc>
          <w:tcPr>
            <w:tcW w:type="dxa" w:w="4920"/>
            <w:tcBorders>
              <w:top w:val="none"/>
              <w:left w:val="single" w:color="DDDAD6" w:sz="4"/>
              <w:bottom w:val="none"/>
              <w:right w:val="none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Bdr>
                <w:bottom w:val="single" w:color="E4F4F1" w:sz="4"/>
              </w:pBd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18181F"/>
                <w:sz w:val="26"/>
                <w:szCs w:val="26"/>
              </w:rPr>
              <w:t xml:space="preserve">Your Team Wins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Officers spend time on relationships, not research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Every donor touched — from $50 annual to $5M estate gift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Matching gifts surface automatically — revenue with zero effort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Giving Day campaigns run on autopilot with real-time adjustments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Bdr>
                <w:left w:val="single" w:color="2A8C7E" w:sz="12"/>
              </w:pBdr>
              <w:shd w:color="E4F4F1" w:val="solid"/>
              <w:spacing w:before="120" w:after="120"/>
              <w:ind w:left="2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"Orbit found 23 matching gift opportunities in week one that we had completely missed. That's $87,000 in potential revenue we were leaving on the table."</w:t>
            </w:r>
          </w:p>
          <w:p>
            <w:pPr>
              <w:spacing w:before="20" w:after="0"/>
            </w:pPr>
            <w:r>
              <w:t xml:space="preserve"/>
            </w:r>
          </w:p>
          <w:p>
            <w:pPr>
              <w:spacing w:before="60" w:after="60"/>
              <w:ind w:left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 VP of Advancement, pilot customer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A8C7E"/>
          <w:sz w:val="36"/>
          <w:szCs w:val="36"/>
        </w:rPr>
        <w:t xml:space="preserve">Pricing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1"/>
          <w:szCs w:val="21"/>
        </w:rPr>
        <w:t xml:space="preserve">Simple annual subscription. No per-seat fees. No setup costs. Free 90-day pilot for qualified institutions.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single" w:color="FFFFFF" w:sz="4"/>
            </w:tcBorders>
            <w:shd w:color="E4F4F1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8"/>
                <w:szCs w:val="28"/>
              </w:rPr>
              <w:t xml:space="preserve">Starter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40"/>
                <w:szCs w:val="40"/>
              </w:rPr>
              <w:t xml:space="preserve">$499/mo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VEO + VSO, 2,500 donors, Email + SMS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single" w:color="FFFFFF" w:sz="4"/>
            </w:tcBorders>
            <w:shd w:color="2A8C7E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Growth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$1,299/mo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0EC"/>
                <w:sz w:val="17"/>
                <w:szCs w:val="17"/>
              </w:rPr>
              <w:t xml:space="preserve">All 4 Agents, 15K donors, All channels, Matching Gifts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single" w:color="FFFFFF" w:sz="4"/>
            </w:tcBorders>
            <w:shd w:color="1F3A3A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Enterprise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40"/>
                <w:szCs w:val="40"/>
              </w:rPr>
              <w:t xml:space="preserve">$3,999/mo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Unlimited donors, VPGO, Dedicated CSM, SLA 99.9%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Orbit pays for itself in matched gifts alone.</w:t>
      </w:r>
    </w:p>
    <w:p>
      <w:pPr>
        <w:spacing w:before="60" w:after="60"/>
      </w:pPr>
      <w:r>
        <w:rPr>
          <w:rFonts w:ascii="Arial" w:cs="Arial" w:eastAsia="Arial" w:hAnsi="Arial"/>
          <w:color w:val="18181F"/>
          <w:sz w:val="20"/>
          <w:szCs w:val="20"/>
        </w:rPr>
        <w:t xml:space="preserve">A single $50,000 major gift conversion — routine for Orbit — returns 3+ years of Growth plan subscription. Most customers see ROI within 60 days.</w:t>
      </w:r>
    </w:p>
    <w:p>
      <w:pPr>
        <w:spacing w:before="10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A8C7E"/>
          <w:sz w:val="36"/>
          <w:szCs w:val="36"/>
        </w:rPr>
        <w:t xml:space="preserve">Compliance &amp; Security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4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E4F4F1" w:sz="4"/>
              </w:pBd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18181F"/>
                <w:sz w:val="26"/>
                <w:szCs w:val="26"/>
              </w:rPr>
              <w:t xml:space="preserve">Data Privacy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FERPA-aligned — no student record access, alumni only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Data Processing Agreement (DPA) included with all plans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Your data never used to train AI models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GDPR + CCPA ready with configurable consent flows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7-year audit log retention (FERPA requirement)</w:t>
            </w:r>
          </w:p>
        </w:tc>
        <w:tc>
          <w:tcPr>
            <w:tcW w:type="dxa" w:w="4920"/>
            <w:tcBorders>
              <w:top w:val="none"/>
              <w:left w:val="single" w:color="DDDAD6" w:sz="4"/>
              <w:bottom w:val="none"/>
              <w:right w:val="none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Bdr>
                <w:bottom w:val="single" w:color="E4F4F1" w:sz="4"/>
              </w:pBd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18181F"/>
                <w:sz w:val="26"/>
                <w:szCs w:val="26"/>
              </w:rPr>
              <w:t xml:space="preserve">Infrastructure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SOC 2 Type I certification (in progress, Q3 2026)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All data encrypted at rest (AES-256) and in transit (TLS 1.3)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Single-tenant database isolation — no co-mingling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99.9% uptime SLA (Enterprise plan)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40" w:after="40"/>
              <w:ind w:left="360"/>
            </w:pPr>
            <w:r>
              <w:rPr>
                <w:rFonts w:ascii="Arial" w:cs="Arial" w:eastAsia="Arial" w:hAnsi="Arial"/>
                <w:color w:val="18181F"/>
                <w:sz w:val="20"/>
                <w:szCs w:val="20"/>
              </w:rPr>
              <w:t xml:space="preserve">Hosted on AWS US-East with daily backups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2A8C7E" w:val="solid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Start Your Free 90-Day Pilot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CF0EC"/>
                <w:sz w:val="22"/>
                <w:szCs w:val="22"/>
              </w:rPr>
              <w:t xml:space="preserve">No setup fees. No credit card. Full access to all Growth features for 90 days.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orbitgives.com/pilot  ·  hello@orbitgives.com  ·  (844) ORB-GIVE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E4F4F1" w:sz="4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504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2A8C7E"/>
              <w:sz w:val="28"/>
              <w:szCs w:val="28"/>
            </w:rPr>
            <w:t xml:space="preserve">ORBIT</w:t>
          </w:r>
          <w:r>
            <w:rPr>
              <w:rFonts w:ascii="Arial" w:cs="Arial" w:eastAsia="Arial" w:hAnsi="Arial"/>
              <w:color w:val="888888"/>
              <w:sz w:val="22"/>
              <w:szCs w:val="22"/>
            </w:rPr>
            <w:t xml:space="preserve">  ·  Autonomous Fundraising Intelligence</w:t>
          </w:r>
        </w:p>
      </w:tc>
      <w:tc>
        <w:tcPr>
          <w:tcW w:type="dxa" w:w="504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orbitgives.com  ·  hello@orbitgives.com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8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2026-03-08T05:37:46.666Z</dcterms:created>
  <dcterms:modified xsi:type="dcterms:W3CDTF">2026-03-08T05:37:46.666Z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