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rPr>
          <w:rFonts w:ascii="Arial" w:cs="Arial" w:eastAsia="Arial" w:hAnsi="Arial"/>
          <w:b/>
          <w:bCs/>
          <w:color w:val="2A8C7E"/>
          <w:sz w:val="72"/>
          <w:szCs w:val="72"/>
        </w:rPr>
        <w:t xml:space="preserve">ORBIT</w:t>
      </w:r>
    </w:p>
    <w:p>
      <w:pPr>
        <w:spacing w:before="0" w:after="40"/>
      </w:pPr>
      <w:r>
        <w:rPr>
          <w:rFonts w:ascii="Arial" w:cs="Arial" w:eastAsia="Arial" w:hAnsi="Arial"/>
          <w:b/>
          <w:bCs/>
          <w:color w:val="1A1D23"/>
          <w:sz w:val="40"/>
          <w:szCs w:val="40"/>
        </w:rPr>
        <w:t xml:space="preserve">PREDICTIVE CONTACT ENGINE</w:t>
      </w:r>
    </w:p>
    <w:p>
      <w:pPr>
        <w:spacing w:before="0" w:after="60"/>
      </w:pPr>
      <w:r>
        <w:rPr>
          <w:rFonts w:ascii="Arial" w:cs="Arial" w:eastAsia="Arial" w:hAnsi="Arial"/>
          <w:color w:val="595D64"/>
          <w:sz w:val="22"/>
          <w:szCs w:val="22"/>
        </w:rPr>
        <w:t xml:space="preserve">Architecture &amp; Design Specification  ·  v1.0  ·  March 2026</w:t>
      </w:r>
    </w:p>
    <w:p>
      <w:pPr>
        <w:pBdr>
          <w:bottom w:val="single" w:color="2A8C7E" w:sz="8" w:space="1"/>
        </w:pBdr>
        <w:spacing w:before="40" w:after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Advancement VPs, Major Gift Directors, Technology Officers, Product Design
          <w:p/>
        </w:tc>
        <w:tc>
Orbit Architecture + Senior Product Design + Fundraising Operations Executives
          <w:p/>
        </w:tc>
        <w:tc>
Confidential — Do not distribute outside Orbit client engagements
          <w:p/>
        </w:tc>
      </w:tr>
    </w:tbl>
    <w:p>
      <w:pPr>
        <w:spacing w:before="4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Executive Summary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Orbit Predictive Contact Engine is the decision-making brain of the autonomous advancement agent. It answers the most important question in fundraising:</w:t>
      </w:r>
    </w:p>
    <w:p>
      <w:pPr>
        <w:pBdr>
          <w:top w:val="single" w:color="2A8C7E" w:sz="4" w:space="6"/>
          <w:bottom w:val="single" w:color="2A8C7E" w:sz="4" w:space="6"/>
          <w:left w:val="single" w:color="2A8C7E" w:sz="16" w:space="8"/>
          <w:right w:val="none" w:color="FFFFFF" w:sz="0"/>
        </w:pBdr>
        <w:spacing w:before="120" w:after="120"/>
        <w:jc w:val="center"/>
      </w:pPr>
      <w:r>
        <w:rPr>
          <w:rFonts w:ascii="Arial" w:cs="Arial" w:eastAsia="Arial" w:hAnsi="Arial"/>
          <w:b/>
          <w:bCs/>
          <w:i/>
          <w:iCs/>
          <w:color w:val="1A1D23"/>
          <w:sz w:val="22"/>
          <w:szCs w:val="22"/>
        </w:rPr>
        <w:t xml:space="preserve">"Who should we contact, on which channel, at what moment, with what message — and why now?"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engine produces a single Contact Readiness Score (0–100) for every donor in the portfolio, updated continuously as signals arrive from 18 trusted data sources. It replaces gut instinct and static prospect lists with a deterministic, auditable, and continuously learning model.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Gift officers spend less time figuring out who to call and more time making the call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Processing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A8C7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Action</w:t>
            </w:r>
          </w:p>
        </w:tc>
      </w:tr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18 live data sources: CRM, wealth, social, behavioral, institutional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5-layer weighted scoring model + fiscal calendar + suppression rules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Contact Readiness Score, urgency tier, channel, ask amount, AI memo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VEO / VSO / VPGO / VCO queues personalized outreach for officer review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The Problem This Solves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Traditional advancement offices operate on static prospect lists, aging wealth screens, and officer intuition. This produces three failure modes: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Missed windows — A donor has a liquidity event (IPO, property sale, fund close). The officer learns about it weeks later, if ever. The moment to have the conversation has passed.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Over-contact — The same high-propensity donors get contacted too frequently. Fatigue sets in. Response rates drop. Relationships fray.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Under-contact — Mid-level donors with strong capacity signals sit dormant because no officer has capacity to monitor 3,000 records.</w:t>
      </w:r>
    </w:p>
    <w:p>
      <w:pPr>
        <w:spacing w:before="100" w:after="100"/>
      </w:pP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predictive engine eliminates all three by continuously monitoring every donor in the portfolio and surfacing exactly who needs attention, when, and why — so the agent acts on opportunity in real time.</w:t>
      </w: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Scoring Architecture: The Five Layers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Contact Readiness Score is a weighted composite of five distinct scoring layers. Each layer measures a different dimension of "should we contact this donor now." The weights were calibrated with input from senior advancement officers across 12 institutions.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440"/>
        <w:gridCol w:w="640"/>
        <w:gridCol w:w="4320"/>
        <w:gridCol w:w="2600"/>
      </w:tblGrid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Measures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Data Sources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6A34A" w:val="clear"/>
              </w:rPr>
              <w:t xml:space="preserve">L1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Capacity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25%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Key signals: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iWave / WealthEngine wealth screening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SEC EDGAR Form 4 — insider stock sales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Property Records — real estate transactions &gt; $500K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Trigger: </w:t>
            </w: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SEC Form 4 triggers same-day re-score. iWave screens weekly.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Business Wire — IPO, M&amp;A, funding rounds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LinkedIn — career promotions (decision-making authority)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A8C7E" w:val="clear"/>
              </w:rPr>
              <w:t xml:space="preserve">L2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Propensity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A8C7E"/>
                <w:sz w:val="22"/>
                <w:szCs w:val="22"/>
              </w:rPr>
              <w:t xml:space="preserve">25%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Key signals: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RFM model: Recency × Frequency × Monetary giving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Social cause alignment (Twitter/X listening)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Event attendance streak (each = +10 pts)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Trigger: </w:t>
            </w: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Cause alignment tweet storm triggers immediate re-score.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Email engagement 90-day trend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Peer network giving (alumni cohort)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2853A" w:val="clear"/>
              </w:rPr>
              <w:t xml:space="preserve">L3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2853A"/>
                <w:sz w:val="20"/>
                <w:szCs w:val="20"/>
              </w:rPr>
              <w:t xml:space="preserve">Timing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853A"/>
                <w:sz w:val="22"/>
                <w:szCs w:val="22"/>
              </w:rPr>
              <w:t xml:space="preserve">30%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Key signals: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Email open velocity: 2+ opens in 48h = +8 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Giving page web visit = +6 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Fiscal calendar: Year-end +15, Spring +8, Giving Tuesday +20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Trigger: </w:t>
            </w: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Real-time: email opens and web visits fire instant re-score.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Personal milestones: Birthday -30 days = +8 pts, -7 days = +15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Cadence compliance: 0.8–1.2× stage interval = +15 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Too-soon suppression: &lt; 0.4× cadence = -15 pts (hard floor)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CC6D52" w:val="clear"/>
              </w:rPr>
              <w:t xml:space="preserve">L4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C6D52"/>
                <w:sz w:val="22"/>
                <w:szCs w:val="22"/>
              </w:rPr>
              <w:t xml:space="preserve">20%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Key signals: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Sentiment trend: rising +20, stable +5, declining -15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Response rate vs. org average (±15 pts)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Months since last gift: &gt; 36mo = -20, &gt; 24mo = -10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Trigger: </w:t>
            </w: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Risk signal (RISK type) triggers 14-day contact hold automatically.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Risk signals: lawsuit/resignation/scandal = -20 immediate hold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Lapsed definition: no gift 18+ months → lapsed recovery pipeline</w:t>
            </w:r>
          </w:p>
        </w:tc>
      </w:tr>
      <w:tr>
        <w:tc>
          <w:tcPr>
            <w:tcW w:type="dxa" w:w="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A6DA8" w:val="clear"/>
              </w:rPr>
              <w:t xml:space="preserve">L5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5A6DA8"/>
                <w:sz w:val="20"/>
                <w:szCs w:val="20"/>
              </w:rPr>
              <w:t xml:space="preserve">Institutional</w:t>
            </w:r>
          </w:p>
        </w:tc>
        <w:tc>
          <w:tcPr>
            <w:tcW w:type="dxa" w:w="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A6DA8"/>
                <w:sz w:val="22"/>
                <w:szCs w:val="22"/>
              </w:rPr>
              <w:t xml:space="preserve">10%</w:t>
            </w:r>
          </w:p>
        </w:tc>
        <w:tc>
          <w:tcPr>
            <w:tcW w:type="dxa" w:w="43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Key signals: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Campaign priority flag (director-set): +15 bonus pts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Named prospect designation: +10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Board connection flag: +8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Trigger: </w:t>
            </w: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Director sets flags manually in Orbit admin. Applied as bonus, not capped.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Legacy / VPGO pipeline flag: +12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595D64"/>
                <w:sz w:val="17"/>
                <w:szCs w:val="17"/>
              </w:rPr>
              <w:t xml:space="preserve">Major gift prospect: +10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Score Thresholds &amp; Agent Behavior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Urgency Tier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Ask Readiness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Behavior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80 – 100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D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IMMEDIATE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Hard Ask / Soft Ask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Agent queues contact for today. AI drafts personalized opening. Officer receives push notification with AI contact memo and opening line. Action within 24h.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853A"/>
                <w:sz w:val="20"/>
                <w:szCs w:val="20"/>
              </w:rPr>
              <w:t xml:space="preserve">65 – 79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F2E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2853A"/>
                <w:sz w:val="20"/>
                <w:szCs w:val="20"/>
              </w:rPr>
              <w:t xml:space="preserve">THIS WEEK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Soft Ask / Cultivate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Added to 7-day outreach window. Agent prepares draft message, waits for officer review before sending. Appears in Weekly Briefing digest.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45 – 64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4F4F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Cultivate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Monitored. Signals will advance or suppress this donor. No outreach queued until score moves above 65. Visible in portfolio health view.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&lt; 45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95D64"/>
                <w:sz w:val="20"/>
                <w:szCs w:val="20"/>
              </w:rPr>
              <w:t xml:space="preserve">HOLD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Not Ready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Suppressed. Re-scored daily. Most common causes: contacted too recently, declining sentiment, lapsed status, or insufficient data. No action queued.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Hard Suppression Rules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following conditions override the scoring model entirely and prevent contact regardless of score: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400"/>
        <w:gridCol w:w="1680"/>
        <w:gridCol w:w="4800"/>
      </w:tblGrid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🚫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Do Not Contact (DNC) flag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Hard block — immediate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📧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Email opt-out + no phone + no SMS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Hard block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⚠️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Active RISK signal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–20 immediate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14-day hold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🔁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Contacted &lt; 40% of stage cadence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Penalty –15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Too-soon suppress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💤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Lapsed &gt; 48 months + score &lt; 45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N/A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Recovery pipeline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📵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Deceased flag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0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Permanent block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Data Sources: The 18 Trusted Inputs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predictive engine ingests data from 18 sources across five categories. Tier 1 sources have the highest signal value and are used directly in score computation. Lower tiers provide contextual enrichment.</w:t>
      </w:r>
    </w:p>
    <w:p>
      <w:pPr>
        <w:spacing w:before="80" w:after="80"/>
      </w:pPr>
    </w:p>
    <w:p>
      <w:pPr>
        <w:shd w:fill="DCFCE7" w:val="clear"/>
        <w:spacing w:before="120" w:after="80"/>
      </w:pPr>
      <w:r>
        <w:rPr>
          <w:rFonts w:ascii="Arial" w:cs="Arial" w:eastAsia="Arial" w:hAnsi="Arial"/>
          <w:b/>
          <w:bCs/>
          <w:color w:val="16A34A"/>
          <w:sz w:val="18"/>
          <w:szCs w:val="18"/>
        </w:rPr>
        <w:t xml:space="preserve">  TIER 1 — WEALTH &amp; CAPACITY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Access 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Signal Value &amp;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iWave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Paid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Weekly screening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Philanthropic capacity score, propensity, affinity rating. Industry gold standard. Feeds directly into L1 capacity layer.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WealthEngine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Paid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Weekly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Net worth, real estate equity, investment portfolio estimates. Cross-validates iWave.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DonorSearch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Paid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On-demand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Philanthropic giving history across all institutions. Political contributions, foundation affiliations.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SEC EDGAR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Free public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Form 4 insider trades, 13D/13G large ownership filings. Liquidity events trigger same-day re-score.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Property Records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County assessor APIs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Weekly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Real estate purchase/sale transactions. Properties &gt; $500K trigger capacity signal.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Business Wire / PR Newswire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NewsAPI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Hourly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IPO filings, M&amp;A announcements, Series funding rounds linked to donor companies.</w:t>
            </w:r>
          </w:p>
        </w:tc>
      </w:tr>
    </w:tbl>
    <w:p>
      <w:pPr>
        <w:shd w:fill="E4F4F1" w:val="clear"/>
        <w:spacing w:before="120" w:after="80"/>
      </w:pPr>
      <w:r>
        <w:rPr>
          <w:rFonts w:ascii="Arial" w:cs="Arial" w:eastAsia="Arial" w:hAnsi="Arial"/>
          <w:b/>
          <w:bCs/>
          <w:color w:val="2A8C7E"/>
          <w:sz w:val="18"/>
          <w:szCs w:val="18"/>
        </w:rPr>
        <w:t xml:space="preserve">  TIER 1 — CRM &amp; GIVING HISTORY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Access 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Signal Value &amp;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Salesforce NPSP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Integration (OAuth)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Gifts, opportunities, campaign responses, task history. Bi-directional: Orbit scores pushed back.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Raiser's Edge NXT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Integration (OAuth)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Constituents, gifts, funds, appeals, event attendance, actions. Bi-directional sync.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Orbit Giving Forms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Native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Online giving, pledge activity, crowdfunding participation. Native to Orbit platform.</w:t>
            </w:r>
          </w:p>
        </w:tc>
      </w:tr>
    </w:tbl>
    <w:p>
      <w:pPr>
        <w:shd w:fill="FDF2E4" w:val="clear"/>
        <w:spacing w:before="120" w:after="80"/>
      </w:pPr>
      <w:r>
        <w:rPr>
          <w:rFonts w:ascii="Arial" w:cs="Arial" w:eastAsia="Arial" w:hAnsi="Arial"/>
          <w:b/>
          <w:bCs/>
          <w:color w:val="C2853A"/>
          <w:sz w:val="18"/>
          <w:szCs w:val="18"/>
        </w:rPr>
        <w:t xml:space="preserve">  TIER 2 — BEHAVIORAL SIGNALS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Access 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Signal Value &amp;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Email Engagement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Native (Orbit delivery)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Open rates, click events, reply velocity, unsubscribes. 2+ opens in 48h = hot signal.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Web Analytics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GA4 / Pixel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Hourly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Alumni portal visits, giving page views, campaign landing pages. Page visit = +6 pts.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Event Attendance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CRM + native events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Campus events, reunions, athletic events, webinars. Each attendance = +10 pts.</w:t>
            </w:r>
          </w:p>
        </w:tc>
      </w:tr>
    </w:tbl>
    <w:p>
      <w:pPr>
        <w:shd w:fill="EDF0FA" w:val="clear"/>
        <w:spacing w:before="120" w:after="80"/>
      </w:pPr>
      <w:r>
        <w:rPr>
          <w:rFonts w:ascii="Arial" w:cs="Arial" w:eastAsia="Arial" w:hAnsi="Arial"/>
          <w:b/>
          <w:bCs/>
          <w:color w:val="5A6DA8"/>
          <w:sz w:val="18"/>
          <w:szCs w:val="18"/>
        </w:rPr>
        <w:t xml:space="preserve">  TIER 2 — SOCIAL INTELLIGENCE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Access 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Signal Value &amp;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LinkedIn Sales Navigator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Paid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Career changes, promotions, company news. Promotion = +12 to L1 capacity.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Twitter / X 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Paid API v2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Real-time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Cause alignment signals, sentiment analysis, network activity. Tweet clustering for interest mapping.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Google News / NewsAPI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Free tier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Hourly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Press mentions, business coverage. NLP classifier: WEALTH / CAREER / CAUSE / RISK type signals.</w:t>
            </w:r>
          </w:p>
        </w:tc>
      </w:tr>
    </w:tbl>
    <w:p>
      <w:pPr>
        <w:shd w:fill="F0F2F5" w:val="clear"/>
        <w:spacing w:before="120" w:after="80"/>
      </w:pPr>
      <w:r>
        <w:rPr>
          <w:rFonts w:ascii="Arial" w:cs="Arial" w:eastAsia="Arial" w:hAnsi="Arial"/>
          <w:b/>
          <w:bCs/>
          <w:color w:val="1A1D23"/>
          <w:sz w:val="18"/>
          <w:szCs w:val="18"/>
        </w:rPr>
        <w:t xml:space="preserve">  TIER 3 — INSTITUTIONAL DATA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5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Source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Access Model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Frequency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7"/>
                <w:szCs w:val="17"/>
              </w:rPr>
              <w:t xml:space="preserve">Signal Value &amp; Notes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Alumni Database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Internal CRM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Class year, degree, club memberships, volunteer history, reunion participation.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Parent Prospect DB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CRM + FAFSA proxies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Daily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Current/former parent records. Financial aid data as wealth proxy (with FERPA compliance).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18"/>
                <w:szCs w:val="18"/>
              </w:rPr>
              <w:t xml:space="preserve">Athletics / Booster Data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Athletics CRM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17"/>
                <w:szCs w:val="17"/>
              </w:rPr>
              <w:t xml:space="preserve">Seasonal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Season ticket holders, booster club membership, athletic giving history.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Channel Selection Logic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Once a donor is surfaced by the scoring engine, the system determines the optimal contact channel using a priority waterfall. The waterfall respects donor preferences, opt-out status, and stage-appropriate norms.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40"/>
        <w:gridCol w:w="480"/>
        <w:gridCol w:w="1440"/>
        <w:gridCol w:w="30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/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Window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Score ≥ 85 + Phone + Stage: solicited or committed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📞 Phone Call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VEO / VPGO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Tue–Thu 10am–12pm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Lifetime ≥ $25K + Score ≥ 75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📞 Phone Call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VEO / VPGO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Tue–Thu 10am–12pm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SMS opt-in + preferred = SMS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💬 SMS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Weekday 8–9am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Stewarded or committed + Score ≥ 70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✍️ Handwritten Note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VSO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Physical mail (3–5 days)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Score ≥ 65 + Major gift prospect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📞 Phone Call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VPGO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Tue–Thu 10am–12pm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All other contactable donors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📧 Email</w:t>
            </w:r>
          </w:p>
        </w:tc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→</w:t>
            </w:r>
          </w:p>
        </w:tc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VEO / VCO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Tue or Thu 9–11am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Agent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1680"/>
        <w:gridCol w:w="1680"/>
        <w:gridCol w:w="2880"/>
      </w:tblGrid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Full Name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Donor Stage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Mission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VEO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Virtual Engagement Officer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Prospect → Committed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Cultivation, soft ask, hard ask — 8–14 touchpoint journeys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VSO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Virtual Stewardship Officer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Stewarded (post-gift)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Email, SMS, Handwritten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Post-gift thank-you, impact reports, anniversary touches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VPGO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Virtual Planned Giving Officer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Committed (legacy flag)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Email, Phone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Estate conversation, bequest cultivation — long-horizon, slow cadence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VCO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Virtual Campaign Officer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All active stages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Email, SMS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Time-sensitive campaigns, Giving Day, year-end blitz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Cadence Model: Stage-Based Contact Intervals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The timing layer enforces stage-appropriate contact cadences. Contacting a donor too frequently is as damaging as not contacting them at all. The cadence model prevents both.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4680"/>
      </w:tblGrid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Suppression Zone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Prospect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21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8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Still warming — weekly contact feels pushy. Optimal cadence builds trust gradually.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Engaged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14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6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Active cultivation. Bi-weekly keeps momentum without over-pressure.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Solicited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7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3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In active ask conversation. Weekly maintains urgency and responsiveness.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Committed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30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12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Major donor — monthly touch. Over-contact signals desperation, not gratitude.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Stewarded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45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18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Post-gift. Quarterly-ish stewardship. Impact-focused, not ask-focused.</w:t>
            </w:r>
          </w:p>
        </w:tc>
      </w:tr>
      <w:tr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Lapsed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60 days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C6D52"/>
                <w:sz w:val="20"/>
                <w:szCs w:val="20"/>
              </w:rPr>
              <w:t xml:space="preserve">&lt; 24 days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Recovery cadence. Slow re-engagement respects their distance. Rushed = permanent lapse.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AI Enrichment Layer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For every donor scored at "Immediate" urgency, the engine passes the scored result through Claude (claude-sonnet-4-20250514) to generate a human-readable contact memo. This is not generic AI copy — it references the specific trigger data and produces an exact opening line for the officer.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Output Field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Contains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Contact Memo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 2–3 sentence narrative that explains why this donor should be contacted now. References specific signals (career change, liquidity event, email opens). No generic language allowed.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Opening Line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The exact first sentence the officer should use — calibrated to the trigger reason, relationship stage, and donor personality.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Avoid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Topics or approaches that the system flags as likely to backfire based on donor history, sentiment trend, or past response patterns.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D23"/>
                <w:sz w:val="20"/>
                <w:szCs w:val="20"/>
              </w:rPr>
              <w:t xml:space="preserve">Ask Strategy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Specific recommended ask amount, fund, and timing phrasing based on capacity estimate and stage.</w:t>
            </w:r>
          </w:p>
        </w:tc>
      </w:tr>
    </w:tbl>
    <w:p>
      <w:pPr>
        <w:spacing w:before="120" w:after="80"/>
      </w:pP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color w:val="1A1D23"/>
          <w:sz w:val="20"/>
          <w:szCs w:val="20"/>
        </w:rPr>
        <w:t xml:space="preserve">Model: </w:t>
      </w:r>
      <w:r>
        <w:rPr>
          <w:rFonts w:ascii="Arial" w:cs="Arial" w:eastAsia="Arial" w:hAnsi="Arial"/>
          <w:color w:val="2A8C7E"/>
          <w:sz w:val="20"/>
          <w:szCs w:val="20"/>
        </w:rPr>
        <w:t xml:space="preserve">claude-sonnet-4-20250514</w:t>
      </w:r>
      <w:r>
        <w:rPr>
          <w:rFonts w:ascii="Arial" w:cs="Arial" w:eastAsia="Arial" w:hAnsi="Arial"/>
          <w:color w:val="595D6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D23"/>
          <w:sz w:val="20"/>
          <w:szCs w:val="20"/>
        </w:rPr>
        <w:t xml:space="preserve">Invoked for: </w:t>
      </w:r>
      <w:r>
        <w:rPr>
          <w:rFonts w:ascii="Arial" w:cs="Arial" w:eastAsia="Arial" w:hAnsi="Arial"/>
          <w:color w:val="595D64"/>
          <w:sz w:val="20"/>
          <w:szCs w:val="20"/>
        </w:rPr>
        <w:t xml:space="preserve">Top 5 "Immediate" donors per portfolio scoring run</w:t>
      </w:r>
      <w:r>
        <w:rPr>
          <w:rFonts w:ascii="Arial" w:cs="Arial" w:eastAsia="Arial" w:hAnsi="Arial"/>
          <w:color w:val="595D6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1A1D23"/>
          <w:sz w:val="20"/>
          <w:szCs w:val="20"/>
        </w:rPr>
        <w:t xml:space="preserve">Cache TTL: </w:t>
      </w:r>
      <w:r>
        <w:rPr>
          <w:rFonts w:ascii="Arial" w:cs="Arial" w:eastAsia="Arial" w:hAnsi="Arial"/>
          <w:color w:val="595D64"/>
          <w:sz w:val="20"/>
          <w:szCs w:val="20"/>
        </w:rPr>
        <w:t xml:space="preserve">30 minutes (configurable)</w:t>
      </w: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Implementation: Backend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680"/>
        <w:gridCol w:w="4800"/>
      </w:tblGrid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File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src/services/predictiveEngine.js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On-demand + scheduled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Core scoring model. scoreDonorContactReadiness(), scorePortfolio(), enrichWithAIReasoning(). 571 lines.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src/services/signalIngestion.js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Daily cron + on-demand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Pulls from SEC, NewsAPI, iWave, DonorSearch, email events. Normalizes into donor_signals table. 379 lines.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src/routes/agents.js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HTTP API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POST /agents/score — batch scoring. GET /agents/score/:donorId — single. POST /agents/signals/ingest — manual trigger.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src/jobs/index.js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Cron scheduler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Daily ingestion at 5am. Full portfolio re-score at 6am. Results sent to officer daily briefings.</w:t>
            </w:r>
          </w:p>
        </w:tc>
      </w:tr>
      <w:tr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17"/>
                <w:szCs w:val="17"/>
              </w:rPr>
              <w:t xml:space="preserve">src/db/migrations/004_predictive_engine.sql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One-time migration</w:t>
            </w:r>
          </w:p>
        </w:tc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17"/>
                <w:szCs w:val="17"/>
              </w:rPr>
              <w:t xml:space="preserve">Creates donor_signals, email_events, agent_score_log tables. Adds 16 new columns to donors table.</w:t>
            </w:r>
          </w:p>
        </w:tc>
      </w:tr>
    </w:tbl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color w:val="1A1D23"/>
        </w:rPr>
        <w:t xml:space="preserve">API Endpoints</w:t>
      </w:r>
    </w:p>
    <w:p>
      <w:pPr>
        <w:shd w:fill="F0F2F5" w:val="clear"/>
        <w:spacing w:before="60" w:after="40"/>
      </w:pPr>
      <w:r>
        <w:rPr>
          <w:rFonts w:ascii="Courier New" w:cs="Courier New" w:eastAsia="Courier New" w:hAnsi="Courier New"/>
          <w:b/>
          <w:bCs/>
          <w:color w:val="2A8C7E"/>
          <w:sz w:val="18"/>
          <w:szCs w:val="18"/>
        </w:rPr>
        <w:t xml:space="preserve">  POST  </w:t>
      </w:r>
      <w:r>
        <w:rPr>
          <w:rFonts w:ascii="Courier New" w:cs="Courier New" w:eastAsia="Courier New" w:hAnsi="Courier New"/>
          <w:color w:val="1A1D23"/>
          <w:sz w:val="18"/>
          <w:szCs w:val="18"/>
        </w:rPr>
        <w:t xml:space="preserve"> /api/v1/agents/score                      </w:t>
      </w:r>
      <w:r>
        <w:rPr>
          <w:rFonts w:ascii="Arial" w:cs="Arial" w:eastAsia="Arial" w:hAnsi="Arial"/>
          <w:color w:val="595D64"/>
          <w:sz w:val="17"/>
          <w:szCs w:val="17"/>
        </w:rPr>
        <w:t xml:space="preserve">Score a portfolio (up to 200 donors). Returns ranked queue with urgency, channel, ask amount, and AI memos for top 5.</w:t>
      </w:r>
    </w:p>
    <w:p>
      <w:pPr>
        <w:shd w:fill="FFFFFF" w:val="clear"/>
        <w:spacing w:before="60" w:after="40"/>
      </w:pPr>
      <w:r>
        <w:rPr>
          <w:rFonts w:ascii="Courier New" w:cs="Courier New" w:eastAsia="Courier New" w:hAnsi="Courier New"/>
          <w:b/>
          <w:bCs/>
          <w:color w:val="5A6DA8"/>
          <w:sz w:val="18"/>
          <w:szCs w:val="18"/>
        </w:rPr>
        <w:t xml:space="preserve">  GET   </w:t>
      </w:r>
      <w:r>
        <w:rPr>
          <w:rFonts w:ascii="Courier New" w:cs="Courier New" w:eastAsia="Courier New" w:hAnsi="Courier New"/>
          <w:color w:val="1A1D23"/>
          <w:sz w:val="18"/>
          <w:szCs w:val="18"/>
        </w:rPr>
        <w:t xml:space="preserve"> /api/v1/agents/score/:donorId             </w:t>
      </w:r>
      <w:r>
        <w:rPr>
          <w:rFonts w:ascii="Arial" w:cs="Arial" w:eastAsia="Arial" w:hAnsi="Arial"/>
          <w:color w:val="595D64"/>
          <w:sz w:val="17"/>
          <w:szCs w:val="17"/>
        </w:rPr>
        <w:t xml:space="preserve">Score a single donor in full detail. Returns complete breakdown + AI memo.</w:t>
      </w:r>
    </w:p>
    <w:p>
      <w:pPr>
        <w:shd w:fill="F0F2F5" w:val="clear"/>
        <w:spacing w:before="60" w:after="40"/>
      </w:pPr>
      <w:r>
        <w:rPr>
          <w:rFonts w:ascii="Courier New" w:cs="Courier New" w:eastAsia="Courier New" w:hAnsi="Courier New"/>
          <w:b/>
          <w:bCs/>
          <w:color w:val="2A8C7E"/>
          <w:sz w:val="18"/>
          <w:szCs w:val="18"/>
        </w:rPr>
        <w:t xml:space="preserve">  POST  </w:t>
      </w:r>
      <w:r>
        <w:rPr>
          <w:rFonts w:ascii="Courier New" w:cs="Courier New" w:eastAsia="Courier New" w:hAnsi="Courier New"/>
          <w:color w:val="1A1D23"/>
          <w:sz w:val="18"/>
          <w:szCs w:val="18"/>
        </w:rPr>
        <w:t xml:space="preserve"> /api/v1/agents/signals/ingest             </w:t>
      </w:r>
      <w:r>
        <w:rPr>
          <w:rFonts w:ascii="Arial" w:cs="Arial" w:eastAsia="Arial" w:hAnsi="Arial"/>
          <w:color w:val="595D64"/>
          <w:sz w:val="17"/>
          <w:szCs w:val="17"/>
        </w:rPr>
        <w:t xml:space="preserve">Trigger signal ingestion from all connected sources for this org. Returns summary of signals pulled per source.</w:t>
      </w:r>
    </w:p>
    <w:p>
      <w:pPr>
        <w:shd w:fill="FFFFFF" w:val="clear"/>
        <w:spacing w:before="60" w:after="40"/>
      </w:pPr>
      <w:r>
        <w:rPr>
          <w:rFonts w:ascii="Courier New" w:cs="Courier New" w:eastAsia="Courier New" w:hAnsi="Courier New"/>
          <w:b/>
          <w:bCs/>
          <w:color w:val="5A6DA8"/>
          <w:sz w:val="18"/>
          <w:szCs w:val="18"/>
        </w:rPr>
        <w:t xml:space="preserve">  GET   </w:t>
      </w:r>
      <w:r>
        <w:rPr>
          <w:rFonts w:ascii="Courier New" w:cs="Courier New" w:eastAsia="Courier New" w:hAnsi="Courier New"/>
          <w:color w:val="1A1D23"/>
          <w:sz w:val="18"/>
          <w:szCs w:val="18"/>
        </w:rPr>
        <w:t xml:space="preserve"> /api/v1/agents/signals                    </w:t>
      </w:r>
      <w:r>
        <w:rPr>
          <w:rFonts w:ascii="Arial" w:cs="Arial" w:eastAsia="Arial" w:hAnsi="Arial"/>
          <w:color w:val="595D64"/>
          <w:sz w:val="17"/>
          <w:szCs w:val="17"/>
        </w:rPr>
        <w:t xml:space="preserve">Retrieve recent signals. Filter by donorId, type, applied status.</w:t>
      </w:r>
    </w:p>
    <w:p>
      <w:pPr>
        <w:shd w:fill="F0F2F5" w:val="clear"/>
        <w:spacing w:before="60" w:after="40"/>
      </w:pPr>
      <w:r>
        <w:rPr>
          <w:rFonts w:ascii="Courier New" w:cs="Courier New" w:eastAsia="Courier New" w:hAnsi="Courier New"/>
          <w:b/>
          <w:bCs/>
          <w:color w:val="C2853A"/>
          <w:sz w:val="18"/>
          <w:szCs w:val="18"/>
        </w:rPr>
        <w:t xml:space="preserve">  PATCH </w:t>
      </w:r>
      <w:r>
        <w:rPr>
          <w:rFonts w:ascii="Courier New" w:cs="Courier New" w:eastAsia="Courier New" w:hAnsi="Courier New"/>
          <w:color w:val="1A1D23"/>
          <w:sz w:val="18"/>
          <w:szCs w:val="18"/>
        </w:rPr>
        <w:t xml:space="preserve"> /api/v1/agents/signals/:id/apply          </w:t>
      </w:r>
      <w:r>
        <w:rPr>
          <w:rFonts w:ascii="Arial" w:cs="Arial" w:eastAsia="Arial" w:hAnsi="Arial"/>
          <w:color w:val="595D64"/>
          <w:sz w:val="17"/>
          <w:szCs w:val="17"/>
        </w:rPr>
        <w:t xml:space="preserve">Mark a signal as applied to the donor profile. Triggers re-score.</w:t>
      </w: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Security, Compliance &amp; Data Governance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All donor data processed by the predictive engine is subject to the following controls: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FERPA: Student financial data (parent FAFSA proxies) is stored separately with role-based access gating. Officers do not see raw financial aid data — only the derived capacity tier.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GDPR / CCPA: Signal ingestion respects opt-out flags. Email opt-outs propagate to suppression within 60 seconds of receipt via webhook. All signals are tagged with source provenance.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Data Minimization: The engine stores only the derived score and signal metadata — not raw third-party API responses. Raw data is discarded after scoring. Exception: SEC EDGAR (public record, stored for audit trail).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Audit Log: Every scoring run generates an entry in agent_score_log. Every signal application is logged with officer identity, timestamp, and action taken.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Encryption: All donor PII at rest uses AES-256. Signal data in transit uses TLS 1.3. API keys for third-party services stored in environment variables, never in code or logs.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BAA: A Business Associate Agreement with Anthropic is required before passing donor PII to Claude for AI enrichment. This is a prerequisite for HIPAA-adjacent institutions.</w:t>
      </w:r>
    </w:p>
    <w:p>
      <w:pPr>
        <w:pBdr>
          <w:bottom w:val="single" w:color="E4E7EC" w:sz="4" w:space="1"/>
        </w:pBdr>
        <w:spacing w:before="200" w:after="200"/>
      </w:pPr>
    </w:p>
    <w:p>
      <w:pPr>
        <w:pStyle w:val="Heading1"/>
        <w:spacing w:before="240" w:after="120"/>
      </w:pPr>
      <w:r>
        <w:rPr>
          <w:rFonts w:ascii="Arial" w:cs="Arial" w:eastAsia="Arial" w:hAnsi="Arial"/>
          <w:color w:val="1A1D23"/>
        </w:rPr>
        <w:t xml:space="preserve">Product Roadmap: Future Scoring Enhancements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9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D2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v1.1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Q2 2026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Machine learning feedback loop: gift outcomes (yes/no, amount) fed back to recalibrate layer weights per institution. Weights become org-specific over time.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v1.2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Q3 2026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Propensity peer network model: score boosts when a donor's LinkedIn connections are major donors at peer institutions. Social proof as a capacity signal.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v1.3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Q3 2026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Real-time phone scoring: during a live donor call, the agent updates the score in real time based on tone, topic, and commitment signals from call transcript.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v2.0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Q4 2026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Autonomous ask: for donors score 90+ with prior major gift history, agent sends approved ask message without officer review (opt-in, per institution policy).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A8C7E"/>
                <w:sz w:val="20"/>
                <w:szCs w:val="20"/>
              </w:rPr>
              <w:t xml:space="preserve">v2.1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95D64"/>
                <w:sz w:val="20"/>
                <w:szCs w:val="20"/>
              </w:rPr>
              <w:t xml:space="preserve">Q1 2027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2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D23"/>
                <w:sz w:val="20"/>
                <w:szCs w:val="20"/>
              </w:rPr>
              <w:t xml:space="preserve">Cross-portfolio signal sharing: anonymized signal patterns shared across Orbit client network to improve cold-start accuracy for new institutions.</w:t>
            </w:r>
          </w:p>
        </w:tc>
      </w:tr>
    </w:tbl>
    <w:p>
      <w:pPr>
        <w:pBdr>
          <w:bottom w:val="single" w:color="E4E7EC" w:sz="4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595D64"/>
          <w:sz w:val="18"/>
          <w:szCs w:val="18"/>
        </w:rPr>
        <w:t xml:space="preserve">ORBIT GIVING, INC.  ·  PREDICTIVE CONTACT ENGINE  ·  ARCHITECTURE SPECIFICATION v1.0</w:t>
      </w:r>
    </w:p>
    <w:p>
      <w:pPr>
        <w:spacing w:before="80" w:after="80"/>
        <w:jc w:val="center"/>
      </w:pPr>
      <w:r>
        <w:rPr>
          <w:rFonts w:ascii="Arial" w:cs="Arial" w:eastAsia="Arial" w:hAnsi="Arial"/>
          <w:b w:val="false"/>
          <w:bCs w:val="false"/>
          <w:color w:val="595D64"/>
          <w:sz w:val="20"/>
          <w:szCs w:val="20"/>
        </w:rPr>
        <w:t xml:space="preserve">For technical implementation support, API integration questions, or to request a custom scoring model calibration, contact the Orbit engineering team at engineering@orbitgiving.com.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7EC" w:sz="4" w:space="6"/>
      </w:pBdr>
      <w:tabs>
        <w:tab w:val="right" w:pos="8640"/>
      </w:tabs>
      <w:spacing w:before="0"/>
    </w:pPr>
    <w:r>
      <w:rPr>
        <w:rFonts w:ascii="Arial" w:cs="Arial" w:eastAsia="Arial" w:hAnsi="Arial"/>
        <w:color w:val="595D64"/>
        <w:sz w:val="16"/>
        <w:szCs w:val="16"/>
      </w:rPr>
      <w:t xml:space="preserve">© 2026 Orbit Giving, Inc. All rights reserved.</w:t>
    </w:r>
    <w:r>
      <w:rPr>
        <w:rFonts w:ascii="Arial" w:cs="Arial" w:eastAsia="Arial" w:hAnsi="Arial"/>
        <w:color w:val="595D64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4E7EC" w:sz="4" w:space="6"/>
      </w:pBdr>
      <w:tabs>
        <w:tab w:val="right" w:pos="8640"/>
      </w:tabs>
      <w:spacing w:after="0"/>
    </w:pPr>
    <w:r>
      <w:rPr>
        <w:rFonts w:ascii="Arial" w:cs="Arial" w:eastAsia="Arial" w:hAnsi="Arial"/>
        <w:color w:val="595D64"/>
        <w:sz w:val="16"/>
        <w:szCs w:val="16"/>
      </w:rPr>
      <w:t xml:space="preserve">ORBIT  ·  Predictive Contact Engine  ·  Architecture &amp; Design Specification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CC6D52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D6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D23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A8C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D2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2026-03-08T15:48:36.619Z</dcterms:created>
  <dcterms:modified xsi:type="dcterms:W3CDTF">2026-03-08T15:48:36.620Z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