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60"/>
        <w:jc w:val="left"/>
      </w:pPr>
      <w:r>
        <w:rPr>
          <w:b/>
          <w:bCs/>
          <w:color w:val="2E6DA4"/>
          <w:spacing w:val="40"/>
          <w:sz w:val="30"/>
          <w:szCs w:val="30"/>
        </w:rPr>
        <w:t xml:space="preserve">OSBORN FINANCE</w:t>
      </w:r>
    </w:p>
    <w:p>
      <w:pPr>
        <w:pBdr>
          <w:bottom w:val="single" w:color="1F3A5F" w:sz="12" w:space="6"/>
        </w:pBdr>
        <w:spacing w:after="30"/>
      </w:pPr>
      <w:r>
        <w:rPr>
          <w:b/>
          <w:bCs/>
          <w:color w:val="1F3A5F"/>
          <w:sz w:val="52"/>
          <w:szCs w:val="52"/>
        </w:rPr>
        <w:t xml:space="preserve">Cloud Infrastructure Requirements</w:t>
      </w:r>
    </w:p>
    <w:p>
      <w:pPr>
        <w:spacing w:after="40" w:before="160"/>
      </w:pPr>
      <w:r>
        <w:rPr>
          <w:color w:val="1A1A1A"/>
          <w:sz w:val="26"/>
          <w:szCs w:val="26"/>
        </w:rPr>
        <w:t xml:space="preserve">Target platform: Microsoft Azure</w:t>
      </w:r>
    </w:p>
    <w:p>
      <w:pPr>
        <w:spacing w:after="520"/>
      </w:pPr>
      <w:r>
        <w:rPr>
          <w:i/>
          <w:iCs/>
          <w:color w:val="5A6B7B"/>
          <w:sz w:val="21"/>
          <w:szCs w:val="21"/>
        </w:rPr>
        <w:t xml:space="preserve">Scope: minimum necessary infrastructure to run the platform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Field</w:t>
            </w:r>
          </w:p>
        </w:tc>
        <w:tc>
          <w:tcPr>
            <w:tcW w:type="dxa" w:w="624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Detail</w:t>
            </w:r>
          </w:p>
        </w:tc>
      </w:tr>
      <w:tr>
        <w:trPr>
          <w:tblHeader w:val="false"/>
        </w:trPr>
        <w:tc>
          <w:tcPr>
            <w:tcW w:type="dxa" w:w="312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Document</w:t>
            </w:r>
          </w:p>
        </w:tc>
        <w:tc>
          <w:tcPr>
            <w:tcW w:type="dxa" w:w="624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Azure Infrastructure Requirements</w:t>
            </w:r>
          </w:p>
        </w:tc>
      </w:tr>
      <w:tr>
        <w:trPr>
          <w:tblHeader w:val="false"/>
        </w:trPr>
        <w:tc>
          <w:tcPr>
            <w:tcW w:type="dxa" w:w="312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Application</w:t>
            </w:r>
          </w:p>
        </w:tc>
        <w:tc>
          <w:tcPr>
            <w:tcW w:type="dxa" w:w="624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Osborn Finance (personal finance SaaS)</w:t>
            </w:r>
          </w:p>
        </w:tc>
      </w:tr>
      <w:tr>
        <w:trPr>
          <w:tblHeader w:val="false"/>
        </w:trPr>
        <w:tc>
          <w:tcPr>
            <w:tcW w:type="dxa" w:w="312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Version</w:t>
            </w:r>
          </w:p>
        </w:tc>
        <w:tc>
          <w:tcPr>
            <w:tcW w:type="dxa" w:w="624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1.0 (Draft)</w:t>
            </w:r>
          </w:p>
        </w:tc>
      </w:tr>
      <w:tr>
        <w:trPr>
          <w:tblHeader w:val="false"/>
        </w:trPr>
        <w:tc>
          <w:tcPr>
            <w:tcW w:type="dxa" w:w="312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Date</w:t>
            </w:r>
          </w:p>
        </w:tc>
        <w:tc>
          <w:tcPr>
            <w:tcW w:type="dxa" w:w="624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June 2026</w:t>
            </w:r>
          </w:p>
        </w:tc>
      </w:tr>
      <w:tr>
        <w:trPr>
          <w:tblHeader w:val="false"/>
        </w:trPr>
        <w:tc>
          <w:tcPr>
            <w:tcW w:type="dxa" w:w="312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Owner</w:t>
            </w:r>
          </w:p>
        </w:tc>
        <w:tc>
          <w:tcPr>
            <w:tcW w:type="dxa" w:w="624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Colin Osborn</w:t>
            </w:r>
          </w:p>
        </w:tc>
      </w:tr>
      <w:tr>
        <w:trPr>
          <w:tblHeader w:val="false"/>
        </w:trPr>
        <w:tc>
          <w:tcPr>
            <w:tcW w:type="dxa" w:w="312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Status</w:t>
            </w:r>
          </w:p>
        </w:tc>
        <w:tc>
          <w:tcPr>
            <w:tcW w:type="dxa" w:w="624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For review</w:t>
            </w:r>
          </w:p>
        </w:tc>
      </w:tr>
    </w:tbl>
    <w:p>
      <w:pPr>
        <w:spacing w:before="300"/>
      </w:pPr>
      <w:r>
        <w:rPr>
          <w:i/>
          <w:iCs/>
          <w:color w:val="5A6B7B"/>
          <w:sz w:val="18"/>
          <w:szCs w:val="18"/>
        </w:rPr>
        <w:t xml:space="preserve">Prepared as a planning reference. Service tiers and cost ranges are estimates as of mid 2026 and should be confirmed in the Azure Pricing Calculator for the chosen region.</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40" w:line="276"/>
      </w:pPr>
      <w:r>
        <w:t xml:space="preserve">This document defines the cloud infrastructure required to run Osborn Finance on Microsoft Azure. It is deliberately limited to the necessary components: the services without which the application cannot run securely in production, plus a small set of operational services (secrets, monitoring, backup) that are mandatory for a system that handles personal financial data. Components that are useful but not essential at launch are listed separately in section 10 so they can be deferred.</w:t>
      </w:r>
    </w:p>
    <w:p>
      <w:pPr>
        <w:spacing w:after="140" w:line="276"/>
      </w:pPr>
      <w:r>
        <w:rPr>
          <w:b/>
          <w:bCs/>
        </w:rPr>
        <w:t xml:space="preserve">In scope: </w:t>
      </w:r>
      <w:r>
        <w:t xml:space="preserve">compute for the API, hosting for the web client, the primary database, secrets management, caching, edge security, container registry, networking, identity, and observability.</w:t>
      </w:r>
    </w:p>
    <w:p>
      <w:pPr>
        <w:spacing w:after="140" w:line="276"/>
      </w:pPr>
      <w:r>
        <w:rPr>
          <w:b/>
          <w:bCs/>
        </w:rPr>
        <w:t xml:space="preserve">Out of scope: </w:t>
      </w:r>
      <w:r>
        <w:t xml:space="preserve">application source code, third party SaaS accounts (Plaid and Stripe), organizational policy, and detailed Infrastructure as Code, which will be produced separately from this requirements baseline.</w:t>
      </w:r>
    </w:p>
    <w:p>
      <w:pPr>
        <w:pStyle w:val="Heading1"/>
      </w:pPr>
      <w:r>
        <w:t xml:space="preserve">2. Application architecture (summary)</w:t>
      </w:r>
    </w:p>
    <w:p>
      <w:pPr>
        <w:spacing w:after="140" w:line="276"/>
      </w:pPr>
      <w:r>
        <w:t xml:space="preserve">Osborn Finance is a single tenant SaaS composed of three runtime parts and two external integrations. The infrastructure requirements follow directly from this shape.</w:t>
      </w:r>
    </w:p>
    <w:p>
      <w:pPr>
        <w:pStyle w:val="ListParagraph"/>
        <w:numPr>
          <w:ilvl w:val="0"/>
          <w:numId w:val="2"/>
        </w:numPr>
        <w:spacing w:after="70" w:line="264"/>
      </w:pPr>
      <w:r>
        <w:rPr>
          <w:b/>
          <w:bCs/>
        </w:rPr>
        <w:t xml:space="preserve">API: </w:t>
      </w:r>
      <w:r>
        <w:t xml:space="preserve">a stateless Node.js and TypeScript service (Express) that serves the JSON API. It must run over HTTPS, sit behind a reverse proxy, and read its secrets at startup.</w:t>
      </w:r>
    </w:p>
    <w:p>
      <w:pPr>
        <w:pStyle w:val="ListParagraph"/>
        <w:numPr>
          <w:ilvl w:val="0"/>
          <w:numId w:val="2"/>
        </w:numPr>
        <w:spacing w:after="70" w:line="264"/>
      </w:pPr>
      <w:r>
        <w:rPr>
          <w:b/>
          <w:bCs/>
        </w:rPr>
        <w:t xml:space="preserve">Web client: </w:t>
      </w:r>
      <w:r>
        <w:t xml:space="preserve">a React single page application built with Vite into static files (HTML, JS, CSS) that should be served from the edge with a global CDN.</w:t>
      </w:r>
    </w:p>
    <w:p>
      <w:pPr>
        <w:pStyle w:val="ListParagraph"/>
        <w:numPr>
          <w:ilvl w:val="0"/>
          <w:numId w:val="2"/>
        </w:numPr>
        <w:spacing w:after="70" w:line="264"/>
      </w:pPr>
      <w:r>
        <w:rPr>
          <w:b/>
          <w:bCs/>
        </w:rPr>
        <w:t xml:space="preserve">Database: </w:t>
      </w:r>
      <w:r>
        <w:t xml:space="preserve">a PostgreSQL database (the application uses a Postgres store via a connection string) holding users, accounts, transactions, goals, and an audit log.</w:t>
      </w:r>
    </w:p>
    <w:p>
      <w:pPr>
        <w:pStyle w:val="ListParagraph"/>
        <w:numPr>
          <w:ilvl w:val="0"/>
          <w:numId w:val="2"/>
        </w:numPr>
        <w:spacing w:after="70" w:line="264"/>
      </w:pPr>
      <w:r>
        <w:rPr>
          <w:b/>
          <w:bCs/>
        </w:rPr>
        <w:t xml:space="preserve">External integrations: </w:t>
      </w:r>
      <w:r>
        <w:t xml:space="preserve">Plaid (bank linking and transaction sync) and Stripe (billing). Both require publicly reachable HTTPS webhook endpoints on the API.</w:t>
      </w:r>
    </w:p>
    <w:p>
      <w:pPr>
        <w:pStyle w:val="ListParagraph"/>
        <w:numPr>
          <w:ilvl w:val="0"/>
          <w:numId w:val="2"/>
        </w:numPr>
        <w:spacing w:after="70" w:line="264"/>
      </w:pPr>
      <w:r>
        <w:rPr>
          <w:b/>
          <w:bCs/>
        </w:rPr>
        <w:t xml:space="preserve">Sensitive data: </w:t>
      </w:r>
      <w:r>
        <w:t xml:space="preserve">bank access tokens are encrypted at rest by the application, so an encryption key and other secrets (Plaid keys, Stripe keys) must be stored in a managed secret store, never in plain configuration.</w:t>
      </w:r>
    </w:p>
    <w:p>
      <w:pPr>
        <w:spacing w:after="140" w:line="276"/>
      </w:pPr>
      <w:r>
        <w:t xml:space="preserve">Two consequences drive the design. First, the API must be able to run as more than one instance for availability, which means any per instance state (currently the in process rate limiter) has to move to a shared cache. Second, because the system handles financial data, encryption, private networking, a web application firewall, and audit grade logging are treated as required rather than optional.</w:t>
      </w:r>
    </w:p>
    <w:p>
      <w:pPr>
        <w:pStyle w:val="Heading1"/>
      </w:pPr>
      <w:r>
        <w:t xml:space="preserve">3. Required Azure services</w:t>
      </w:r>
    </w:p>
    <w:p>
      <w:pPr>
        <w:spacing w:after="140" w:line="276"/>
      </w:pPr>
      <w:r>
        <w:t xml:space="preserve">The table below lists the necessary services and the recommended starting tier for a production environment. Per service detail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00"/>
        <w:gridCol w:w="4640"/>
      </w:tblGrid>
      <w:tr>
        <w:trPr>
          <w:tblHeader/>
        </w:trPr>
        <w:tc>
          <w:tcPr>
            <w:tcW w:type="dxa" w:w="252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Service</w:t>
            </w:r>
          </w:p>
        </w:tc>
        <w:tc>
          <w:tcPr>
            <w:tcW w:type="dxa" w:w="220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Recommended tier</w:t>
            </w:r>
          </w:p>
        </w:tc>
        <w:tc>
          <w:tcPr>
            <w:tcW w:type="dxa" w:w="464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Role in Osborn Finance</w:t>
            </w:r>
          </w:p>
        </w:tc>
      </w:tr>
      <w:tr>
        <w:trPr>
          <w:tblHeader w:val="false"/>
        </w:trPr>
        <w:tc>
          <w:tcPr>
            <w:tcW w:type="dxa" w:w="252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Azure Container Apps</w:t>
            </w:r>
          </w:p>
        </w:tc>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Consumption (0.5 vCPU, 1 GiB)</w:t>
            </w:r>
          </w:p>
        </w:tc>
        <w:tc>
          <w:tcPr>
            <w:tcW w:type="dxa" w:w="464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Runs the Express API container with managed HTTPS ingress and autoscale</w:t>
            </w:r>
          </w:p>
        </w:tc>
      </w:tr>
      <w:tr>
        <w:trPr>
          <w:tblHeader w:val="false"/>
        </w:trPr>
        <w:tc>
          <w:tcPr>
            <w:tcW w:type="dxa" w:w="252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Azure Static Web Apps</w:t>
            </w:r>
          </w:p>
        </w:tc>
        <w:tc>
          <w:tcPr>
            <w:tcW w:type="dxa" w:w="22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Standard</w:t>
            </w:r>
          </w:p>
        </w:tc>
        <w:tc>
          <w:tcPr>
            <w:tcW w:type="dxa" w:w="464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Hosts and globally distributes the React SPA build</w:t>
            </w:r>
          </w:p>
        </w:tc>
      </w:tr>
      <w:tr>
        <w:trPr>
          <w:tblHeader w:val="false"/>
        </w:trPr>
        <w:tc>
          <w:tcPr>
            <w:tcW w:type="dxa" w:w="252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Azure Database for PostgreSQL Flexible Server</w:t>
            </w:r>
          </w:p>
        </w:tc>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General Purpose, zonal resiliency</w:t>
            </w:r>
          </w:p>
        </w:tc>
        <w:tc>
          <w:tcPr>
            <w:tcW w:type="dxa" w:w="464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Primary transactional database</w:t>
            </w:r>
          </w:p>
        </w:tc>
      </w:tr>
      <w:tr>
        <w:trPr>
          <w:tblHeader w:val="false"/>
        </w:trPr>
        <w:tc>
          <w:tcPr>
            <w:tcW w:type="dxa" w:w="252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Azure Key Vault</w:t>
            </w:r>
          </w:p>
        </w:tc>
        <w:tc>
          <w:tcPr>
            <w:tcW w:type="dxa" w:w="22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Standard</w:t>
            </w:r>
          </w:p>
        </w:tc>
        <w:tc>
          <w:tcPr>
            <w:tcW w:type="dxa" w:w="464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Stores Plaid, Stripe, and data encryption secrets</w:t>
            </w:r>
          </w:p>
        </w:tc>
      </w:tr>
      <w:tr>
        <w:trPr>
          <w:tblHeader w:val="false"/>
        </w:trPr>
        <w:tc>
          <w:tcPr>
            <w:tcW w:type="dxa" w:w="252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Azure Cache for Redis</w:t>
            </w:r>
          </w:p>
        </w:tc>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Standard C1</w:t>
            </w:r>
          </w:p>
        </w:tc>
        <w:tc>
          <w:tcPr>
            <w:tcW w:type="dxa" w:w="464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Shared rate limiting and session state across API instances</w:t>
            </w:r>
          </w:p>
        </w:tc>
      </w:tr>
      <w:tr>
        <w:trPr>
          <w:tblHeader w:val="false"/>
        </w:trPr>
        <w:tc>
          <w:tcPr>
            <w:tcW w:type="dxa" w:w="252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Azure Front Door + WAF</w:t>
            </w:r>
          </w:p>
        </w:tc>
        <w:tc>
          <w:tcPr>
            <w:tcW w:type="dxa" w:w="22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Standard</w:t>
            </w:r>
          </w:p>
        </w:tc>
        <w:tc>
          <w:tcPr>
            <w:tcW w:type="dxa" w:w="464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Global entry point, TLS, custom domain, web application firewall</w:t>
            </w:r>
          </w:p>
        </w:tc>
      </w:tr>
      <w:tr>
        <w:trPr>
          <w:tblHeader w:val="false"/>
        </w:trPr>
        <w:tc>
          <w:tcPr>
            <w:tcW w:type="dxa" w:w="252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Azure Container Registry</w:t>
            </w:r>
          </w:p>
        </w:tc>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Basic</w:t>
            </w:r>
          </w:p>
        </w:tc>
        <w:tc>
          <w:tcPr>
            <w:tcW w:type="dxa" w:w="464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Stores the API container image for deployment</w:t>
            </w:r>
          </w:p>
        </w:tc>
      </w:tr>
      <w:tr>
        <w:trPr>
          <w:tblHeader w:val="false"/>
        </w:trPr>
        <w:tc>
          <w:tcPr>
            <w:tcW w:type="dxa" w:w="252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Azure Monitor (App Insights + Log Analytics)</w:t>
            </w:r>
          </w:p>
        </w:tc>
        <w:tc>
          <w:tcPr>
            <w:tcW w:type="dxa" w:w="22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Pay as you go</w:t>
            </w:r>
          </w:p>
        </w:tc>
        <w:tc>
          <w:tcPr>
            <w:tcW w:type="dxa" w:w="464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Logs, metrics, traces, audit retention, alerting</w:t>
            </w:r>
          </w:p>
        </w:tc>
      </w:tr>
      <w:tr>
        <w:trPr>
          <w:tblHeader w:val="false"/>
        </w:trPr>
        <w:tc>
          <w:tcPr>
            <w:tcW w:type="dxa" w:w="252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Managed Identity + Microsoft Entra</w:t>
            </w:r>
          </w:p>
        </w:tc>
        <w:tc>
          <w:tcPr>
            <w:tcW w:type="dxa" w:w="22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Included</w:t>
            </w:r>
          </w:p>
        </w:tc>
        <w:tc>
          <w:tcPr>
            <w:tcW w:type="dxa" w:w="464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Passwordless access from the API to Key Vault, registry, and database</w:t>
            </w:r>
          </w:p>
        </w:tc>
      </w:tr>
      <w:tr>
        <w:trPr>
          <w:tblHeader w:val="false"/>
        </w:trPr>
        <w:tc>
          <w:tcPr>
            <w:tcW w:type="dxa" w:w="252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Virtual Network + Private Endpoints</w:t>
            </w:r>
          </w:p>
        </w:tc>
        <w:tc>
          <w:tcPr>
            <w:tcW w:type="dxa" w:w="22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Standard</w:t>
            </w:r>
          </w:p>
        </w:tc>
        <w:tc>
          <w:tcPr>
            <w:tcW w:type="dxa" w:w="464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Keeps database, cache, and Key Vault off the public internet</w:t>
            </w:r>
          </w:p>
        </w:tc>
      </w:tr>
    </w:tbl>
    <w:p>
      <w:pPr>
        <w:pStyle w:val="Heading2"/>
      </w:pPr>
      <w:r>
        <w:t xml:space="preserve">3.1 Compute: Azure Container Apps (API)</w:t>
      </w:r>
    </w:p>
    <w:p>
      <w:pPr>
        <w:spacing w:after="140" w:line="276"/>
      </w:pPr>
      <w:r>
        <w:t xml:space="preserve">The API is a single containerized Node service, which makes Azure Container Apps the leanest fit: it provides managed HTTPS ingress, revision based deployments, and autoscaling (including scale to zero for non production), without the overhead of managing a cluster. A minimum of one always on replica is recommended in production so that Plaid and Stripe webhooks are never sent to a cold start, scaling out on HTTP concurrency or CPU. Azure App Service (Linux) is an acceptable alternative if a simpler single service model is preferred; Container Apps is recommended for its cleaner scaling and revision model.</w:t>
      </w:r>
    </w:p>
    <w:p>
      <w:pPr>
        <w:pStyle w:val="ListParagraph"/>
        <w:numPr>
          <w:ilvl w:val="0"/>
          <w:numId w:val="2"/>
        </w:numPr>
        <w:spacing w:after="70" w:line="264"/>
      </w:pPr>
      <w:r>
        <w:t xml:space="preserve">Start at 0.5 vCPU and 1 GiB per replica, minimum 1 and maximum 3 to 5 replicas.</w:t>
      </w:r>
    </w:p>
    <w:p>
      <w:pPr>
        <w:pStyle w:val="ListParagraph"/>
        <w:numPr>
          <w:ilvl w:val="0"/>
          <w:numId w:val="2"/>
        </w:numPr>
        <w:spacing w:after="70" w:line="264"/>
      </w:pPr>
      <w:r>
        <w:t xml:space="preserve">Inject configuration as environment variables and pull all secrets from Key Vault via managed identity.</w:t>
      </w:r>
    </w:p>
    <w:p>
      <w:pPr>
        <w:pStyle w:val="ListParagraph"/>
        <w:numPr>
          <w:ilvl w:val="0"/>
          <w:numId w:val="2"/>
        </w:numPr>
        <w:spacing w:after="70" w:line="264"/>
      </w:pPr>
      <w:r>
        <w:t xml:space="preserve">Expose only the API behind Front Door; do not publish the database or cache.</w:t>
      </w:r>
    </w:p>
    <w:p>
      <w:pPr>
        <w:pStyle w:val="Heading2"/>
      </w:pPr>
      <w:r>
        <w:t xml:space="preserve">3.2 Web hosting: Azure Static Web Apps</w:t>
      </w:r>
    </w:p>
    <w:p>
      <w:pPr>
        <w:spacing w:after="140" w:line="276"/>
      </w:pPr>
      <w:r>
        <w:t xml:space="preserve">The React client compiles to static assets, so it does not need a server. Azure Static Web Apps serves these files from a global CDN, handles TLS and custom domains, and integrates with the same custom domain strategy as the API. The Standard tier is recommended for a production custom domain, SLA, and the ability to bring your own functions later if needed.</w:t>
      </w:r>
    </w:p>
    <w:p>
      <w:pPr>
        <w:pStyle w:val="Heading2"/>
      </w:pPr>
      <w:r>
        <w:t xml:space="preserve">3.3 Database: Azure Database for PostgreSQL Flexible Server</w:t>
      </w:r>
    </w:p>
    <w:p>
      <w:pPr>
        <w:spacing w:after="140" w:line="276"/>
      </w:pPr>
      <w:r>
        <w:t xml:space="preserve">This is the system of record and the most important service to size and protect correctly. Flexible Server is the current managed Postgres offering and supports the features required here. For production, use the General Purpose tier with zonal resiliency, which places a hot standby in a second availability zone and fails over automatically. The Burstable tier is appropriate only for development and test, as it does not support high availability.</w:t>
      </w:r>
    </w:p>
    <w:p>
      <w:pPr>
        <w:pStyle w:val="ListParagraph"/>
        <w:numPr>
          <w:ilvl w:val="0"/>
          <w:numId w:val="2"/>
        </w:numPr>
        <w:spacing w:after="70" w:line="264"/>
      </w:pPr>
      <w:r>
        <w:rPr>
          <w:b/>
          <w:bCs/>
        </w:rPr>
        <w:t xml:space="preserve">Production: </w:t>
      </w:r>
      <w:r>
        <w:t xml:space="preserve">General Purpose, 2 vCPU class (for example D2ds_v5), zonal resilient high availability, 7 to 35 day point in time restore.</w:t>
      </w:r>
    </w:p>
    <w:p>
      <w:pPr>
        <w:pStyle w:val="ListParagraph"/>
        <w:numPr>
          <w:ilvl w:val="0"/>
          <w:numId w:val="2"/>
        </w:numPr>
        <w:spacing w:after="70" w:line="264"/>
      </w:pPr>
      <w:r>
        <w:rPr>
          <w:b/>
          <w:bCs/>
        </w:rPr>
        <w:t xml:space="preserve">Development: </w:t>
      </w:r>
      <w:r>
        <w:t xml:space="preserve">Burstable (for example B1ms or B2s), no high availability, short backup retention.</w:t>
      </w:r>
    </w:p>
    <w:p>
      <w:pPr>
        <w:pStyle w:val="ListParagraph"/>
        <w:numPr>
          <w:ilvl w:val="0"/>
          <w:numId w:val="2"/>
        </w:numPr>
        <w:spacing w:after="70" w:line="264"/>
      </w:pPr>
      <w:r>
        <w:rPr>
          <w:b/>
          <w:bCs/>
        </w:rPr>
        <w:t xml:space="preserve">Access: </w:t>
      </w:r>
      <w:r>
        <w:t xml:space="preserve">private endpoint only, Microsoft Entra authentication, TLS enforced, no public network access.</w:t>
      </w:r>
    </w:p>
    <w:p>
      <w:pPr>
        <w:pStyle w:val="Heading2"/>
      </w:pPr>
      <w:r>
        <w:t xml:space="preserve">3.4 Secrets: Azure Key Vault</w:t>
      </w:r>
    </w:p>
    <w:p>
      <w:pPr>
        <w:spacing w:after="140" w:line="276"/>
      </w:pPr>
      <w:r>
        <w:t xml:space="preserve">The application encrypts bank access tokens and integrates with Plaid and Stripe, so it holds several high value secrets. Azure Key Vault stores the data encryption key, Plaid client and secret, Stripe secret and webhook signing secret, and the database credential or token. The API reads these at startup using its managed identity, so no secret is ever placed in plain configuration, source control, or a container image. Standard tier is sufficient; soft delete and purge protection should be enabled.</w:t>
      </w:r>
    </w:p>
    <w:p>
      <w:pPr>
        <w:pStyle w:val="Heading2"/>
      </w:pPr>
      <w:r>
        <w:t xml:space="preserve">3.5 Cache and shared state: Azure Cache for Redis</w:t>
      </w:r>
    </w:p>
    <w:p>
      <w:pPr>
        <w:spacing w:after="140" w:line="276"/>
      </w:pPr>
      <w:r>
        <w:t xml:space="preserve">The API currently keeps rate limiting state in process. As soon as the API runs more than one replica (required for availability), that state must be shared, otherwise limits and any session data become inconsistent across instances. Azure Cache for Redis provides this shared layer. Standard C1 is recommended for production (replicated, with an SLA); Basic C0 is acceptable for development.</w:t>
      </w:r>
    </w:p>
    <w:p>
      <w:pPr>
        <w:pStyle w:val="Heading2"/>
      </w:pPr>
      <w:r>
        <w:t xml:space="preserve">3.6 Edge and security: Azure Front Door with WAF</w:t>
      </w:r>
    </w:p>
    <w:p>
      <w:pPr>
        <w:spacing w:after="140" w:line="276"/>
      </w:pPr>
      <w:r>
        <w:t xml:space="preserve">Front Door is the single public entry point. It terminates TLS, serves the custom domain, routes to the API and the static client, and applies a web application firewall in front of the public surface, including the Plaid and Stripe webhook routes. For a financial application a managed WAF (with the standard OWASP rule set and rate based rules) is treated as required, not optional. Front Door Standard includes WAF and global anycast routing at a modest base cost.</w:t>
      </w:r>
    </w:p>
    <w:p>
      <w:pPr>
        <w:pStyle w:val="Heading2"/>
      </w:pPr>
      <w:r>
        <w:t xml:space="preserve">3.7 Container registry: Azure Container Registry</w:t>
      </w:r>
    </w:p>
    <w:p>
      <w:pPr>
        <w:spacing w:after="140" w:line="276"/>
      </w:pPr>
      <w:r>
        <w:t xml:space="preserve">The API image must be stored somewhere Container Apps can pull from using managed identity. Azure Container Registry Basic is sufficient for a single image and modest pull volume, and keeps the supply chain inside Azure with private, authenticated access.</w:t>
      </w:r>
    </w:p>
    <w:p>
      <w:pPr>
        <w:pStyle w:val="Heading2"/>
      </w:pPr>
      <w:r>
        <w:t xml:space="preserve">3.8 Observability: Azure Monitor, Application Insights, Log Analytics</w:t>
      </w:r>
    </w:p>
    <w:p>
      <w:pPr>
        <w:spacing w:after="140" w:line="276"/>
      </w:pPr>
      <w:r>
        <w:t xml:space="preserve">A finance product needs reliable diagnostics and an audit trail. Application Insights instruments the API for request traces, dependencies (Postgres, Redis, Plaid, Stripe), and exceptions; a Log Analytics workspace centralizes logs from every service; Azure Monitor provides dashboards and alerts (for example on error rate, webhook failures, database CPU, and failover events). Retention should be set to meet the audit requirements for financial records.</w:t>
      </w:r>
    </w:p>
    <w:p>
      <w:pPr>
        <w:pStyle w:val="Heading2"/>
      </w:pPr>
      <w:r>
        <w:t xml:space="preserve">3.9 Identity and networking</w:t>
      </w:r>
    </w:p>
    <w:p>
      <w:pPr>
        <w:spacing w:after="140" w:line="276"/>
      </w:pPr>
      <w:r>
        <w:t xml:space="preserve">Two foundational, low cost layers tie the rest together. System assigned managed identities give the API passwordless access to Key Vault, the container registry, and the database through Microsoft Entra, removing standing credentials. A virtual network with private endpoints keeps the database, cache, and Key Vault unreachable from the public internet, so only Front Door and the API ingress are exposed. Together these implement least privilege and a private data plane.</w:t>
      </w:r>
    </w:p>
    <w:p>
      <w:pPr>
        <w:pStyle w:val="Heading1"/>
      </w:pPr>
      <w:r>
        <w:t xml:space="preserve">4. Networking and security requirements</w:t>
      </w:r>
    </w:p>
    <w:p>
      <w:pPr>
        <w:pStyle w:val="ListParagraph"/>
        <w:numPr>
          <w:ilvl w:val="0"/>
          <w:numId w:val="2"/>
        </w:numPr>
        <w:spacing w:after="70" w:line="264"/>
      </w:pPr>
      <w:r>
        <w:t xml:space="preserve">All inbound traffic enters through Front Door; the database, cache, and Key Vault are reachable only over private endpoints inside the virtual network.</w:t>
      </w:r>
    </w:p>
    <w:p>
      <w:pPr>
        <w:pStyle w:val="ListParagraph"/>
        <w:numPr>
          <w:ilvl w:val="0"/>
          <w:numId w:val="2"/>
        </w:numPr>
        <w:spacing w:after="70" w:line="264"/>
      </w:pPr>
      <w:r>
        <w:t xml:space="preserve">TLS is enforced end to end; HTTP is redirected to HTTPS at the edge.</w:t>
      </w:r>
    </w:p>
    <w:p>
      <w:pPr>
        <w:pStyle w:val="ListParagraph"/>
        <w:numPr>
          <w:ilvl w:val="0"/>
          <w:numId w:val="2"/>
        </w:numPr>
        <w:spacing w:after="70" w:line="264"/>
      </w:pPr>
      <w:r>
        <w:t xml:space="preserve">The web application firewall runs in prevention mode with the managed OWASP rule set and rate based rules covering the webhook endpoints.</w:t>
      </w:r>
    </w:p>
    <w:p>
      <w:pPr>
        <w:pStyle w:val="ListParagraph"/>
        <w:numPr>
          <w:ilvl w:val="0"/>
          <w:numId w:val="2"/>
        </w:numPr>
        <w:spacing w:after="70" w:line="264"/>
      </w:pPr>
      <w:r>
        <w:t xml:space="preserve">Secrets live only in Key Vault and are read at runtime via managed identity; none are stored in images, environment files, or source control.</w:t>
      </w:r>
    </w:p>
    <w:p>
      <w:pPr>
        <w:pStyle w:val="ListParagraph"/>
        <w:numPr>
          <w:ilvl w:val="0"/>
          <w:numId w:val="2"/>
        </w:numPr>
        <w:spacing w:after="70" w:line="264"/>
      </w:pPr>
      <w:r>
        <w:t xml:space="preserve">Role based access control follows least privilege; human access to production data services is restricted and audited.</w:t>
      </w:r>
    </w:p>
    <w:p>
      <w:pPr>
        <w:pStyle w:val="ListParagraph"/>
        <w:numPr>
          <w:ilvl w:val="0"/>
          <w:numId w:val="2"/>
        </w:numPr>
        <w:spacing w:after="70" w:line="264"/>
      </w:pPr>
      <w:r>
        <w:t xml:space="preserve">Data is encrypted in transit (TLS) and at rest (platform encryption on Postgres, Redis, and storage), in addition to the application level encryption of bank tokens.</w:t>
      </w:r>
    </w:p>
    <w:p>
      <w:pPr>
        <w:pStyle w:val="Heading1"/>
      </w:pPr>
      <w:r>
        <w:t xml:space="preserve">5. High availability, backup, and disaster recovery</w:t>
      </w:r>
    </w:p>
    <w:p>
      <w:pPr>
        <w:pStyle w:val="ListParagraph"/>
        <w:numPr>
          <w:ilvl w:val="0"/>
          <w:numId w:val="2"/>
        </w:numPr>
        <w:spacing w:after="70" w:line="264"/>
      </w:pPr>
      <w:r>
        <w:rPr>
          <w:b/>
          <w:bCs/>
        </w:rPr>
        <w:t xml:space="preserve">Availability: </w:t>
      </w:r>
      <w:r>
        <w:t xml:space="preserve">the API runs at least two replicas across the Container Apps environment; the database uses zonal resilient high availability with automatic failover.</w:t>
      </w:r>
    </w:p>
    <w:p>
      <w:pPr>
        <w:pStyle w:val="ListParagraph"/>
        <w:numPr>
          <w:ilvl w:val="0"/>
          <w:numId w:val="2"/>
        </w:numPr>
        <w:spacing w:after="70" w:line="264"/>
      </w:pPr>
      <w:r>
        <w:rPr>
          <w:b/>
          <w:bCs/>
        </w:rPr>
        <w:t xml:space="preserve">Backups: </w:t>
      </w:r>
      <w:r>
        <w:t xml:space="preserve">Flexible Server automated backups with point in time restore (recommended 14 to 35 days). Periodically test restore.</w:t>
      </w:r>
    </w:p>
    <w:p>
      <w:pPr>
        <w:pStyle w:val="ListParagraph"/>
        <w:numPr>
          <w:ilvl w:val="0"/>
          <w:numId w:val="2"/>
        </w:numPr>
        <w:spacing w:after="70" w:line="264"/>
      </w:pPr>
      <w:r>
        <w:rPr>
          <w:b/>
          <w:bCs/>
        </w:rPr>
        <w:t xml:space="preserve">Disaster recovery: </w:t>
      </w:r>
      <w:r>
        <w:t xml:space="preserve">Front Door and Static Web Apps are global by design. For a regional outage, the documented recovery path is geo restore of the database into a paired region and redeployment of the API image from the registry. A defined RPO and RTO should be agreed (a starting target of RPO under 1 hour and RTO under 4 hours is reasonable).</w:t>
      </w:r>
    </w:p>
    <w:p>
      <w:pPr>
        <w:pStyle w:val="ListParagraph"/>
        <w:numPr>
          <w:ilvl w:val="0"/>
          <w:numId w:val="2"/>
        </w:numPr>
        <w:spacing w:after="70" w:line="264"/>
      </w:pPr>
      <w:r>
        <w:rPr>
          <w:b/>
          <w:bCs/>
        </w:rPr>
        <w:t xml:space="preserve">Configuration recovery: </w:t>
      </w:r>
      <w:r>
        <w:t xml:space="preserve">infrastructure is defined as code (Bicep or Terraform) so the full environment can be rebuilt from source.</w:t>
      </w:r>
    </w:p>
    <w:p>
      <w:pPr>
        <w:pStyle w:val="Heading1"/>
      </w:pPr>
      <w:r>
        <w:t xml:space="preserve">6. Environments and sizing</w:t>
      </w:r>
    </w:p>
    <w:p>
      <w:pPr>
        <w:spacing w:after="140" w:line="276"/>
      </w:pPr>
      <w:r>
        <w:t xml:space="preserve">Two environments are recommended at minimum: a lean Development/Test environment and a hardened Production environment. The same service set is used in both, with smaller, non redundant tiers in Development to control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Service</w:t>
            </w:r>
          </w:p>
        </w:tc>
        <w:tc>
          <w:tcPr>
            <w:tcW w:type="dxa" w:w="348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Development / Test</w:t>
            </w:r>
          </w:p>
        </w:tc>
        <w:tc>
          <w:tcPr>
            <w:tcW w:type="dxa" w:w="348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Production</w:t>
            </w:r>
          </w:p>
        </w:tc>
      </w:tr>
      <w:tr>
        <w:trPr>
          <w:tblHeader w:val="false"/>
        </w:trPr>
        <w:tc>
          <w:tcPr>
            <w:tcW w:type="dxa" w:w="2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Container Apps</w:t>
            </w:r>
          </w:p>
        </w:tc>
        <w:tc>
          <w:tcPr>
            <w:tcW w:type="dxa" w:w="348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0.25 vCPU, scale to zero</w:t>
            </w:r>
          </w:p>
        </w:tc>
        <w:tc>
          <w:tcPr>
            <w:tcW w:type="dxa" w:w="348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0.5 vCPU, min 1 to 2 replicas</w:t>
            </w:r>
          </w:p>
        </w:tc>
      </w:tr>
      <w:tr>
        <w:trPr>
          <w:tblHeader w:val="false"/>
        </w:trPr>
        <w:tc>
          <w:tcPr>
            <w:tcW w:type="dxa" w:w="24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PostgreSQL</w:t>
            </w:r>
          </w:p>
        </w:tc>
        <w:tc>
          <w:tcPr>
            <w:tcW w:type="dxa" w:w="348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Burstable B1ms, no HA</w:t>
            </w:r>
          </w:p>
        </w:tc>
        <w:tc>
          <w:tcPr>
            <w:tcW w:type="dxa" w:w="348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General Purpose, zonal HA</w:t>
            </w:r>
          </w:p>
        </w:tc>
      </w:tr>
      <w:tr>
        <w:trPr>
          <w:tblHeader w:val="false"/>
        </w:trPr>
        <w:tc>
          <w:tcPr>
            <w:tcW w:type="dxa" w:w="2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Redis</w:t>
            </w:r>
          </w:p>
        </w:tc>
        <w:tc>
          <w:tcPr>
            <w:tcW w:type="dxa" w:w="348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Basic C0</w:t>
            </w:r>
          </w:p>
        </w:tc>
        <w:tc>
          <w:tcPr>
            <w:tcW w:type="dxa" w:w="348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Standard C1</w:t>
            </w:r>
          </w:p>
        </w:tc>
      </w:tr>
      <w:tr>
        <w:trPr>
          <w:tblHeader w:val="false"/>
        </w:trPr>
        <w:tc>
          <w:tcPr>
            <w:tcW w:type="dxa" w:w="24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Static Web Apps</w:t>
            </w:r>
          </w:p>
        </w:tc>
        <w:tc>
          <w:tcPr>
            <w:tcW w:type="dxa" w:w="348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Free or Standard</w:t>
            </w:r>
          </w:p>
        </w:tc>
        <w:tc>
          <w:tcPr>
            <w:tcW w:type="dxa" w:w="348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Standard</w:t>
            </w:r>
          </w:p>
        </w:tc>
      </w:tr>
      <w:tr>
        <w:trPr>
          <w:tblHeader w:val="false"/>
        </w:trPr>
        <w:tc>
          <w:tcPr>
            <w:tcW w:type="dxa" w:w="24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Front Door + WAF</w:t>
            </w:r>
          </w:p>
        </w:tc>
        <w:tc>
          <w:tcPr>
            <w:tcW w:type="dxa" w:w="348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Optional in dev</w:t>
            </w:r>
          </w:p>
        </w:tc>
        <w:tc>
          <w:tcPr>
            <w:tcW w:type="dxa" w:w="348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Standard with WAF</w:t>
            </w:r>
          </w:p>
        </w:tc>
      </w:tr>
      <w:tr>
        <w:trPr>
          <w:tblHeader w:val="false"/>
        </w:trPr>
        <w:tc>
          <w:tcPr>
            <w:tcW w:type="dxa" w:w="24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Monitoring</w:t>
            </w:r>
          </w:p>
        </w:tc>
        <w:tc>
          <w:tcPr>
            <w:tcW w:type="dxa" w:w="348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Basic sampling</w:t>
            </w:r>
          </w:p>
        </w:tc>
        <w:tc>
          <w:tcPr>
            <w:tcW w:type="dxa" w:w="348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Full retention + alerts</w:t>
            </w:r>
          </w:p>
        </w:tc>
      </w:tr>
    </w:tbl>
    <w:p>
      <w:pPr>
        <w:pStyle w:val="Heading1"/>
      </w:pPr>
      <w:r>
        <w:t xml:space="preserve">7. Indicative monthly cost</w:t>
      </w:r>
    </w:p>
    <w:p>
      <w:pPr>
        <w:spacing w:after="140" w:line="276"/>
      </w:pPr>
      <w:r>
        <w:t xml:space="preserve">The figures below are rough planning ranges in US dollars for a single region pay as you go deployment, approximate as of mid 2026. They exclude data egress, Plaid and Stripe fees, and Azure support plans. Confirm in the Azure Pricing Calculator before committing. The database, especially with high availability, is the dominant cost; running the database single zone initially is the main lever to reduce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Service</w:t>
            </w:r>
          </w:p>
        </w:tc>
        <w:tc>
          <w:tcPr>
            <w:tcW w:type="dxa" w:w="200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Dev / Test</w:t>
            </w:r>
          </w:p>
        </w:tc>
        <w:tc>
          <w:tcPr>
            <w:tcW w:type="dxa" w:w="200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Production</w:t>
            </w:r>
          </w:p>
        </w:tc>
        <w:tc>
          <w:tcPr>
            <w:tcW w:type="dxa" w:w="2000"/>
            <w:tcBorders>
              <w:top w:val="single" w:color="C9D4DF" w:sz="1"/>
              <w:left w:val="single" w:color="C9D4DF" w:sz="1"/>
              <w:bottom w:val="single" w:color="C9D4DF" w:sz="1"/>
              <w:right w:val="single" w:color="C9D4DF" w:sz="1"/>
            </w:tcBorders>
            <w:shd w:fill="1F3A5F" w:val="clear"/>
            <w:tcMar>
              <w:top w:type="dxa" w:w="70"/>
              <w:left w:type="dxa" w:w="110"/>
              <w:bottom w:type="dxa" w:w="70"/>
              <w:right w:type="dxa" w:w="110"/>
            </w:tcMar>
          </w:tcPr>
          <w:p>
            <w:r>
              <w:rPr>
                <w:b/>
                <w:bCs/>
                <w:color w:val="FFFFFF"/>
                <w:sz w:val="19"/>
                <w:szCs w:val="19"/>
              </w:rPr>
              <w:t xml:space="preserve">Notes</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Container Apps</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$0 to 15</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$30 to 70</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Scale to zero in dev</w:t>
            </w:r>
          </w:p>
        </w:tc>
      </w:tr>
      <w:tr>
        <w:trPr>
          <w:tblHeader w:val="false"/>
        </w:trPr>
        <w:tc>
          <w:tcPr>
            <w:tcW w:type="dxa" w:w="336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PostgreSQL Flexible Server</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$15 to 30</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$220 to 380</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HA standby roughly doubles compute</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Azure Cache for Redis</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$16</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$70 to 90</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Standard adds replication</w:t>
            </w:r>
          </w:p>
        </w:tc>
      </w:tr>
      <w:tr>
        <w:trPr>
          <w:tblHeader w:val="false"/>
        </w:trPr>
        <w:tc>
          <w:tcPr>
            <w:tcW w:type="dxa" w:w="336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Static Web Apps</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$0 to 9</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$9</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Standard tier</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Front Door + WAF</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$0</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$40 to 70</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Base plus request volume</w:t>
            </w:r>
          </w:p>
        </w:tc>
      </w:tr>
      <w:tr>
        <w:trPr>
          <w:tblHeader w:val="false"/>
        </w:trPr>
        <w:tc>
          <w:tcPr>
            <w:tcW w:type="dxa" w:w="336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Container Registry</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$5</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$5</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Basic</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Key Vault</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$1 to 3</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$1 to 5</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Per operation</w:t>
            </w:r>
          </w:p>
        </w:tc>
      </w:tr>
      <w:tr>
        <w:trPr>
          <w:tblHeader w:val="false"/>
        </w:trPr>
        <w:tc>
          <w:tcPr>
            <w:tcW w:type="dxa" w:w="336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Azure Monitor</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$5 to 15</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$15 to 50</w:t>
            </w:r>
          </w:p>
        </w:tc>
        <w:tc>
          <w:tcPr>
            <w:tcW w:type="dxa" w:w="2000"/>
            <w:tcBorders>
              <w:top w:val="single" w:color="C9D4DF" w:sz="1"/>
              <w:left w:val="single" w:color="C9D4DF" w:sz="1"/>
              <w:bottom w:val="single" w:color="C9D4DF" w:sz="1"/>
              <w:right w:val="single" w:color="C9D4DF" w:sz="1"/>
            </w:tcBorders>
            <w:shd w:fill="F4F6F8" w:val="clear"/>
            <w:tcMar>
              <w:top w:type="dxa" w:w="70"/>
              <w:left w:type="dxa" w:w="110"/>
              <w:bottom w:type="dxa" w:w="70"/>
              <w:right w:type="dxa" w:w="110"/>
            </w:tcMar>
          </w:tcPr>
          <w:p>
            <w:r>
              <w:rPr>
                <w:b w:val="false"/>
                <w:bCs w:val="false"/>
                <w:color w:val="1A1A1A"/>
                <w:sz w:val="19"/>
                <w:szCs w:val="19"/>
              </w:rPr>
              <w:t xml:space="preserve">Ingestion based</w:t>
            </w:r>
          </w:p>
        </w:tc>
      </w:tr>
      <w:tr>
        <w:trPr>
          <w:tblHeader w:val="false"/>
        </w:trPr>
        <w:tc>
          <w:tcPr>
            <w:tcW w:type="dxa" w:w="336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Estimated total</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$45 to 100</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$430 to 680</w:t>
            </w:r>
          </w:p>
        </w:tc>
        <w:tc>
          <w:tcPr>
            <w:tcW w:type="dxa" w:w="2000"/>
            <w:tcBorders>
              <w:top w:val="single" w:color="C9D4DF" w:sz="1"/>
              <w:left w:val="single" w:color="C9D4DF" w:sz="1"/>
              <w:bottom w:val="single" w:color="C9D4DF" w:sz="1"/>
              <w:right w:val="single" w:color="C9D4DF" w:sz="1"/>
            </w:tcBorders>
            <w:shd w:fill="FFFFFF" w:val="clear"/>
            <w:tcMar>
              <w:top w:type="dxa" w:w="70"/>
              <w:left w:type="dxa" w:w="110"/>
              <w:bottom w:type="dxa" w:w="70"/>
              <w:right w:type="dxa" w:w="110"/>
            </w:tcMar>
          </w:tcPr>
          <w:p>
            <w:r>
              <w:rPr>
                <w:b w:val="false"/>
                <w:bCs w:val="false"/>
                <w:color w:val="1A1A1A"/>
                <w:sz w:val="19"/>
                <w:szCs w:val="19"/>
              </w:rPr>
              <w:t xml:space="preserve">Region dependent</w:t>
            </w:r>
          </w:p>
        </w:tc>
      </w:tr>
    </w:tbl>
    <w:p>
      <w:pPr>
        <w:spacing w:after="140" w:line="276"/>
      </w:pPr>
      <w:r>
        <w:rPr>
          <w:i/>
          <w:iCs/>
          <w:color w:val="5A6B7B"/>
          <w:sz w:val="18"/>
          <w:szCs w:val="18"/>
        </w:rPr>
        <w:t xml:space="preserve">These are infrastructure estimates only and not financial advice. Actual cost depends on region, usage, reservations, and tier choices.</w:t>
      </w:r>
    </w:p>
    <w:p>
      <w:pPr>
        <w:pStyle w:val="Heading1"/>
      </w:pPr>
      <w:r>
        <w:t xml:space="preserve">8. Deployment and operations (infrastructure view)</w:t>
      </w:r>
    </w:p>
    <w:p>
      <w:pPr>
        <w:pStyle w:val="ListParagraph"/>
        <w:numPr>
          <w:ilvl w:val="0"/>
          <w:numId w:val="2"/>
        </w:numPr>
        <w:spacing w:after="70" w:line="264"/>
      </w:pPr>
      <w:r>
        <w:t xml:space="preserve">Container images are built in CI (for example GitHub Actions), pushed to Azure Container Registry, and deployed to Container Apps as new revisions.</w:t>
      </w:r>
    </w:p>
    <w:p>
      <w:pPr>
        <w:pStyle w:val="ListParagraph"/>
        <w:numPr>
          <w:ilvl w:val="0"/>
          <w:numId w:val="2"/>
        </w:numPr>
        <w:spacing w:after="70" w:line="264"/>
      </w:pPr>
      <w:r>
        <w:t xml:space="preserve">The static client is built in CI and published to Static Web Apps.</w:t>
      </w:r>
    </w:p>
    <w:p>
      <w:pPr>
        <w:pStyle w:val="ListParagraph"/>
        <w:numPr>
          <w:ilvl w:val="0"/>
          <w:numId w:val="2"/>
        </w:numPr>
        <w:spacing w:after="70" w:line="264"/>
      </w:pPr>
      <w:r>
        <w:t xml:space="preserve">All Azure resources are provisioned from Infrastructure as Code (Bicep or Terraform) and grouped in a resource group per environment.</w:t>
      </w:r>
    </w:p>
    <w:p>
      <w:pPr>
        <w:pStyle w:val="ListParagraph"/>
        <w:numPr>
          <w:ilvl w:val="0"/>
          <w:numId w:val="2"/>
        </w:numPr>
        <w:spacing w:after="70" w:line="264"/>
      </w:pPr>
      <w:r>
        <w:t xml:space="preserve">Alerts route to the team on API error rate, webhook failures, database CPU and storage, failover, and certificate expiry.</w:t>
      </w:r>
    </w:p>
    <w:p>
      <w:pPr>
        <w:pStyle w:val="Heading1"/>
      </w:pPr>
      <w:r>
        <w:t xml:space="preserve">9. Optional and future infrastructure (not required at launch)</w:t>
      </w:r>
    </w:p>
    <w:p>
      <w:pPr>
        <w:spacing w:after="140" w:line="276"/>
      </w:pPr>
      <w:r>
        <w:t xml:space="preserve">The following are useful as the product grows but are not necessary for a secure production launch, and are listed so they can be deferred.</w:t>
      </w:r>
    </w:p>
    <w:p>
      <w:pPr>
        <w:pStyle w:val="ListParagraph"/>
        <w:numPr>
          <w:ilvl w:val="0"/>
          <w:numId w:val="2"/>
        </w:numPr>
        <w:spacing w:after="70" w:line="264"/>
      </w:pPr>
      <w:r>
        <w:rPr>
          <w:b/>
          <w:bCs/>
        </w:rPr>
        <w:t xml:space="preserve">Azure Storage Account: </w:t>
      </w:r>
      <w:r>
        <w:t xml:space="preserve">for CSV import staging, generated PDF artifacts, or long term log archive.</w:t>
      </w:r>
    </w:p>
    <w:p>
      <w:pPr>
        <w:pStyle w:val="ListParagraph"/>
        <w:numPr>
          <w:ilvl w:val="0"/>
          <w:numId w:val="2"/>
        </w:numPr>
        <w:spacing w:after="70" w:line="264"/>
      </w:pPr>
      <w:r>
        <w:rPr>
          <w:b/>
          <w:bCs/>
        </w:rPr>
        <w:t xml:space="preserve">Azure DNS: </w:t>
      </w:r>
      <w:r>
        <w:t xml:space="preserve">if domain management is consolidated into Azure.</w:t>
      </w:r>
    </w:p>
    <w:p>
      <w:pPr>
        <w:pStyle w:val="ListParagraph"/>
        <w:numPr>
          <w:ilvl w:val="0"/>
          <w:numId w:val="2"/>
        </w:numPr>
        <w:spacing w:after="70" w:line="264"/>
      </w:pPr>
      <w:r>
        <w:rPr>
          <w:b/>
          <w:bCs/>
        </w:rPr>
        <w:t xml:space="preserve">Multi region active deployment: </w:t>
      </w:r>
      <w:r>
        <w:t xml:space="preserve">a second region for the API and a database read replica, for stricter availability targets.</w:t>
      </w:r>
    </w:p>
    <w:p>
      <w:pPr>
        <w:pStyle w:val="ListParagraph"/>
        <w:numPr>
          <w:ilvl w:val="0"/>
          <w:numId w:val="2"/>
        </w:numPr>
        <w:spacing w:after="70" w:line="264"/>
      </w:pPr>
      <w:r>
        <w:rPr>
          <w:b/>
          <w:bCs/>
        </w:rPr>
        <w:t xml:space="preserve">Azure DDoS Protection (Standard), Microsoft Defender for Cloud, Microsoft Sentinel: </w:t>
      </w:r>
      <w:r>
        <w:t xml:space="preserve">enhanced security posture and SIEM as compliance scope grows.</w:t>
      </w:r>
    </w:p>
    <w:p>
      <w:pPr>
        <w:pStyle w:val="ListParagraph"/>
        <w:numPr>
          <w:ilvl w:val="0"/>
          <w:numId w:val="2"/>
        </w:numPr>
        <w:spacing w:after="70" w:line="264"/>
      </w:pPr>
      <w:r>
        <w:rPr>
          <w:b/>
          <w:bCs/>
        </w:rPr>
        <w:t xml:space="preserve">Private CI runners or Azure DevOps: </w:t>
      </w:r>
      <w:r>
        <w:t xml:space="preserve">if build infrastructure is moved into Azure.</w:t>
      </w:r>
    </w:p>
    <w:p>
      <w:pPr>
        <w:pStyle w:val="Heading1"/>
      </w:pPr>
      <w:r>
        <w:t xml:space="preserve">10. Assumptions</w:t>
      </w:r>
    </w:p>
    <w:p>
      <w:pPr>
        <w:pStyle w:val="ListParagraph"/>
        <w:numPr>
          <w:ilvl w:val="0"/>
          <w:numId w:val="2"/>
        </w:numPr>
        <w:spacing w:after="70" w:line="264"/>
      </w:pPr>
      <w:r>
        <w:t xml:space="preserve">A single production region is sufficient at launch; multi region is a later step.</w:t>
      </w:r>
    </w:p>
    <w:p>
      <w:pPr>
        <w:pStyle w:val="ListParagraph"/>
        <w:numPr>
          <w:ilvl w:val="0"/>
          <w:numId w:val="2"/>
        </w:numPr>
        <w:spacing w:after="70" w:line="264"/>
      </w:pPr>
      <w:r>
        <w:t xml:space="preserve">Plaid and Stripe remain external SaaS; Azure only needs to host their webhook endpoints securely.</w:t>
      </w:r>
    </w:p>
    <w:p>
      <w:pPr>
        <w:pStyle w:val="ListParagraph"/>
        <w:numPr>
          <w:ilvl w:val="0"/>
          <w:numId w:val="2"/>
        </w:numPr>
        <w:spacing w:after="70" w:line="264"/>
      </w:pPr>
      <w:r>
        <w:t xml:space="preserve">Card data is handled by Stripe and never stored by Osborn Finance, limiting PCI scope.</w:t>
      </w:r>
    </w:p>
    <w:p>
      <w:pPr>
        <w:pStyle w:val="ListParagraph"/>
        <w:numPr>
          <w:ilvl w:val="0"/>
          <w:numId w:val="2"/>
        </w:numPr>
        <w:spacing w:after="70" w:line="264"/>
      </w:pPr>
      <w:r>
        <w:t xml:space="preserve">Traffic at launch is modest (low thousands of users), so entry tiers are adequate and scale up as needed.</w:t>
      </w:r>
    </w:p>
    <w:p>
      <w:pPr>
        <w:pStyle w:val="ListParagraph"/>
        <w:numPr>
          <w:ilvl w:val="0"/>
          <w:numId w:val="2"/>
        </w:numPr>
        <w:spacing w:after="70" w:line="264"/>
      </w:pPr>
      <w:r>
        <w:t xml:space="preserve">Exact compliance obligations (for example SOC 2 or specific financial regulations) will be confirmed and may add services from section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Page </w:t>
    </w:r>
    <w:r>
      <w:rPr>
        <w:color w:val="5A6B7B"/>
        <w:sz w:val="16"/>
        <w:szCs w:val="16"/>
      </w:rPr>
      <w:fldChar w:fldCharType="begin"/>
      <w:instrText xml:space="preserve">PAGE</w:instrText>
      <w:fldChar w:fldCharType="separate"/>
      <w:fldChar w:fldCharType="end"/>
    </w:r>
    <w:r>
      <w:rPr>
        <w:color w:val="5A6B7B"/>
        <w:sz w:val="16"/>
        <w:szCs w:val="16"/>
      </w:rPr>
      <w:t xml:space="preserve"> of </w:t>
    </w:r>
    <w:r>
      <w:rPr>
        <w:color w:val="5A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F" w:sz="4" w:space="3"/>
      </w:pBdr>
      <w:jc w:val="right"/>
    </w:pPr>
    <w:r>
      <w:rPr>
        <w:color w:val="5A6B7B"/>
        <w:sz w:val="16"/>
        <w:szCs w:val="16"/>
      </w:rPr>
      <w:t xml:space="preserve">Osborn Finance  |  Azure Infrastructure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6" w:space="4"/>
      </w:pBdr>
      <w:spacing w:after="14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Osborn Finance, Azure Cloud Infrastructure Requirements</dc:title>
  <dc:creator>Osborn Finance</dc:creator>
  <cp:lastModifiedBy>Un-named</cp:lastModifiedBy>
  <cp:revision>1</cp:revision>
  <dcterms:created xsi:type="dcterms:W3CDTF">2026-06-15T18:27:35.521Z</dcterms:created>
  <dcterms:modified xsi:type="dcterms:W3CDTF">2026-06-15T18:27:35.521Z</dcterms:modified>
</cp:coreProperties>
</file>

<file path=docProps/custom.xml><?xml version="1.0" encoding="utf-8"?>
<Properties xmlns="http://schemas.openxmlformats.org/officeDocument/2006/custom-properties" xmlns:vt="http://schemas.openxmlformats.org/officeDocument/2006/docPropsVTypes"/>
</file>