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variance-component model of the probabilistic model's output, persona components shared across the two rewrite banks account for an estimated 1.6–1.7% of within-complaint variation. Most of the remainder is associated with differences between rewrite models, guise-level paraphrase, option order and inference noise.</w:t>
      </w:r>
    </w:p>
    <w:p>
      <w:pPr>
        <w:pStyle w:val="FirstParagraph"/>
      </w:pPr>
      <w:r>
        <w:t xml:space="preserve">In an audit by two LLMs from outside the audited systems, individual auditors flagged a material fact change in 3.3% and 11.7% of rewrites (13.2% by either). Instability was similar among rewrites that passed this fidelity screen.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crossed variance-component model of the probabilistic model's output, persona components shared across both rewrite banks account for an estimated 1.6–1.7% of within-complaint variation. Rewrite-model differences (47%), a guise-level paraphrase term (37–39%, which cannot be separated from bank-specific persona effects), and option order and inference noise (12–15%) account for the rest (Appendix C).</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This instability persists among rewrites that passed an independent factual-fidelity screen.</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No superiority of probability averaging over equal-budget hard voting was detected on systematic disparity,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7"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The GPT remedy prompt (Appendix A.1) states base rates for the three tiers: 66% / 31% / 3% in the system message and 65.6% / 31.8% / 2.6% in the tier definitions. These are anchors derived from CFPB company-response categories (closed with explanation, non-monetary relief, monetary relief). They describe how companies responded, not adjudicated findings about which remedy was warranted. All results are conditional on a prompt that contains these anchors.</w:t>
      </w:r>
    </w:p>
    <w:p>
      <w:pPr>
        <w:pStyle w:val="BodyText"/>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groups the 15 variance components into five reported categories (Appendix C gives the model, the term-to-category mapping, the treatment of negative estimates and the intervals):</w:t>
      </w:r>
    </w:p>
    <w:p>
      <w:pPr>
        <w:pStyle w:val="Compact"/>
        <w:numPr>
          <w:ilvl w:val="0"/>
          <w:numId w:val="1011"/>
        </w:numPr>
      </w:pPr>
      <w:r>
        <w:t xml:space="preserve">the persona main effect (K);</w:t>
      </w:r>
    </w:p>
    <w:p>
      <w:pPr>
        <w:pStyle w:val="Compact"/>
        <w:numPr>
          <w:ilvl w:val="0"/>
          <w:numId w:val="1011"/>
        </w:numPr>
      </w:pPr>
      <w:r>
        <w:t xml:space="preserve">complaint-specific persona effects that replicate across both banks (C×K);</w:t>
      </w:r>
    </w:p>
    <w:p>
      <w:pPr>
        <w:pStyle w:val="Compact"/>
        <w:numPr>
          <w:ilvl w:val="0"/>
          <w:numId w:val="1011"/>
        </w:numPr>
      </w:pPr>
      <w:r>
        <w:t xml:space="preserve">rewrite-model differences: the bank main effect and its interactions with complaint and with persona (B, C×B, K×B);</w:t>
      </w:r>
    </w:p>
    <w:p>
      <w:pPr>
        <w:pStyle w:val="Compact"/>
        <w:numPr>
          <w:ilvl w:val="0"/>
          <w:numId w:val="1011"/>
        </w:numPr>
      </w:pPr>
      <w:r>
        <w:t xml:space="preserve">a guise-level paraphrase term (C×K×B);</w:t>
      </w:r>
    </w:p>
    <w:p>
      <w:pPr>
        <w:pStyle w:val="Compact"/>
        <w:numPr>
          <w:ilvl w:val="0"/>
          <w:numId w:val="1011"/>
        </w:numPr>
      </w:pPr>
      <w:r>
        <w:t xml:space="preserve">option order and inference noise: every term containing order, including the residual.</w:t>
      </w:r>
    </w:p>
    <w:p>
      <w:pPr>
        <w:pStyle w:val="FirstParagraph"/>
      </w:pPr>
      <w:r>
        <w:t xml:space="preserve">The reported persona share is therefore persona variation</w:t>
      </w:r>
      <w:r>
        <w:t xml:space="preserve"> </w:t>
      </w:r>
      <w:r>
        <w:rPr>
          <w:i/>
          <w:iCs/>
        </w:rPr>
        <w:t xml:space="preserve">shared across banks and orders</w:t>
      </w:r>
      <w:r>
        <w:t xml:space="preserve">. Persona effects that differ between the two rewrite models are in K×B (estimated at about 0.01–0.1%) or in C×K×B. In this design C×K×B cannot be separated from guise-specific paraphrase, because each bank supplies one paraphrase per guise. Category 2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2"/>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2"/>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2"/>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2"/>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3"/>
        </w:numPr>
      </w:pPr>
      <w:r>
        <w:rPr>
          <w:rStyle w:val="VerbatimChar"/>
        </w:rPr>
        <w:t xml:space="preserve">strengthen</w:t>
      </w:r>
      <w:r>
        <w:t xml:space="preserve">, which adds a documented bank error with a dollar loss;</w:t>
      </w:r>
    </w:p>
    <w:p>
      <w:pPr>
        <w:numPr>
          <w:ilvl w:val="0"/>
          <w:numId w:val="1013"/>
        </w:numPr>
      </w:pPr>
      <w:r>
        <w:rPr>
          <w:rStyle w:val="VerbatimChar"/>
        </w:rPr>
        <w:t xml:space="preserve">weaken</w:t>
      </w:r>
      <w:r>
        <w:t xml:space="preserve">, which recasts the problem as the writer's own mistake or as agreed terms;</w:t>
      </w:r>
    </w:p>
    <w:p>
      <w:pPr>
        <w:numPr>
          <w:ilvl w:val="0"/>
          <w:numId w:val="1013"/>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3" w:name="X3f36966effe11cf2b2b21581b68def17ef09a4e"/>
    <w:p>
      <w:pPr>
        <w:pStyle w:val="Heading3"/>
      </w:pPr>
      <w:r>
        <w:t xml:space="preserve">3.7 Inference and pre-registration</w:t>
      </w:r>
    </w:p>
    <w:p>
      <w:pPr>
        <w:numPr>
          <w:ilvl w:val="0"/>
          <w:numId w:val="1014"/>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4"/>
        </w:numPr>
      </w:pPr>
      <w:r>
        <w:rPr>
          <w:b/>
          <w:bCs/>
        </w:rPr>
        <w:t xml:space="preserve">Pre-registration.</w:t>
      </w:r>
      <w:r>
        <w:t xml:space="preserve"> </w:t>
      </w:r>
      <w:r>
        <w:t xml:space="preserve">Five pre-registrations and two amendments were committed to version control before the data they test existed. The frozen documents, analysis scripts, result files and commit timestamps are in the anonymised repository [anonymous URL to be inserted]. Appendix B gives the chronology, and Appendix D the status of every registered hypothesis. They cover the main hypotheses (H1–H6), the attribute hypotheses (H-A1–H-A5), the positive controls (PC1–PC5), the style-standardisation mitigation (MH1–MH5), and the fact-fidelity audit and same-day baseline (FA1–FA6, DB1–DB2).</w:t>
      </w:r>
    </w:p>
    <w:p>
      <w:pPr>
        <w:numPr>
          <w:ilvl w:val="0"/>
          <w:numId w:val="1014"/>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4"/>
        </w:numPr>
      </w:pPr>
      <w:r>
        <w:rPr>
          <w:b/>
          <w:bCs/>
        </w:rPr>
        <w:t xml:space="preserve">Disclosures.</w:t>
      </w:r>
      <w:r>
        <w:t xml:space="preserve"> </w:t>
      </w:r>
      <w:r>
        <w:t xml:space="preserve">Post-freeze code changes were limited to:</w:t>
      </w:r>
    </w:p>
    <w:p>
      <w:pPr>
        <w:pStyle w:val="Compact"/>
        <w:numPr>
          <w:ilvl w:val="1"/>
          <w:numId w:val="1015"/>
        </w:numPr>
      </w:pPr>
      <w:r>
        <w:t xml:space="preserve">three non-substantive fixes to the generation pipeline on 19 October, before the confirmatory run;</w:t>
      </w:r>
    </w:p>
    <w:p>
      <w:pPr>
        <w:pStyle w:val="Compact"/>
        <w:numPr>
          <w:ilvl w:val="1"/>
          <w:numId w:val="1015"/>
        </w:numPr>
      </w:pPr>
      <w:r>
        <w:t xml:space="preserve">one fix to an analysis join on 20 October, before any positive-control result was produced.</w:t>
      </w:r>
    </w:p>
    <w:p>
      <w:pPr>
        <w:numPr>
          <w:ilvl w:val="0"/>
          <w:numId w:val="1000"/>
        </w:numPr>
      </w:pPr>
      <w:r>
        <w:t xml:space="preserve">One amendment (2a) was requested after a freeze but committed before any result was inspected. Bugs found in smoke runs on complaints outside the analysis sets, before a freeze, are not deviations. Appendix B lists every change with its time.</w:t>
      </w:r>
    </w:p>
    <w:p>
      <w:pPr>
        <w:numPr>
          <w:ilvl w:val="0"/>
          <w:numId w:val="1014"/>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in the repository result files for transparency, and no conclusion depends on the choice.</w:t>
      </w:r>
    </w:p>
    <w:bookmarkEnd w:id="23"/>
    <w:bookmarkStart w:id="24"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6"/>
        </w:numPr>
      </w:pPr>
      <w:r>
        <w:rPr>
          <w:b/>
          <w:bCs/>
        </w:rPr>
        <w:t xml:space="preserve">Sample.</w:t>
      </w:r>
      <w:r>
        <w:t xml:space="preserve"> </w:t>
      </w:r>
      <w:r>
        <w:t xml:space="preserve">The sample comprises the first 500 holdout complaints × 36 guises from the GPT-4o-mini bank (18,000 guises).</w:t>
      </w:r>
    </w:p>
    <w:p>
      <w:pPr>
        <w:numPr>
          <w:ilvl w:val="0"/>
          <w:numId w:val="1016"/>
        </w:numPr>
      </w:pPr>
      <w:r>
        <w:rPr>
          <w:b/>
          <w:bCs/>
        </w:rPr>
        <w:t xml:space="preserve">Arms.</w:t>
      </w:r>
      <w:r>
        <w:t xml:space="preserve"> </w:t>
      </w:r>
      <w:r>
        <w:t xml:space="preserve">The design has three arms:</w:t>
      </w:r>
    </w:p>
    <w:p>
      <w:pPr>
        <w:numPr>
          <w:ilvl w:val="1"/>
          <w:numId w:val="1017"/>
        </w:numPr>
      </w:pPr>
      <w:r>
        <w:rPr>
          <w:b/>
          <w:bCs/>
        </w:rPr>
        <w:t xml:space="preserve">M0:</w:t>
      </w:r>
      <w:r>
        <w:t xml:space="preserve"> </w:t>
      </w:r>
      <w:r>
        <w:t xml:space="preserve">the guise as originally written (using existing decisions and scores);</w:t>
      </w:r>
    </w:p>
    <w:p>
      <w:pPr>
        <w:numPr>
          <w:ilvl w:val="1"/>
          <w:numId w:val="1017"/>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7"/>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8"/>
        </w:numPr>
      </w:pPr>
      <w:r>
        <w:t xml:space="preserve">Every standardising rewrite is instructed to preserve every fact, claim and request, including its strength and certainty, and to change only how the complaint is written.</w:t>
      </w:r>
    </w:p>
    <w:p>
      <w:pPr>
        <w:numPr>
          <w:ilvl w:val="0"/>
          <w:numId w:val="1019"/>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9"/>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9"/>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9"/>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9"/>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4"/>
    <w:bookmarkStart w:id="25"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20"/>
        </w:numPr>
      </w:pPr>
      <w:r>
        <w:t xml:space="preserve">GPT's own label (tier 2);</w:t>
      </w:r>
    </w:p>
    <w:p>
      <w:pPr>
        <w:pStyle w:val="Compact"/>
        <w:numPr>
          <w:ilvl w:val="0"/>
          <w:numId w:val="1020"/>
        </w:numPr>
      </w:pPr>
      <w:r>
        <w:t xml:space="preserve">Jev's argmax;</w:t>
      </w:r>
    </w:p>
    <w:p>
      <w:pPr>
        <w:pStyle w:val="Compact"/>
        <w:numPr>
          <w:ilvl w:val="0"/>
          <w:numId w:val="1020"/>
        </w:numPr>
      </w:pPr>
      <w:r>
        <w:t xml:space="preserve">a threshold on Jev's p2, set so that its monetary rate equals the GPT model's on the same texts (matched volume). The threshold is calibrated once on the full held-out panel of that bank. Ties at the cut-off are broken by a fixed, seeded jitter of 10⁻⁹, so the volume matches exactly. The threshold is then held fixed in bootstrap resamples and when scoring the fact edits, where edits at the tied cut-off value count as monetary. We also report operating points 1 pp either side;</w:t>
      </w:r>
    </w:p>
    <w:p>
      <w:pPr>
        <w:pStyle w:val="Compact"/>
        <w:numPr>
          <w:ilvl w:val="0"/>
          <w:numId w:val="1020"/>
        </w:numPr>
      </w:pPr>
      <w:r>
        <w:t xml:space="preserve">the same threshold rule with p2 averaged over the six option orders;</w:t>
      </w:r>
    </w:p>
    <w:p>
      <w:pPr>
        <w:pStyle w:val="Compact"/>
        <w:numPr>
          <w:ilvl w:val="0"/>
          <w:numId w:val="1020"/>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 The frozen H6 and materiality analyses used a plain quantile threshold. Because of ties, Jev's volume there was approximately rather than exactly matched: 9.0% vs 8.6% for GPT-4o-mini, and 11.45% vs 11.44% for GPT-5-mini. With exact matching, Jev's monetary-rate gaps change by at most 0.08 pp.</w:t>
      </w:r>
    </w:p>
    <w:bookmarkEnd w:id="25"/>
    <w:bookmarkStart w:id="26"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21"/>
        </w:numPr>
      </w:pPr>
      <w:r>
        <w:t xml:space="preserve">all 36 guises of 40 complaints (20 with unanimous and 20 with non-unanimous GPT-4o-mini monetary decisions; weighted to the population);</w:t>
      </w:r>
    </w:p>
    <w:p>
      <w:pPr>
        <w:pStyle w:val="Compact"/>
        <w:numPr>
          <w:ilvl w:val="0"/>
          <w:numId w:val="1021"/>
        </w:numPr>
      </w:pPr>
      <w:r>
        <w:t xml:space="preserve">150 standardised texts, stratified by whether GPT-4o-mini's tier changed under M1;</w:t>
      </w:r>
    </w:p>
    <w:p>
      <w:pPr>
        <w:pStyle w:val="Compact"/>
        <w:numPr>
          <w:ilvl w:val="0"/>
          <w:numId w:val="1021"/>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6"/>
    <w:bookmarkEnd w:id="27"/>
    <w:bookmarkStart w:id="36" w:name="X121719332867ee227f0a04b486098cee978c6e6"/>
    <w:p>
      <w:pPr>
        <w:pStyle w:val="Heading2"/>
      </w:pPr>
      <w:r>
        <w:t xml:space="preserve">4. Results</w:t>
      </w:r>
    </w:p>
    <w:bookmarkStart w:id="28" w:name="X9222d2bd3709386eb76e4f11dd29ffb157aacc3"/>
    <w:p>
      <w:pPr>
        <w:pStyle w:val="Heading3"/>
      </w:pPr>
      <w:r>
        <w:t xml:space="preserve">4.1 Single labels hide variation, and little of it is attributable to persona</w:t>
      </w:r>
    </w:p>
    <w:p>
      <w:pPr>
        <w:numPr>
          <w:ilvl w:val="0"/>
          <w:numId w:val="1022"/>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2"/>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3"/>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3"/>
        </w:numPr>
      </w:pPr>
      <w:r>
        <w:rPr>
          <w:b/>
          <w:bCs/>
        </w:rPr>
        <w:t xml:space="preserve">Variance components [PH] (Table 9; Appendix C).</w:t>
      </w:r>
      <w:r>
        <w:t xml:space="preserve"> </w:t>
      </w:r>
      <w:r>
        <w:t xml:space="preserve">For Jev's monetary probability, persona components shared across both rewrite banks account for an estimated 1.6% of within-complaint variance. This is made up of the persona main effect, 0.04% [0.00, 0.11], and complaint-specific persona effects that replicate across banks, 1.5% [0.7, 2.4]. For E[tier] the figure is 1.7% (0.2% and 1.5%). The interval for the replicated component reaches 2.4%, so "below 2%" is an estimate, not an established bound.</w:t>
      </w:r>
    </w:p>
    <w:p>
      <w:pPr>
        <w:numPr>
          <w:ilvl w:val="0"/>
          <w:numId w:val="1000"/>
        </w:numPr>
      </w:pPr>
      <w:r>
        <w:t xml:space="preserve">The remainder is associated with:</w:t>
      </w:r>
    </w:p>
    <w:p>
      <w:pPr>
        <w:pStyle w:val="Compact"/>
        <w:numPr>
          <w:ilvl w:val="1"/>
          <w:numId w:val="1024"/>
        </w:numPr>
      </w:pPr>
      <w:r>
        <w:t xml:space="preserve">rewrite-model differences, 47% [42, 52], almost all of it a bank shifting every guise of a complaint together (persona × bank is about 0.01%);</w:t>
      </w:r>
    </w:p>
    <w:p>
      <w:pPr>
        <w:pStyle w:val="Compact"/>
        <w:numPr>
          <w:ilvl w:val="1"/>
          <w:numId w:val="1024"/>
        </w:numPr>
      </w:pPr>
      <w:r>
        <w:t xml:space="preserve">the guise-level paraphrase term, 39% [35, 43];</w:t>
      </w:r>
    </w:p>
    <w:p>
      <w:pPr>
        <w:pStyle w:val="Compact"/>
        <w:numPr>
          <w:ilvl w:val="1"/>
          <w:numId w:val="1024"/>
        </w:numPr>
      </w:pPr>
      <w:r>
        <w:t xml:space="preserve">option order and inference noise, 12% [11, 14].</w:t>
      </w:r>
    </w:p>
    <w:p>
      <w:pPr>
        <w:numPr>
          <w:ilvl w:val="0"/>
          <w:numId w:val="1000"/>
        </w:numPr>
      </w:pPr>
      <w:r>
        <w:t xml:space="preserve">The paraphrase term may include persona effects specific to one rewrite model. So the persona share reported here is the part of persona variation that generalises across both generators, not all variation involving persona.</w:t>
      </w:r>
    </w:p>
    <w:bookmarkEnd w:id="28"/>
    <w:bookmarkStart w:id="29" w:name="X59a917edd1281747e0baf53cd11ed3b30c9223b"/>
    <w:p>
      <w:pPr>
        <w:pStyle w:val="Heading3"/>
      </w:pPr>
      <w:r>
        <w:t xml:space="preserve">4.2 Two scales: small average group gaps, larger individual instability</w:t>
      </w:r>
    </w:p>
    <w:p>
      <w:pPr>
        <w:numPr>
          <w:ilvl w:val="0"/>
          <w:numId w:val="1025"/>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6"/>
        </w:numPr>
      </w:pPr>
      <w:r>
        <w:t xml:space="preserve">old − young: +0.014 tier [0.010, 0.019];</w:t>
      </w:r>
    </w:p>
    <w:p>
      <w:pPr>
        <w:numPr>
          <w:ilvl w:val="1"/>
          <w:numId w:val="1026"/>
        </w:numPr>
      </w:pPr>
      <w:r>
        <w:t xml:space="preserve">college − high school: +0.006 [0.003, 0.009];</w:t>
      </w:r>
    </w:p>
    <w:p>
      <w:pPr>
        <w:numPr>
          <w:ilvl w:val="1"/>
          <w:numId w:val="1026"/>
        </w:numPr>
      </w:pPr>
      <w:r>
        <w:t xml:space="preserve">high − low SES: +0.008 [0.004, 0.011].</w:t>
      </w:r>
    </w:p>
    <w:p>
      <w:pPr>
        <w:pStyle w:val="Compact"/>
        <w:numPr>
          <w:ilvl w:val="0"/>
          <w:numId w:val="1027"/>
        </w:numPr>
      </w:pPr>
      <w:r>
        <w:t xml:space="preserve">On the argmax tier, 3 of 6 contrasts hold. Geography has no detectable effect.</w:t>
      </w:r>
    </w:p>
    <w:p>
      <w:pPr>
        <w:numPr>
          <w:ilvl w:val="0"/>
          <w:numId w:val="1028"/>
        </w:numPr>
      </w:pPr>
      <w:r>
        <w:rPr>
          <w:b/>
          <w:bCs/>
        </w:rPr>
        <w:t xml:space="preserve">Materiality [PH].</w:t>
      </w:r>
    </w:p>
    <w:p>
      <w:pPr>
        <w:numPr>
          <w:ilvl w:val="1"/>
          <w:numId w:val="1029"/>
        </w:numPr>
      </w:pPr>
      <w:r>
        <w:t xml:space="preserve">On the held-out panel (n = 1,000), every monetary-rate gap for every system is within ±0.5 pp, and every 95% upper bound is below 1 pp. The largest is GPT-4o-mini's education gap, +0.47 pp [0.08, 0.83] (AIR 0.947).</w:t>
      </w:r>
    </w:p>
    <w:p>
      <w:pPr>
        <w:numPr>
          <w:ilvl w:val="1"/>
          <w:numId w:val="1029"/>
        </w:numPr>
      </w:pPr>
      <w:r>
        <w:t xml:space="preserve">The lower bound of every AIR's 90% confidence interval exceeds 0.80, and every |h| is below 0.2.</w:t>
      </w:r>
    </w:p>
    <w:p>
      <w:pPr>
        <w:numPr>
          <w:ilvl w:val="1"/>
          <w:numId w:val="1029"/>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9"/>
        </w:numPr>
      </w:pPr>
      <w:r>
        <w:t xml:space="preserve">These gaps are small in absolute terms. Whether a gap of this size matters depends on the decision and its consequences, which the benchmarks do not settle.</w:t>
      </w:r>
    </w:p>
    <w:p>
      <w:pPr>
        <w:numPr>
          <w:ilvl w:val="0"/>
          <w:numId w:val="1028"/>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30"/>
        </w:numPr>
      </w:pPr>
      <w:r>
        <w:t xml:space="preserve">GPT-4o-mini: 3.8%;</w:t>
      </w:r>
    </w:p>
    <w:p>
      <w:pPr>
        <w:numPr>
          <w:ilvl w:val="1"/>
          <w:numId w:val="1030"/>
        </w:numPr>
      </w:pPr>
      <w:r>
        <w:t xml:space="preserve">GPT-5-mini: 6.3%;</w:t>
      </w:r>
    </w:p>
    <w:p>
      <w:pPr>
        <w:numPr>
          <w:ilvl w:val="1"/>
          <w:numId w:val="1030"/>
        </w:numPr>
      </w:pPr>
      <w:r>
        <w:t xml:space="preserve">Jev (p2 threshold matched exactly to each GPT model's monetary volume; Table 10): 2.6–3.3%.</w:t>
      </w:r>
    </w:p>
    <w:p>
      <w:pPr>
        <w:numPr>
          <w:ilvl w:val="0"/>
          <w:numId w:val="1031"/>
        </w:numPr>
      </w:pPr>
      <w:r>
        <w:t xml:space="preserve">Monetary outcomes are not unanimous across the 36 styles for 14.6%, 22.9% and 10.0–12.6% of complaints, respectively.</w:t>
      </w:r>
    </w:p>
    <w:p>
      <w:pPr>
        <w:numPr>
          <w:ilvl w:val="0"/>
          <w:numId w:val="1031"/>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29"/>
    <w:bookmarkStart w:id="30" w:name="Xccdafce4be8f54e446d1805152701cc62314511"/>
    <w:p>
      <w:pPr>
        <w:pStyle w:val="Heading3"/>
      </w:pPr>
      <w:r>
        <w:t xml:space="preserve">4.3 What probabilistic outputs do and do not change</w:t>
      </w:r>
    </w:p>
    <w:p>
      <w:pPr>
        <w:numPr>
          <w:ilvl w:val="0"/>
          <w:numId w:val="1032"/>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32"/>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3"/>
        </w:numPr>
      </w:pPr>
      <w:r>
        <w:t xml:space="preserve">3.8% for GPT-4o-mini's own label, at a monetary rate of 8.6%;</w:t>
      </w:r>
    </w:p>
    <w:p>
      <w:pPr>
        <w:pStyle w:val="Compact"/>
        <w:numPr>
          <w:ilvl w:val="1"/>
          <w:numId w:val="1033"/>
        </w:numPr>
      </w:pPr>
      <w:r>
        <w:t xml:space="preserve">3.3% for a threshold on Jev's p2 (order o012), at exactly the same rate (difference from GPT 0.45 pp [−0.33, 1.25]);</w:t>
      </w:r>
    </w:p>
    <w:p>
      <w:pPr>
        <w:pStyle w:val="Compact"/>
        <w:numPr>
          <w:ilvl w:val="1"/>
          <w:numId w:val="1033"/>
        </w:numPr>
      </w:pPr>
      <w:r>
        <w:t xml:space="preserve">3.2% when p2 is averaged over the six option orders (difference from the single-order threshold 0.09 pp [−0.08, 0.26]).</w:t>
      </w:r>
    </w:p>
    <w:p>
      <w:pPr>
        <w:numPr>
          <w:ilvl w:val="0"/>
          <w:numId w:val="1000"/>
        </w:numPr>
      </w:pPr>
      <w:r>
        <w:t xml:space="preserve">Moving the operating point 1 pp either side of matched volume (7.6% or 9.6%) gives 3.0% and 3.5%, and does not change these conclusions.</w:t>
      </w:r>
    </w:p>
    <w:p>
      <w:pPr>
        <w:numPr>
          <w:ilvl w:val="0"/>
          <w:numId w:val="1000"/>
        </w:numPr>
      </w:pPr>
      <w:r>
        <w:t xml:space="preserve">In the GPT-5-mini bank, Jev's threshold rule disagrees less often than GPT-5-mini's label (2.6% vs 6.3%; difference 3.7 pp [2.9, 4.5]).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32"/>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32"/>
        </w:numPr>
      </w:pPr>
      <w:r>
        <w:rPr>
          <w:b/>
          <w:bCs/>
        </w:rPr>
        <w:t xml:space="preserve">H4 [C], supported as registered: no superiority of probability averaging was detected on D.</w:t>
      </w:r>
      <w:r>
        <w:t xml:space="preserve"> </w:t>
      </w:r>
      <w:r>
        <w:t xml:space="preserve">The registered prediction was that averaging is</w:t>
      </w:r>
      <w:r>
        <w:t xml:space="preserve"> </w:t>
      </w:r>
      <w:r>
        <w:rPr>
          <w:i/>
          <w:iCs/>
        </w:rPr>
        <w:t xml:space="preserve">not</w:t>
      </w:r>
      <w:r>
        <w:t xml:space="preserve"> </w:t>
      </w:r>
      <w:r>
        <w:t xml:space="preserve">superior to equal-budget hard voting. It would have been refuted if the one-sided 95% upper bound of D(average)/D(vote) fell below 1, and it did not. This is a failure to detect superiority, not a demonstration of equivalence. It concerns systematic disparity, not individual stability:</w:t>
      </w:r>
    </w:p>
    <w:p>
      <w:pPr>
        <w:numPr>
          <w:ilvl w:val="1"/>
          <w:numId w:val="1034"/>
        </w:numPr>
      </w:pPr>
      <w:r>
        <w:t xml:space="preserve">two paraphrases: D difference −0.005, 90% CI [−0.014, 0.005];</w:t>
      </w:r>
    </w:p>
    <w:p>
      <w:pPr>
        <w:numPr>
          <w:ilvl w:val="1"/>
          <w:numId w:val="1034"/>
        </w:numPr>
      </w:pPr>
      <w:r>
        <w:t xml:space="preserve">six option orders, GPT-4o-mini bank: +0.005 [0.000, 0.013]; that is, averaging performs slightly worse.</w:t>
      </w:r>
    </w:p>
    <w:p>
      <w:pPr>
        <w:numPr>
          <w:ilvl w:val="0"/>
          <w:numId w:val="1032"/>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32"/>
        </w:numPr>
      </w:pPr>
      <w:r>
        <w:rPr>
          <w:b/>
          <w:bCs/>
        </w:rPr>
        <w:t xml:space="preserve">Option order [S/E].</w:t>
      </w:r>
    </w:p>
    <w:p>
      <w:pPr>
        <w:numPr>
          <w:ilvl w:val="1"/>
          <w:numId w:val="1035"/>
        </w:numPr>
      </w:pPr>
      <w:r>
        <w:t xml:space="preserve">There is no general first-position bias, although there is a small last-position penalty (−0.013).</w:t>
      </w:r>
    </w:p>
    <w:p>
      <w:pPr>
        <w:numPr>
          <w:ilvl w:val="1"/>
          <w:numId w:val="1035"/>
        </w:numPr>
      </w:pPr>
      <w:r>
        <w:t xml:space="preserve">The fully reversed order is an outlier, with E[tier] of 0.586 compared with 0.510–0.554 for the other orders (exploratory).</w:t>
      </w:r>
    </w:p>
    <w:p>
      <w:pPr>
        <w:numPr>
          <w:ilvl w:val="1"/>
          <w:numId w:val="1035"/>
        </w:numPr>
      </w:pPr>
      <w:r>
        <w:t xml:space="preserve">The chosen tier is identical across all six orders for 85% of texts.</w:t>
      </w:r>
    </w:p>
    <w:p>
      <w:pPr>
        <w:numPr>
          <w:ilvl w:val="1"/>
          <w:numId w:val="1035"/>
        </w:numPr>
      </w:pPr>
      <w:r>
        <w:t xml:space="preserve">Order does not interact with education or SES effects.</w:t>
      </w:r>
    </w:p>
    <w:bookmarkEnd w:id="30"/>
    <w:bookmarkStart w:id="31" w:name="X0506506770722239d1e8bffd3401d3478bd660c"/>
    <w:p>
      <w:pPr>
        <w:pStyle w:val="Heading3"/>
      </w:pPr>
      <w:r>
        <w:t xml:space="preserve">4.4 Generative LLM vs System One</w:t>
      </w:r>
    </w:p>
    <w:p>
      <w:pPr>
        <w:numPr>
          <w:ilvl w:val="0"/>
          <w:numId w:val="1036"/>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6"/>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6"/>
        </w:numPr>
      </w:pPr>
      <w:r>
        <w:rPr>
          <w:b/>
          <w:bCs/>
        </w:rPr>
        <w:t xml:space="preserve">Conclusion.</w:t>
      </w:r>
      <w:r>
        <w:t xml:space="preserve"> </w:t>
      </w:r>
      <w:r>
        <w:t xml:space="preserve">The three systems' group disparities differ by less than 1 pp, by the post hoc equivalence bound. We did not run a pre-registered extension that could have confirmed the GPT-4o-mini contrast, because any difference it could detect would lie below that bound. This judgement was made after the results were seen, and Appendix B records it.</w:t>
      </w:r>
    </w:p>
    <w:bookmarkEnd w:id="31"/>
    <w:bookmarkStart w:id="32" w:name="Xe07863926e5218924403bc25feb3802df2bb727"/>
    <w:p>
      <w:pPr>
        <w:pStyle w:val="Heading3"/>
      </w:pPr>
      <w:r>
        <w:t xml:space="preserve">4.5 Why style moves decisions: delivery, structure and content</w:t>
      </w:r>
    </w:p>
    <w:p>
      <w:pPr>
        <w:numPr>
          <w:ilvl w:val="0"/>
          <w:numId w:val="1037"/>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7"/>
        </w:numPr>
      </w:pPr>
      <w:r>
        <w:rPr>
          <w:b/>
          <w:bCs/>
        </w:rPr>
        <w:t xml:space="preserve">The persona rewrites do, however, change the following (Fig. 5):</w:t>
      </w:r>
    </w:p>
    <w:p>
      <w:pPr>
        <w:numPr>
          <w:ilvl w:val="1"/>
          <w:numId w:val="1038"/>
        </w:numPr>
      </w:pPr>
      <w:r>
        <w:t xml:space="preserve">delivery, strongly: vocabulary η² = 0.73, formality 0.71, grammar 0.58, politeness 0.37;</w:t>
      </w:r>
    </w:p>
    <w:p>
      <w:pPr>
        <w:numPr>
          <w:ilvl w:val="1"/>
          <w:numId w:val="1038"/>
        </w:numPr>
      </w:pPr>
      <w:r>
        <w:t xml:space="preserve">structure, moderately: chronology 0.26, argument quality 0.22.</w:t>
      </w:r>
    </w:p>
    <w:p>
      <w:pPr>
        <w:numPr>
          <w:ilvl w:val="0"/>
          <w:numId w:val="1037"/>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9"/>
        </w:numPr>
      </w:pPr>
      <w:r>
        <w:rPr>
          <w:b/>
          <w:bCs/>
        </w:rPr>
        <w:t xml:space="preserve">H-A3 [C], supported: the gap is larger where the style cue is recognisable (Fig. 4).</w:t>
      </w:r>
    </w:p>
    <w:p>
      <w:pPr>
        <w:numPr>
          <w:ilvl w:val="1"/>
          <w:numId w:val="1040"/>
        </w:numPr>
      </w:pPr>
      <w:r>
        <w:t xml:space="preserve">GPT-4o-mini's education gap where Jev recognises the cue is +0.053 [0.039, 0.068];</w:t>
      </w:r>
    </w:p>
    <w:p>
      <w:pPr>
        <w:numPr>
          <w:ilvl w:val="1"/>
          <w:numId w:val="1040"/>
        </w:numPr>
      </w:pPr>
      <w:r>
        <w:t xml:space="preserve">where the cue is ambiguous, it is +0.009 [−0.004, 0.022];</w:t>
      </w:r>
    </w:p>
    <w:p>
      <w:pPr>
        <w:numPr>
          <w:ilvl w:val="1"/>
          <w:numId w:val="1040"/>
        </w:numPr>
      </w:pPr>
      <w:r>
        <w:t xml:space="preserve">the difference is +0.045 [0.025, 0.063]. The interval for ambiguous cues still allows a small positive gap.</w:t>
      </w:r>
    </w:p>
    <w:p>
      <w:pPr>
        <w:numPr>
          <w:ilvl w:val="0"/>
          <w:numId w:val="1039"/>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9"/>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2"/>
    <w:bookmarkStart w:id="33" w:name="X1c8f2863526d4a3eb3d03c8d51bd3dbe8b8610c"/>
    <w:p>
      <w:pPr>
        <w:pStyle w:val="Heading3"/>
      </w:pPr>
      <w:r>
        <w:t xml:space="preserve">4.6 Positive controls: the systems respond to facts that matter</w:t>
      </w:r>
    </w:p>
    <w:p>
      <w:pPr>
        <w:pStyle w:val="Compact"/>
        <w:numPr>
          <w:ilvl w:val="0"/>
          <w:numId w:val="1041"/>
        </w:numPr>
      </w:pPr>
      <w:r>
        <w:rPr>
          <w:b/>
          <w:bCs/>
        </w:rPr>
        <w:t xml:space="preserve">PC1 and PC2 [C], supported (Fig.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42"/>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42"/>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42"/>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42"/>
        </w:numPr>
      </w:pPr>
      <w:r>
        <w:rPr>
          <w:b/>
          <w:bCs/>
        </w:rPr>
        <w:t xml:space="preserve">PC5 (descriptive).</w:t>
      </w:r>
      <w:r>
        <w:t xml:space="preserve"> </w:t>
      </w:r>
      <w:r>
        <w:t xml:space="preserve">Content attributes moved as intended:</w:t>
      </w:r>
    </w:p>
    <w:p>
      <w:pPr>
        <w:numPr>
          <w:ilvl w:val="1"/>
          <w:numId w:val="1043"/>
        </w:numPr>
      </w:pPr>
      <w:r>
        <w:rPr>
          <w:rStyle w:val="VerbatimChar"/>
        </w:rPr>
        <w:t xml:space="preserve">strengthen</w:t>
      </w:r>
      <w:r>
        <w:t xml:space="preserve">: evidence +5.6 SD and bank error +3.9 SD (in units of within-complaint guise SD);</w:t>
      </w:r>
    </w:p>
    <w:p>
      <w:pPr>
        <w:numPr>
          <w:ilvl w:val="1"/>
          <w:numId w:val="1043"/>
        </w:numPr>
      </w:pPr>
      <w:r>
        <w:rPr>
          <w:rStyle w:val="VerbatimChar"/>
        </w:rPr>
        <w:t xml:space="preserve">weaken</w:t>
      </w:r>
      <w:r>
        <w:t xml:space="preserve">: bank error −2.1 SD.</w:t>
      </w:r>
    </w:p>
    <w:p>
      <w:pPr>
        <w:pStyle w:val="Compact"/>
        <w:numPr>
          <w:ilvl w:val="0"/>
          <w:numId w:val="1044"/>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3"/>
    <w:bookmarkStart w:id="34"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7 and Table 8. Gaps are within-complaint contrasts in tiers (GPT-4o-mini) or E[tier] (Jev), with 95% bootstrap CIs.</w:t>
      </w:r>
    </w:p>
    <w:p>
      <w:pPr>
        <w:pStyle w:val="Compact"/>
        <w:numPr>
          <w:ilvl w:val="0"/>
          <w:numId w:val="1045"/>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6"/>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6"/>
        </w:numPr>
      </w:pPr>
      <w:r>
        <w:rPr>
          <w:b/>
          <w:bCs/>
        </w:rPr>
        <w:t xml:space="preserve">MH2 [C], not supported: no reduction in arbitrariness was established for one standard style.</w:t>
      </w:r>
    </w:p>
    <w:p>
      <w:pPr>
        <w:numPr>
          <w:ilvl w:val="1"/>
          <w:numId w:val="1047"/>
        </w:numPr>
      </w:pPr>
      <w:r>
        <w:t xml:space="preserve">GPT-4o-mini MPAD is 0.147 (M0) versus 0.138 (M1), a difference of 0.009 [−0.001, 0.020]. The interval allows a modest reduction;</w:t>
      </w:r>
    </w:p>
    <w:p>
      <w:pPr>
        <w:numPr>
          <w:ilvl w:val="1"/>
          <w:numId w:val="1047"/>
        </w:numPr>
      </w:pPr>
      <w:r>
        <w:t xml:space="preserve">Jev MPAD is 0.084 versus 0.085, a difference of −0.001 [−0.003, 0.001].</w:t>
      </w:r>
    </w:p>
    <w:p>
      <w:pPr>
        <w:pStyle w:val="Compact"/>
        <w:numPr>
          <w:ilvl w:val="0"/>
          <w:numId w:val="1048"/>
        </w:numPr>
      </w:pPr>
      <w:r>
        <w:t xml:space="preserve">A standardising rewrite is itself a new paraphrase. For GPT-4o-mini it reduced the directional effect of persona, but not the decision's sensitivity to wording.</w:t>
      </w:r>
    </w:p>
    <w:p>
      <w:pPr>
        <w:numPr>
          <w:ilvl w:val="0"/>
          <w:numId w:val="1049"/>
        </w:numPr>
      </w:pPr>
      <w:r>
        <w:rPr>
          <w:b/>
          <w:bCs/>
        </w:rPr>
        <w:t xml:space="preserve">MH5 [C], supported: averaging over three styles reduces arbitrariness.</w:t>
      </w:r>
    </w:p>
    <w:p>
      <w:pPr>
        <w:numPr>
          <w:ilvl w:val="1"/>
          <w:numId w:val="1050"/>
        </w:numPr>
      </w:pPr>
      <w:r>
        <w:t xml:space="preserve">M1 − M2: GPT-4o-mini 0.017 [0.010, 0.025]; Jev 0.017 [0.016, 0.019].</w:t>
      </w:r>
    </w:p>
    <w:p>
      <w:pPr>
        <w:numPr>
          <w:ilvl w:val="1"/>
          <w:numId w:val="1050"/>
        </w:numPr>
      </w:pPr>
      <w:r>
        <w:t xml:space="preserve">Relative to the original guises (M0 − M2), arbitrariness falls by 18% for GPT-4o-mini (0.147 → 0.120) and 19% for Jev (0.084 → 0.068).</w:t>
      </w:r>
    </w:p>
    <w:p>
      <w:pPr>
        <w:numPr>
          <w:ilvl w:val="1"/>
          <w:numId w:val="1050"/>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50"/>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9"/>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51"/>
        </w:numPr>
      </w:pPr>
      <w:r>
        <w:rPr>
          <w:b/>
          <w:bCs/>
        </w:rPr>
        <w:t xml:space="preserve">MH4 (descriptive): fidelity.</w:t>
      </w:r>
    </w:p>
    <w:p>
      <w:pPr>
        <w:numPr>
          <w:ilvl w:val="1"/>
          <w:numId w:val="1052"/>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52"/>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52"/>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52"/>
        </w:numPr>
      </w:pPr>
      <w:r>
        <w:rPr>
          <w:b/>
          <w:bCs/>
        </w:rPr>
        <w:t xml:space="preserve">Structure.</w:t>
      </w:r>
      <w:r>
        <w:t xml:space="preserve"> </w:t>
      </w:r>
      <w:r>
        <w:t xml:space="preserve">Persona η² collapses for chronology (0.21 → 0.004) and argument quality (0.23 → 0.01), but not for concision (0.12 → 0.13).</w:t>
      </w:r>
    </w:p>
    <w:p>
      <w:pPr>
        <w:numPr>
          <w:ilvl w:val="1"/>
          <w:numId w:val="1052"/>
        </w:numPr>
      </w:pPr>
      <w:r>
        <w:rPr>
          <w:b/>
          <w:bCs/>
        </w:rPr>
        <w:t xml:space="preserve">Mean shifts.</w:t>
      </w:r>
      <w:r>
        <w:t xml:space="preserve"> </w:t>
      </w:r>
      <w:r>
        <w:t xml:space="preserve">Standardised texts are rated as more formal (+0.38 on the [0, 1] scale) and less emotional (−0.14) than the guises.</w:t>
      </w:r>
    </w:p>
    <w:bookmarkEnd w:id="34"/>
    <w:bookmarkStart w:id="35"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the auditors flagged a fact change in persona guises.</w:t>
      </w:r>
      <w:r>
        <w:t xml:space="preserve"> </w:t>
      </w:r>
      <w:r>
        <w:t xml:space="preserve">Weighted to the population of complaints:</w:t>
      </w:r>
    </w:p>
    <w:p>
      <w:pPr>
        <w:pStyle w:val="Compact"/>
        <w:numPr>
          <w:ilvl w:val="0"/>
          <w:numId w:val="1053"/>
        </w:numPr>
      </w:pPr>
      <w:r>
        <w:t xml:space="preserve">Claude Opus 5.5 flagged a material change in 3.3% of guises [1.1, 6.6];</w:t>
      </w:r>
    </w:p>
    <w:p>
      <w:pPr>
        <w:pStyle w:val="Compact"/>
        <w:numPr>
          <w:ilvl w:val="0"/>
          <w:numId w:val="1053"/>
        </w:numPr>
      </w:pPr>
      <w:r>
        <w:t xml:space="preserve">GPT-5.2 flagged 11.7% [6.2, 17.8];</w:t>
      </w:r>
    </w:p>
    <w:p>
      <w:pPr>
        <w:pStyle w:val="Compact"/>
        <w:numPr>
          <w:ilvl w:val="0"/>
          <w:numId w:val="1053"/>
        </w:numPr>
      </w:pPr>
      <w:r>
        <w:t xml:space="preserve">at least one auditor flagged 13.2% [7.4, 20.0];</w:t>
      </w:r>
    </w:p>
    <w:p>
      <w:pPr>
        <w:pStyle w:val="Compact"/>
        <w:numPr>
          <w:ilvl w:val="0"/>
          <w:numId w:val="1053"/>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Auditor agreement is low on the persona guises: unweighted binary "material" flags agree on 84.5% of guise pairs, Cohen's κ = 0.16. The κ of 0.46 over all 1,690 pairs is inflated by the fact edits, where agreement is high (κ = 0.66). On the three-category verdict, κ = 0.35 over all pairs. The intersection (1.8%) and union (13.2%) of the two auditors' flags are not bounds on the true rate: shared misses or shared false alarms could put it outside that range. The rewrites keep the measured content attributes (H-A1), but some change individual facts.</w:t>
      </w:r>
    </w:p>
    <w:p>
      <w:pPr>
        <w:pStyle w:val="BodyText"/>
      </w:pPr>
      <w:r>
        <w:t xml:space="preserve">Flag rates differed little by persona (descriptive, unweighted): either auditor flagged 19.3% of old and 16.2% of young guises, 18.2% of college and 17.4% of high-school guises, and 19.0%, 18.3% and 16.0% of low-, middle- and high-SES guises.</w:t>
      </w:r>
    </w:p>
    <w:p>
      <w:pPr>
        <w:pStyle w:val="BodyText"/>
      </w:pPr>
      <w:r>
        <w:rPr>
          <w:b/>
          <w:bCs/>
        </w:rPr>
        <w:t xml:space="preserve">FA3 [C], supported: instability persisted after excluding rewrites flagged for material factual changes.</w:t>
      </w:r>
      <w:r>
        <w:t xml:space="preserve"> </w:t>
      </w:r>
      <w:r>
        <w:t xml:space="preserve">Among guises that passed the screen, meaning neither auditor flagged them and their dollar amounts match (on average 30 of 36 per complaint), the probability that two guises receive different monetary decisions is:</w:t>
      </w:r>
    </w:p>
    <w:p>
      <w:pPr>
        <w:pStyle w:val="Compact"/>
        <w:numPr>
          <w:ilvl w:val="0"/>
          <w:numId w:val="1054"/>
        </w:numPr>
      </w:pPr>
      <w:r>
        <w:t xml:space="preserve">94% of its rate among all guises of the same complaints for GPT-4o-mini (4.7% vs 5.0%; ratio 95% CI [0.82, 1.03]);</w:t>
      </w:r>
    </w:p>
    <w:p>
      <w:pPr>
        <w:pStyle w:val="Compact"/>
        <w:numPr>
          <w:ilvl w:val="0"/>
          <w:numId w:val="1054"/>
        </w:numPr>
      </w:pPr>
      <w:r>
        <w:t xml:space="preserve">92% of its rate for Jev (3.0% vs 3.3%; [0.55, 1.03]).</w:t>
      </w:r>
    </w:p>
    <w:p>
      <w:pPr>
        <w:pStyle w:val="FirstParagraph"/>
      </w:pPr>
      <w:r>
        <w:t xml:space="preserve">For tier MPAD and E[tier] MPAD the ratios are 1.00 and 0.99. Excluding flagged guises leaves the point estimates of instability almost unchanged. Jev's interval still allows a substantial reduction, and the screen can only remove changes the auditors detected. This supports the individual-instability result.</w:t>
      </w:r>
    </w:p>
    <w:p>
      <w:pPr>
        <w:pStyle w:val="BodyText"/>
      </w:pPr>
      <w:r>
        <w:rPr>
          <w:b/>
          <w:bCs/>
        </w:rPr>
        <w:t xml:space="preserve">Group gaps among screened guises [PH, descriptive].</w:t>
      </w:r>
      <w:r>
        <w:t xml:space="preserve"> </w:t>
      </w:r>
      <w:r>
        <w:t xml:space="preserve">On the same 40 complaints (weighted), we compared the persona gaps computed from all guises with those computed only from guises that passed the screen. Excluding flagged guises left every gap essentially unchanged:</w:t>
      </w:r>
    </w:p>
    <w:p>
      <w:pPr>
        <w:pStyle w:val="Compact"/>
        <w:numPr>
          <w:ilvl w:val="0"/>
          <w:numId w:val="1055"/>
        </w:numPr>
      </w:pPr>
      <w:r>
        <w:t xml:space="preserve">GPT-4o-mini tier: the all-minus-screened difference is +0.004 for age [−0.015, 0.022], +0.006 for education [−0.012, 0.030] and −0.002 for SES [−0.018, 0.014];</w:t>
      </w:r>
    </w:p>
    <w:p>
      <w:pPr>
        <w:pStyle w:val="Compact"/>
        <w:numPr>
          <w:ilvl w:val="0"/>
          <w:numId w:val="1055"/>
        </w:numPr>
      </w:pPr>
      <w:r>
        <w:t xml:space="preserve">Jev E[tier]: +0.001 [−0.003, 0.004], 0.000 [−0.005, 0.005] and −0.007 [−0.017, 0.001];</w:t>
      </w:r>
    </w:p>
    <w:p>
      <w:pPr>
        <w:pStyle w:val="Compact"/>
        <w:numPr>
          <w:ilvl w:val="0"/>
          <w:numId w:val="1055"/>
        </w:numPr>
      </w:pPr>
      <w:r>
        <w:t xml:space="preserve">GPT-4o-mini monetary rate: −0.27 to −0.28 pp. Here the screened gaps are slightly</w:t>
      </w:r>
      <w:r>
        <w:t xml:space="preserve"> </w:t>
      </w:r>
      <w:r>
        <w:rPr>
          <w:i/>
          <w:iCs/>
        </w:rPr>
        <w:t xml:space="preserve">larger</w:t>
      </w:r>
      <w:r>
        <w:t xml:space="preserve">, and every interval includes zero.</w:t>
      </w:r>
    </w:p>
    <w:p>
      <w:pPr>
        <w:pStyle w:val="FirstParagraph"/>
      </w:pPr>
      <w:r>
        <w:t xml:space="preserve">For example, GPT-4o-mini's SES tier gap is +0.045 [0.005, 0.084] with all guises and +0.047 [0.007, 0.089] with screened guises only. The gaps themselves are imprecise in a 40-complaint sample, and the non-unanimous stratum is oversampled before weighting, so their levels are not comparable with the full-panel estimates. What the comparison shows is that the flagged fact changes do not account for the persona gaps.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6"/>
        </w:numPr>
      </w:pPr>
      <w:r>
        <w:t xml:space="preserve">education 0.004 [−0.023, 0.032];</w:t>
      </w:r>
    </w:p>
    <w:p>
      <w:pPr>
        <w:pStyle w:val="Compact"/>
        <w:numPr>
          <w:ilvl w:val="0"/>
          <w:numId w:val="1056"/>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5"/>
    <w:bookmarkEnd w:id="36"/>
    <w:bookmarkStart w:id="42" w:name="X735612638e4e736e4693e459c258977262c0dfc"/>
    <w:p>
      <w:pPr>
        <w:pStyle w:val="Heading2"/>
      </w:pPr>
      <w:r>
        <w:t xml:space="preserve">5. Discussion</w:t>
      </w:r>
    </w:p>
    <w:bookmarkStart w:id="37" w:name="Xab354815c8d1dd75bc21ab4d190058c7099ed41"/>
    <w:p>
      <w:pPr>
        <w:pStyle w:val="Heading3"/>
      </w:pPr>
      <w:r>
        <w:t xml:space="preserve">5.1 Separate outcomes require separate evaluation</w:t>
      </w:r>
    </w:p>
    <w:p>
      <w:pPr>
        <w:pStyle w:val="FirstParagraph"/>
      </w:pPr>
      <w:r>
        <w:t xml:space="preserve">The central result is that average group disparity and individual instability are distinct outcomes that respond differently to the interventions we tested. Standardisation reduced some average gaps and reversed others. Smoother scores did not translate into materially more stable monetary decisions. No tested intervention produced a clear, substantial improvement in the stability of the remedy a complainant receives.</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Standardisation also does not neutralise group differences uniformly: some vocabulary cues survive it, and for Jev it reversed two gaps.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7"/>
    <w:bookmarkStart w:id="38"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the lower bound of every AIR's 90% confidence interval exceeds 0.80 (one-sided equivalence test at α = 0.05).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8"/>
    <w:bookmarkStart w:id="39"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7"/>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7"/>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7"/>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7"/>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7"/>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39"/>
    <w:bookmarkStart w:id="40" w:name="X6cfcedbfecd93efb79ad6b593c6bd96e241ec76"/>
    <w:p>
      <w:pPr>
        <w:pStyle w:val="Heading3"/>
      </w:pPr>
      <w:r>
        <w:t xml:space="preserve">5.4 Style standardisation in practice</w:t>
      </w:r>
    </w:p>
    <w:p>
      <w:pPr>
        <w:pStyle w:val="FirstParagraph"/>
      </w:pPr>
      <w:r>
        <w:t xml:space="preserve">Standardisation is cheap. A standardising rewrite with GPT-4o-mini averaged about 390 input and 220 output tokens, one extra call of roughly the size of the remedy decision itself. It kept the measured content attributes almost exactly and retained sensitivity to the positive-control facts to within a few per cent. It also sometimes changed individual facts: at least one auditor flagged a material change in 6.5% of standardised texts [2.4, 11.1].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8"/>
        </w:numPr>
      </w:pPr>
      <w:r>
        <w:rPr>
          <w:b/>
          <w:bCs/>
        </w:rPr>
        <w:t xml:space="preserve">The standardiser is itself a model that needs auditing.</w:t>
      </w:r>
      <w:r>
        <w:t xml:space="preserve"> </w:t>
      </w:r>
      <w:r>
        <w:t xml:space="preserve">It transmitted part of the vocabulary cue (η² 0.32), and it sometimes altered a fact (§4.8). For Jev, a single canonical style overshot and reversed the age and education gaps. A mitigation can create a new directional bias, so it must be audited with the same matched-guise design as the decision system.</w:t>
      </w:r>
    </w:p>
    <w:p>
      <w:pPr>
        <w:numPr>
          <w:ilvl w:val="0"/>
          <w:numId w:val="1058"/>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8"/>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0"/>
    <w:bookmarkStart w:id="41" w:name="Xda8570678e151ca9d6064c17e17b845197c917e"/>
    <w:p>
      <w:pPr>
        <w:pStyle w:val="Heading3"/>
      </w:pPr>
      <w:r>
        <w:t xml:space="preserve">5.5 Generative LLMs and System One models</w:t>
      </w:r>
    </w:p>
    <w:p>
      <w:pPr>
        <w:pStyle w:val="FirstParagraph"/>
      </w:pPr>
      <w:r>
        <w:t xml:space="preserve">The three systems' group disparities differed by less than 1 pp (§4.4), and all three responded strongly to facts (§4.6). The probabilistic interface nonetheless mattered:</w:t>
      </w:r>
    </w:p>
    <w:p>
      <w:pPr>
        <w:numPr>
          <w:ilvl w:val="0"/>
          <w:numId w:val="1059"/>
        </w:numPr>
      </w:pPr>
      <w:r>
        <w:t xml:space="preserve">it exposed variation that single labels hide (§4.1);</w:t>
      </w:r>
    </w:p>
    <w:p>
      <w:pPr>
        <w:numPr>
          <w:ilvl w:val="0"/>
          <w:numId w:val="1059"/>
        </w:numPr>
      </w:pPr>
      <w:r>
        <w:t xml:space="preserve">it enabled graded scores that vary less across versions, although at matched volume this did not make monetary decisions materially more stable;</w:t>
      </w:r>
    </w:p>
    <w:p>
      <w:pPr>
        <w:numPr>
          <w:ilvl w:val="0"/>
          <w:numId w:val="1059"/>
        </w:numPr>
      </w:pPr>
      <w:r>
        <w:t xml:space="preserve">its distribution supported the decision-policy analyses (§4.3).</w:t>
      </w:r>
    </w:p>
    <w:p>
      <w:pPr>
        <w:pStyle w:val="FirstParagraph"/>
      </w:pPr>
      <w:r>
        <w:t xml:space="preserve">No reduction in profiling was detected, and no superiority of averaging over voting was detected on the disparity measure D. We make no claim about architecture: the comparison is between interfaces as deployed, and a single-label LLM sampled repeatedly could recover some of the same benefits.</w:t>
      </w:r>
    </w:p>
    <w:p>
      <w:r>
        <w:pict>
          <v:rect style="width:0;height:1.5pt" o:hralign="center" o:hrstd="t" o:hr="t"/>
        </w:pict>
      </w:r>
    </w:p>
    <w:bookmarkEnd w:id="41"/>
    <w:bookmarkEnd w:id="42"/>
    <w:bookmarkStart w:id="43" w:name="X07495bb7d7ff3c50206f872d4766169330a61ca"/>
    <w:p>
      <w:pPr>
        <w:pStyle w:val="Heading2"/>
      </w:pPr>
      <w:r>
        <w:t xml:space="preserve">6. Limitations</w:t>
      </w:r>
    </w:p>
    <w:p>
      <w:pPr>
        <w:numPr>
          <w:ilvl w:val="0"/>
          <w:numId w:val="1060"/>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60"/>
        </w:numPr>
      </w:pPr>
      <w:r>
        <w:rPr>
          <w:b/>
          <w:bCs/>
        </w:rPr>
        <w:t xml:space="preserve">Imperfect fact preservation.</w:t>
      </w:r>
      <w:r>
        <w:t xml:space="preserve"> </w:t>
      </w:r>
      <w:r>
        <w:t xml:space="preserve">Individual auditors flagged a material fact change in 3.3% and 11.7% of persona guises, and 13.2% were flagged by either (§4.8). The instability result holds among guises that passed the screen (FA3). In the audited complaints, excluding flagged guises also left the group gaps essentially unchanged (§4.8), but the main group-gap estimates still include unaudited guises. Agreement between the auditors on persona guises was low (κ = 0.16), and neither auditor was validated against human annotation.</w:t>
      </w:r>
    </w:p>
    <w:p>
      <w:pPr>
        <w:numPr>
          <w:ilvl w:val="0"/>
          <w:numId w:val="1060"/>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60"/>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60"/>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60"/>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60"/>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60"/>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60"/>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60"/>
        </w:numPr>
      </w:pPr>
      <w:r>
        <w:rPr>
          <w:b/>
          <w:bCs/>
        </w:rPr>
        <w:t xml:space="preserve">LLM auditors and prompt anchors.</w:t>
      </w:r>
      <w:r>
        <w:t xml:space="preserve"> </w:t>
      </w:r>
      <w:r>
        <w:t xml:space="preserve">The fact-fidelity audit uses two LLM auditors, one from the same provider as two of the audited models. They were validated against known fact edits but not against human annotation. The GPT remedy prompt contains outcome base rates (§3.1), and results may differ without them.</w:t>
      </w:r>
    </w:p>
    <w:p>
      <w:pPr>
        <w:numPr>
          <w:ilvl w:val="0"/>
          <w:numId w:val="1060"/>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3"/>
    <w:bookmarkStart w:id="44"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61"/>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61"/>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61"/>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4"/>
    <w:bookmarkStart w:id="45"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p>
      <w:r>
        <w:pict>
          <v:rect style="width:0;height:1.5pt" o:hralign="center" o:hrstd="t" o:hr="t"/>
        </w:pict>
      </w:r>
    </w:p>
    <w:bookmarkEnd w:id="45"/>
    <w:bookmarkStart w:id="46" w:name="X9673ec5dd1fdaa65d6ef0b74cca653d718e880a"/>
    <w:p>
      <w:pPr>
        <w:pStyle w:val="Heading2"/>
      </w:pPr>
      <w:r>
        <w:t xml:space="preserve">Appendix B. Pre-registration chronology and code changes</w:t>
      </w:r>
    </w:p>
    <w:p>
      <w:pPr>
        <w:pStyle w:val="FirstParagraph"/>
      </w:pPr>
      <w:r>
        <w:t xml:space="preserve">Times are Australian Eastern Standard Time (AEST, UTC+10), taken from the commit timestamps in the anonymised repository [anonymous URL to be inserted]. The commit identifiers will be verifiable in the de-anonymised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(AEST)</w:t>
            </w:r>
          </w:p>
        </w:tc>
        <w:tc>
          <w:tcPr/>
          <w:p>
            <w:pPr>
              <w:pStyle w:val="Compact"/>
            </w:pPr>
            <w:r>
              <w:t xml:space="preserve">Commit</w:t>
            </w:r>
          </w:p>
        </w:tc>
        <w:tc>
          <w:tcPr/>
          <w:p>
            <w:pPr>
              <w:pStyle w:val="Compact"/>
            </w:pPr>
            <w:r>
              <w:t xml:space="preserve">Event</w:t>
            </w:r>
          </w:p>
        </w:tc>
      </w:tr>
      <w:tr>
        <w:tc>
          <w:tcPr/>
          <w:p>
            <w:pPr>
              <w:pStyle w:val="Compact"/>
            </w:pPr>
            <w:r>
              <w:t xml:space="preserve">19 Oct 15:15</w:t>
            </w:r>
          </w:p>
        </w:tc>
        <w:tc>
          <w:tcPr/>
          <w:p>
            <w:pPr>
              <w:pStyle w:val="Compact"/>
            </w:pPr>
            <w:r>
              <w:t xml:space="preserve">7958a6e</w:t>
            </w:r>
          </w:p>
        </w:tc>
        <w:tc>
          <w:tcPr/>
          <w:p>
            <w:pPr>
              <w:pStyle w:val="Compact"/>
            </w:pPr>
            <w:r>
              <w:rPr>
                <w:b/>
                <w:bCs/>
              </w:rPr>
              <w:t xml:space="preserve">Pre-registration 1</w:t>
            </w:r>
            <w:r>
              <w:t xml:space="preserve">: H1–H6, holdout draw and fingerprint</w:t>
            </w:r>
          </w:p>
        </w:tc>
      </w:tr>
      <w:tr>
        <w:tc>
          <w:tcPr/>
          <w:p>
            <w:pPr>
              <w:pStyle w:val="Compact"/>
            </w:pPr>
            <w:r>
              <w:t xml:space="preserve">19 Oct 16:04–18:09</w:t>
            </w:r>
          </w:p>
        </w:tc>
        <w:tc>
          <w:tcPr/>
          <w:p>
            <w:pPr>
              <w:pStyle w:val="Compact"/>
            </w:pPr>
            <w:r>
              <w:t xml:space="preserve">ad0eecb, 3f36e7e, 7f8f9e2</w:t>
            </w:r>
          </w:p>
        </w:tc>
        <w:tc>
          <w:tcPr/>
          <w:p>
            <w:pPr>
              <w:pStyle w:val="Compact"/>
            </w:pPr>
            <w:r>
              <w:t xml:space="preserve">Code change 1–3 (generation pipeline, non-substantive): per-model output files; schema warm-up; tolerance of transient API failures. Before the confirmatory run</w:t>
            </w:r>
          </w:p>
        </w:tc>
      </w:tr>
      <w:tr>
        <w:tc>
          <w:tcPr/>
          <w:p>
            <w:pPr>
              <w:pStyle w:val="Compact"/>
            </w:pPr>
            <w:r>
              <w:t xml:space="preserve">19 Oct 23:19</w:t>
            </w:r>
          </w:p>
        </w:tc>
        <w:tc>
          <w:tcPr/>
          <w:p>
            <w:pPr>
              <w:pStyle w:val="Compact"/>
            </w:pPr>
            <w:r>
              <w:t xml:space="preserve">—</w:t>
            </w:r>
          </w:p>
        </w:tc>
        <w:tc>
          <w:tcPr/>
          <w:p>
            <w:pPr>
              <w:pStyle w:val="Compact"/>
            </w:pPr>
            <w:r>
              <w:t xml:space="preserve">One-shot confirmatory run, 1,000 holdout complaints</w:t>
            </w:r>
          </w:p>
        </w:tc>
      </w:tr>
      <w:tr>
        <w:tc>
          <w:tcPr/>
          <w:p>
            <w:pPr>
              <w:pStyle w:val="Compact"/>
            </w:pPr>
            <w:r>
              <w:t xml:space="preserve">20 Oct 09:29</w:t>
            </w:r>
          </w:p>
        </w:tc>
        <w:tc>
          <w:tcPr/>
          <w:p>
            <w:pPr>
              <w:pStyle w:val="Compact"/>
            </w:pPr>
            <w:r>
              <w:t xml:space="preserve">21e856e</w:t>
            </w:r>
          </w:p>
        </w:tc>
        <w:tc>
          <w:tcPr/>
          <w:p>
            <w:pPr>
              <w:pStyle w:val="Compact"/>
            </w:pPr>
            <w:r>
              <w:t xml:space="preserve">Holdout results recorded</w:t>
            </w:r>
          </w:p>
        </w:tc>
      </w:tr>
      <w:tr>
        <w:tc>
          <w:tcPr/>
          <w:p>
            <w:pPr>
              <w:pStyle w:val="Compact"/>
            </w:pPr>
            <w:r>
              <w:t xml:space="preserve">20 Oct 10:44</w:t>
            </w:r>
          </w:p>
        </w:tc>
        <w:tc>
          <w:tcPr/>
          <w:p>
            <w:pPr>
              <w:pStyle w:val="Compact"/>
            </w:pPr>
            <w:r>
              <w:t xml:space="preserve">764b1c5</w:t>
            </w:r>
          </w:p>
        </w:tc>
        <w:tc>
          <w:tcPr/>
          <w:p>
            <w:pPr>
              <w:pStyle w:val="Compact"/>
            </w:pPr>
            <w:r>
              <w:rPr>
                <w:b/>
                <w:bCs/>
              </w:rPr>
              <w:t xml:space="preserve">Amendment 1</w:t>
            </w:r>
            <w:r>
              <w:t xml:space="preserve">: extension to 4,000 complaints for H6</w:t>
            </w:r>
          </w:p>
        </w:tc>
      </w:tr>
      <w:tr>
        <w:tc>
          <w:tcPr/>
          <w:p>
            <w:pPr>
              <w:pStyle w:val="Compact"/>
            </w:pPr>
            <w:r>
              <w:t xml:space="preserve">20 Oct 10:56</w:t>
            </w:r>
          </w:p>
        </w:tc>
        <w:tc>
          <w:tcPr/>
          <w:p>
            <w:pPr>
              <w:pStyle w:val="Compact"/>
            </w:pPr>
            <w:r>
              <w:t xml:space="preserve">cfbd833</w:t>
            </w:r>
          </w:p>
        </w:tc>
        <w:tc>
          <w:tcPr/>
          <w:p>
            <w:pPr>
              <w:pStyle w:val="Compact"/>
            </w:pPr>
            <w:r>
              <w:t xml:space="preserve">Amendment 1 not executed after a materiality review; post hoc materiality analysis</w:t>
            </w:r>
          </w:p>
        </w:tc>
      </w:tr>
      <w:tr>
        <w:tc>
          <w:tcPr/>
          <w:p>
            <w:pPr>
              <w:pStyle w:val="Compact"/>
            </w:pPr>
            <w:r>
              <w:t xml:space="preserve">20 Oct 11:02</w:t>
            </w:r>
          </w:p>
        </w:tc>
        <w:tc>
          <w:tcPr/>
          <w:p>
            <w:pPr>
              <w:pStyle w:val="Compact"/>
            </w:pPr>
            <w:r>
              <w:t xml:space="preserve">88d6899</w:t>
            </w:r>
          </w:p>
        </w:tc>
        <w:tc>
          <w:tcPr/>
          <w:p>
            <w:pPr>
              <w:pStyle w:val="Compact"/>
            </w:pPr>
            <w:r>
              <w:t xml:space="preserve">Post hoc H6 in rate units</w:t>
            </w:r>
          </w:p>
        </w:tc>
      </w:tr>
      <w:tr>
        <w:tc>
          <w:tcPr/>
          <w:p>
            <w:pPr>
              <w:pStyle w:val="Compact"/>
            </w:pPr>
            <w:r>
              <w:t xml:space="preserve">20 Oct 11:26</w:t>
            </w:r>
          </w:p>
        </w:tc>
        <w:tc>
          <w:tcPr/>
          <w:p>
            <w:pPr>
              <w:pStyle w:val="Compact"/>
            </w:pPr>
            <w:r>
              <w:t xml:space="preserve">9abbd00</w:t>
            </w:r>
          </w:p>
        </w:tc>
        <w:tc>
          <w:tcPr/>
          <w:p>
            <w:pPr>
              <w:pStyle w:val="Compact"/>
            </w:pPr>
            <w:r>
              <w:rPr>
                <w:b/>
                <w:bCs/>
              </w:rPr>
              <w:t xml:space="preserve">Pre-registration 2</w:t>
            </w:r>
            <w:r>
              <w:t xml:space="preserve">: attribute pilot with go/no-go rules</w:t>
            </w:r>
          </w:p>
        </w:tc>
      </w:tr>
      <w:tr>
        <w:tc>
          <w:tcPr/>
          <w:p>
            <w:pPr>
              <w:pStyle w:val="Compact"/>
            </w:pPr>
            <w:r>
              <w:t xml:space="preserve">20 Oct 11:47</w:t>
            </w:r>
          </w:p>
        </w:tc>
        <w:tc>
          <w:tcPr/>
          <w:p>
            <w:pPr>
              <w:pStyle w:val="Compact"/>
            </w:pPr>
            <w:r>
              <w:t xml:space="preserve">fcc1e82</w:t>
            </w:r>
          </w:p>
        </w:tc>
        <w:tc>
          <w:tcPr/>
          <w:p>
            <w:pPr>
              <w:pStyle w:val="Compact"/>
            </w:pPr>
            <w:r>
              <w:rPr>
                <w:b/>
                <w:bCs/>
              </w:rPr>
              <w:t xml:space="preserve">Amendment 2a</w:t>
            </w:r>
            <w:r>
              <w:t xml:space="preserve">: allowance for Jev's persona uncertainty (requested after the freeze, committed before any result was inspected)</w:t>
            </w:r>
          </w:p>
        </w:tc>
      </w:tr>
      <w:tr>
        <w:tc>
          <w:tcPr/>
          <w:p>
            <w:pPr>
              <w:pStyle w:val="Compact"/>
            </w:pPr>
            <w:r>
              <w:t xml:space="preserve">20 Oct 11:52</w:t>
            </w:r>
          </w:p>
        </w:tc>
        <w:tc>
          <w:tcPr/>
          <w:p>
            <w:pPr>
              <w:pStyle w:val="Compact"/>
            </w:pPr>
            <w:r>
              <w:t xml:space="preserve">362cb90</w:t>
            </w:r>
          </w:p>
        </w:tc>
        <w:tc>
          <w:tcPr/>
          <w:p>
            <w:pPr>
              <w:pStyle w:val="Compact"/>
            </w:pPr>
            <w:r>
              <w:t xml:space="preserve">Corrected bootstrap for D (sensitivity; now primary, see §3.7)</w:t>
            </w:r>
          </w:p>
        </w:tc>
      </w:tr>
      <w:tr>
        <w:tc>
          <w:tcPr/>
          <w:p>
            <w:pPr>
              <w:pStyle w:val="Compact"/>
            </w:pPr>
            <w:r>
              <w:t xml:space="preserve">20 Oct 12:41</w:t>
            </w:r>
          </w:p>
        </w:tc>
        <w:tc>
          <w:tcPr/>
          <w:p>
            <w:pPr>
              <w:pStyle w:val="Compact"/>
            </w:pPr>
            <w:r>
              <w:t xml:space="preserve">a7e920f</w:t>
            </w:r>
          </w:p>
        </w:tc>
        <w:tc>
          <w:tcPr/>
          <w:p>
            <w:pPr>
              <w:pStyle w:val="Compact"/>
            </w:pPr>
            <w:r>
              <w:t xml:space="preserve">Attribute pilot: GO</w:t>
            </w:r>
          </w:p>
        </w:tc>
      </w:tr>
      <w:tr>
        <w:tc>
          <w:tcPr/>
          <w:p>
            <w:pPr>
              <w:pStyle w:val="Compact"/>
            </w:pPr>
            <w:r>
              <w:t xml:space="preserve">20 Oct 13:13</w:t>
            </w:r>
          </w:p>
        </w:tc>
        <w:tc>
          <w:tcPr/>
          <w:p>
            <w:pPr>
              <w:pStyle w:val="Compact"/>
            </w:pPr>
            <w:r>
              <w:t xml:space="preserve">e847152</w:t>
            </w:r>
          </w:p>
        </w:tc>
        <w:tc>
          <w:tcPr/>
          <w:p>
            <w:pPr>
              <w:pStyle w:val="Compact"/>
            </w:pPr>
            <w:r>
              <w:rPr>
                <w:b/>
                <w:bCs/>
              </w:rPr>
              <w:t xml:space="preserve">Amendment 2b</w:t>
            </w:r>
            <w:r>
              <w:t xml:space="preserve">: confirmatory attribute hypotheses H-A1–H-A5</w:t>
            </w:r>
          </w:p>
        </w:tc>
      </w:tr>
      <w:tr>
        <w:tc>
          <w:tcPr/>
          <w:p>
            <w:pPr>
              <w:pStyle w:val="Compact"/>
            </w:pPr>
            <w:r>
              <w:t xml:space="preserve">20 Oct 14:51</w:t>
            </w:r>
          </w:p>
        </w:tc>
        <w:tc>
          <w:tcPr/>
          <w:p>
            <w:pPr>
              <w:pStyle w:val="Compact"/>
            </w:pPr>
            <w:r>
              <w:t xml:space="preserve">f1dfdca</w:t>
            </w:r>
          </w:p>
        </w:tc>
        <w:tc>
          <w:tcPr/>
          <w:p>
            <w:pPr>
              <w:pStyle w:val="Compact"/>
            </w:pPr>
            <w:r>
              <w:t xml:space="preserve">One-shot attribute results</w:t>
            </w:r>
          </w:p>
        </w:tc>
      </w:tr>
      <w:tr>
        <w:tc>
          <w:tcPr/>
          <w:p>
            <w:pPr>
              <w:pStyle w:val="Compact"/>
            </w:pPr>
            <w:r>
              <w:t xml:space="preserve">20 Oct 16:03</w:t>
            </w:r>
          </w:p>
        </w:tc>
        <w:tc>
          <w:tcPr/>
          <w:p>
            <w:pPr>
              <w:pStyle w:val="Compact"/>
            </w:pPr>
            <w:r>
              <w:t xml:space="preserve">1d78bcd</w:t>
            </w:r>
          </w:p>
        </w:tc>
        <w:tc>
          <w:tcPr/>
          <w:p>
            <w:pPr>
              <w:pStyle w:val="Compact"/>
            </w:pPr>
            <w:r>
              <w:t xml:space="preserve">Pre-registered secondary analyses</w:t>
            </w:r>
          </w:p>
        </w:tc>
      </w:tr>
      <w:tr>
        <w:tc>
          <w:tcPr/>
          <w:p>
            <w:pPr>
              <w:pStyle w:val="Compact"/>
            </w:pPr>
            <w:r>
              <w:t xml:space="preserve">20 Oct 18:49</w:t>
            </w:r>
          </w:p>
        </w:tc>
        <w:tc>
          <w:tcPr/>
          <w:p>
            <w:pPr>
              <w:pStyle w:val="Compact"/>
            </w:pPr>
            <w:r>
              <w:t xml:space="preserve">80f55dd</w:t>
            </w:r>
          </w:p>
        </w:tc>
        <w:tc>
          <w:tcPr/>
          <w:p>
            <w:pPr>
              <w:pStyle w:val="Compact"/>
            </w:pPr>
            <w:r>
              <w:rPr>
                <w:b/>
                <w:bCs/>
              </w:rPr>
              <w:t xml:space="preserve">Pre-registration 3</w:t>
            </w:r>
            <w:r>
              <w:t xml:space="preserve">: positive controls PC1–PC5</w:t>
            </w:r>
          </w:p>
        </w:tc>
      </w:tr>
      <w:tr>
        <w:tc>
          <w:tcPr/>
          <w:p>
            <w:pPr>
              <w:pStyle w:val="Compact"/>
            </w:pPr>
            <w:r>
              <w:t xml:space="preserve">20 Oct 19:15</w:t>
            </w:r>
          </w:p>
        </w:tc>
        <w:tc>
          <w:tcPr/>
          <w:p>
            <w:pPr>
              <w:pStyle w:val="Compact"/>
            </w:pPr>
            <w:r>
              <w:t xml:space="preserve">e3a8fef</w:t>
            </w:r>
          </w:p>
        </w:tc>
        <w:tc>
          <w:tcPr/>
          <w:p>
            <w:pPr>
              <w:pStyle w:val="Compact"/>
            </w:pPr>
            <w:r>
              <w:t xml:space="preserve">Code change 4 (analysis): fix of an index join in the positive-control analysis, before any result was produced</w:t>
            </w:r>
          </w:p>
        </w:tc>
      </w:tr>
      <w:tr>
        <w:tc>
          <w:tcPr/>
          <w:p>
            <w:pPr>
              <w:pStyle w:val="Compact"/>
            </w:pPr>
            <w:r>
              <w:t xml:space="preserve">20 Oct 19:19</w:t>
            </w:r>
          </w:p>
        </w:tc>
        <w:tc>
          <w:tcPr/>
          <w:p>
            <w:pPr>
              <w:pStyle w:val="Compact"/>
            </w:pPr>
            <w:r>
              <w:t xml:space="preserve">44bfa55</w:t>
            </w:r>
          </w:p>
        </w:tc>
        <w:tc>
          <w:tcPr/>
          <w:p>
            <w:pPr>
              <w:pStyle w:val="Compact"/>
            </w:pPr>
            <w:r>
              <w:t xml:space="preserve">Positive-control results</w:t>
            </w:r>
          </w:p>
        </w:tc>
      </w:tr>
      <w:tr>
        <w:tc>
          <w:tcPr/>
          <w:p>
            <w:pPr>
              <w:pStyle w:val="Compact"/>
            </w:pPr>
            <w:r>
              <w:t xml:space="preserve">21 Oct 11:15</w:t>
            </w:r>
          </w:p>
        </w:tc>
        <w:tc>
          <w:tcPr/>
          <w:p>
            <w:pPr>
              <w:pStyle w:val="Compact"/>
            </w:pPr>
            <w:r>
              <w:t xml:space="preserve">d8ab9e0</w:t>
            </w:r>
          </w:p>
        </w:tc>
        <w:tc>
          <w:tcPr/>
          <w:p>
            <w:pPr>
              <w:pStyle w:val="Compact"/>
            </w:pPr>
            <w:r>
              <w:rPr>
                <w:b/>
                <w:bCs/>
              </w:rPr>
              <w:t xml:space="preserve">Pre-registration 4</w:t>
            </w:r>
            <w:r>
              <w:t xml:space="preserve">: style standardisation MH1–MH5. Three bugs found in the pre-freeze smoke run (complaints 501–505) were fixed before this commit</w:t>
            </w:r>
          </w:p>
        </w:tc>
      </w:tr>
      <w:tr>
        <w:tc>
          <w:tcPr/>
          <w:p>
            <w:pPr>
              <w:pStyle w:val="Compact"/>
            </w:pPr>
            <w:r>
              <w:t xml:space="preserve">21 Oct 16:27</w:t>
            </w:r>
          </w:p>
        </w:tc>
        <w:tc>
          <w:tcPr/>
          <w:p>
            <w:pPr>
              <w:pStyle w:val="Compact"/>
            </w:pPr>
            <w:r>
              <w:t xml:space="preserve">d6a6e90</w:t>
            </w:r>
          </w:p>
        </w:tc>
        <w:tc>
          <w:tcPr/>
          <w:p>
            <w:pPr>
              <w:pStyle w:val="Compact"/>
            </w:pPr>
            <w:r>
              <w:t xml:space="preserve">One-shot mitigation analysis</w:t>
            </w:r>
          </w:p>
        </w:tc>
      </w:tr>
      <w:tr>
        <w:tc>
          <w:tcPr/>
          <w:p>
            <w:pPr>
              <w:pStyle w:val="Compact"/>
            </w:pPr>
            <w:r>
              <w:t xml:space="preserve">21 Oct 22:20</w:t>
            </w:r>
          </w:p>
        </w:tc>
        <w:tc>
          <w:tcPr/>
          <w:p>
            <w:pPr>
              <w:pStyle w:val="Compact"/>
            </w:pPr>
            <w:r>
              <w:t xml:space="preserve">3b8cfe4</w:t>
            </w:r>
          </w:p>
        </w:tc>
        <w:tc>
          <w:tcPr/>
          <w:p>
            <w:pPr>
              <w:pStyle w:val="Compact"/>
            </w:pPr>
            <w:r>
              <w:rPr>
                <w:b/>
                <w:bCs/>
              </w:rPr>
              <w:t xml:space="preserve">Pre-registration 5</w:t>
            </w:r>
            <w:r>
              <w:t xml:space="preserve">: fact-fidelity audit and same-day baseline FA1–FA6, DB1–DB2, frozen after a smoke run on complaints 501–505</w:t>
            </w:r>
          </w:p>
        </w:tc>
      </w:tr>
      <w:tr>
        <w:tc>
          <w:tcPr/>
          <w:p>
            <w:pPr>
              <w:pStyle w:val="Compact"/>
            </w:pPr>
            <w:r>
              <w:t xml:space="preserve">21 Oct 22:25</w:t>
            </w:r>
          </w:p>
        </w:tc>
        <w:tc>
          <w:tcPr/>
          <w:p>
            <w:pPr>
              <w:pStyle w:val="Compact"/>
            </w:pPr>
            <w:r>
              <w:t xml:space="preserve">8083067</w:t>
            </w:r>
          </w:p>
        </w:tc>
        <w:tc>
          <w:tcPr/>
          <w:p>
            <w:pPr>
              <w:pStyle w:val="Compact"/>
            </w:pPr>
            <w:r>
              <w:t xml:space="preserve">Post hoc review-response analyses: variance components, remedy rules</w:t>
            </w:r>
          </w:p>
        </w:tc>
      </w:tr>
      <w:tr>
        <w:tc>
          <w:tcPr/>
          <w:p>
            <w:pPr>
              <w:pStyle w:val="Compact"/>
            </w:pPr>
            <w:r>
              <w:t xml:space="preserve">21 Oct 22:46</w:t>
            </w:r>
          </w:p>
        </w:tc>
        <w:tc>
          <w:tcPr/>
          <w:p>
            <w:pPr>
              <w:pStyle w:val="Compact"/>
            </w:pPr>
            <w:r>
              <w:t xml:space="preserve">098654a</w:t>
            </w:r>
          </w:p>
        </w:tc>
        <w:tc>
          <w:tcPr/>
          <w:p>
            <w:pPr>
              <w:pStyle w:val="Compact"/>
            </w:pPr>
            <w:r>
              <w:t xml:space="preserve">One-shot fidelity and baseline analysis</w:t>
            </w:r>
          </w:p>
        </w:tc>
      </w:tr>
      <w:tr>
        <w:tc>
          <w:tcPr/>
          <w:p>
            <w:pPr>
              <w:pStyle w:val="Compact"/>
            </w:pPr>
            <w:r>
              <w:t xml:space="preserve">22 Oct 08:00</w:t>
            </w:r>
          </w:p>
        </w:tc>
        <w:tc>
          <w:tcPr/>
          <w:p>
            <w:pPr>
              <w:pStyle w:val="Compact"/>
            </w:pPr>
            <w:r>
              <w:t xml:space="preserve">29ddd6e</w:t>
            </w:r>
          </w:p>
        </w:tc>
        <w:tc>
          <w:tcPr/>
          <w:p>
            <w:pPr>
              <w:pStyle w:val="Compact"/>
            </w:pPr>
            <w:r>
              <w:t xml:space="preserve">Post hoc remedy rules re-run with exact volume matching (§3.9)</w:t>
            </w:r>
          </w:p>
        </w:tc>
      </w:tr>
      <w:tr>
        <w:tc>
          <w:tcPr/>
          <w:p>
            <w:pPr>
              <w:pStyle w:val="Compact"/>
            </w:pPr>
            <w:r>
              <w:t xml:space="preserve">22 Oct 16:40</w:t>
            </w:r>
          </w:p>
        </w:tc>
        <w:tc>
          <w:tcPr/>
          <w:p>
            <w:pPr>
              <w:pStyle w:val="Compact"/>
            </w:pPr>
            <w:r>
              <w:t xml:space="preserve">(this revision)</w:t>
            </w:r>
          </w:p>
        </w:tc>
        <w:tc>
          <w:tcPr/>
          <w:p>
            <w:pPr>
              <w:pStyle w:val="Compact"/>
            </w:pPr>
            <w:r>
              <w:t xml:space="preserve">Post hoc, descriptive: group gaps among guises that passed the fidelity screen (§4.8)</w:t>
            </w:r>
          </w:p>
        </w:tc>
      </w:tr>
    </w:tbl>
    <w:p>
      <w:pPr>
        <w:pStyle w:val="BodyText"/>
      </w:pPr>
      <w:r>
        <w:t xml:space="preserve">Pre-registration 5 recorded two changes before its freeze: GPT-5.2 replaced a planned Google auditor, whose API key was invalid, and the guise sample was enlarged from 24 to 40 complaints after the smoke run showed lower costs than expected.</w:t>
      </w:r>
    </w:p>
    <w:bookmarkEnd w:id="46"/>
    <w:bookmarkStart w:id="47" w:name="X34cfaee19e5e0ba04f832d96fd18ec852973967"/>
    <w:p>
      <w:pPr>
        <w:pStyle w:val="Heading2"/>
      </w:pPr>
      <w:r>
        <w:t xml:space="preserve">Appendix C. Variance-component model (post hoc)</w:t>
      </w:r>
    </w:p>
    <w:p>
      <w:pPr>
        <w:pStyle w:val="FirstParagraph"/>
      </w:pPr>
      <w:r>
        <w:rPr>
          <w:b/>
          <w:bCs/>
        </w:rPr>
        <w:t xml:space="preserve">Model.</w:t>
      </w:r>
      <w:r>
        <w:t xml:space="preserve"> </w:t>
      </w:r>
      <w:r>
        <w:t xml:space="preserve">For Jev's monetary probability (and, separately, E[tier]) on the 1,000 held-out complaints:</w:t>
      </w:r>
    </w:p>
    <w:p>
      <w:pPr>
        <w:pStyle w:val="BodyText"/>
      </w:pPr>
      <w:r>
        <w:t xml:space="preserve">Y</w:t>
      </w:r>
      <w:r>
        <w:t xml:space="preserve">ckbo</w:t>
      </w:r>
      <w:r>
        <w:t xml:space="preserve"> </w:t>
      </w:r>
      <w:r>
        <w:t xml:space="preserve">= μ + a</w:t>
      </w:r>
      <w:r>
        <w:t xml:space="preserve">c</w:t>
      </w:r>
      <w:r>
        <w:t xml:space="preserve"> </w:t>
      </w:r>
      <w:r>
        <w:t xml:space="preserve">+ p</w:t>
      </w:r>
      <w:r>
        <w:t xml:space="preserve">k</w:t>
      </w:r>
      <w:r>
        <w:t xml:space="preserve"> </w:t>
      </w:r>
      <w:r>
        <w:t xml:space="preserve">+ β</w:t>
      </w:r>
      <w:r>
        <w:t xml:space="preserve">b</w:t>
      </w:r>
      <w:r>
        <w:t xml:space="preserve"> </w:t>
      </w:r>
      <w:r>
        <w:t xml:space="preserve">+ ω</w:t>
      </w:r>
      <w:r>
        <w:t xml:space="preserve">o</w:t>
      </w:r>
      <w:r>
        <w:t xml:space="preserve"> </w:t>
      </w:r>
      <w:r>
        <w:t xml:space="preserve">+ (ap)</w:t>
      </w:r>
      <w:r>
        <w:t xml:space="preserve">ck</w:t>
      </w:r>
      <w:r>
        <w:t xml:space="preserve"> </w:t>
      </w:r>
      <w:r>
        <w:t xml:space="preserve">+ (aβ)</w:t>
      </w:r>
      <w:r>
        <w:t xml:space="preserve">cb</w:t>
      </w:r>
      <w:r>
        <w:t xml:space="preserve"> </w:t>
      </w:r>
      <w:r>
        <w:t xml:space="preserve">+ (aω)</w:t>
      </w:r>
      <w:r>
        <w:t xml:space="preserve">co</w:t>
      </w:r>
      <w:r>
        <w:t xml:space="preserve"> </w:t>
      </w:r>
      <w:r>
        <w:t xml:space="preserve">+ (pβ)</w:t>
      </w:r>
      <w:r>
        <w:t xml:space="preserve">kb</w:t>
      </w:r>
      <w:r>
        <w:t xml:space="preserve"> </w:t>
      </w:r>
      <w:r>
        <w:t xml:space="preserve">+ (pω)</w:t>
      </w:r>
      <w:r>
        <w:t xml:space="preserve">ko</w:t>
      </w:r>
      <w:r>
        <w:t xml:space="preserve"> </w:t>
      </w:r>
      <w:r>
        <w:t xml:space="preserve">+ (βω)</w:t>
      </w:r>
      <w:r>
        <w:t xml:space="preserve">bo</w:t>
      </w:r>
      <w:r>
        <w:t xml:space="preserve"> </w:t>
      </w:r>
      <w:r>
        <w:t xml:space="preserve">+ (apβ)</w:t>
      </w:r>
      <w:r>
        <w:t xml:space="preserve">ckb</w:t>
      </w:r>
      <w:r>
        <w:t xml:space="preserve"> </w:t>
      </w:r>
      <w:r>
        <w:t xml:space="preserve">+ (apω)</w:t>
      </w:r>
      <w:r>
        <w:t xml:space="preserve">cko</w:t>
      </w:r>
      <w:r>
        <w:t xml:space="preserve"> </w:t>
      </w:r>
      <w:r>
        <w:t xml:space="preserve">+ (aβω)</w:t>
      </w:r>
      <w:r>
        <w:t xml:space="preserve">cbo</w:t>
      </w:r>
      <w:r>
        <w:t xml:space="preserve"> </w:t>
      </w:r>
      <w:r>
        <w:t xml:space="preserve">+ (pβω)</w:t>
      </w:r>
      <w:r>
        <w:t xml:space="preserve">kbo</w:t>
      </w:r>
      <w:r>
        <w:t xml:space="preserve"> </w:t>
      </w:r>
      <w:r>
        <w:t xml:space="preserve">+ ε</w:t>
      </w:r>
      <w:r>
        <w:t xml:space="preserve">ckbo</w:t>
      </w:r>
    </w:p>
    <w:p>
      <w:pPr>
        <w:pStyle w:val="BodyText"/>
      </w:pPr>
      <w:r>
        <w:t xml:space="preserve">with complaint c (1,000), persona k (36), rewrite bank b (2) and option order o (6). The design is fully crossed and balanced, with one observation per cell, so the four-way interaction is confounded with the residual. All terms are treated as random effects.</w:t>
      </w:r>
    </w:p>
    <w:p>
      <w:pPr>
        <w:pStyle w:val="BodyText"/>
      </w:pPr>
      <w:r>
        <w:rPr>
          <w:b/>
          <w:bCs/>
        </w:rPr>
        <w:t xml:space="preserve">Estimation.</w:t>
      </w:r>
      <w:r>
        <w:t xml:space="preserve"> </w:t>
      </w:r>
      <w:r>
        <w:t xml:space="preserve">For each of the 15 terms S, we compute the ANOVA mean square MS</w:t>
      </w:r>
      <w:r>
        <w:t xml:space="preserve">S</w:t>
      </w:r>
      <w:r>
        <w:t xml:space="preserve">. Its expectation is E[MS</w:t>
      </w:r>
      <w:r>
        <w:t xml:space="preserve">S</w:t>
      </w:r>
      <w:r>
        <w:t xml:space="preserve">] = Σ</w:t>
      </w:r>
      <w:r>
        <w:t xml:space="preserve">U ⊇ S</w:t>
      </w:r>
      <w:r>
        <w:t xml:space="preserve"> </w:t>
      </w:r>
      <w:r>
        <w:t xml:space="preserve">(Π</w:t>
      </w:r>
      <w:r>
        <w:t xml:space="preserve">i ∉ U</w:t>
      </w:r>
      <w:r>
        <w:t xml:space="preserve"> </w:t>
      </w:r>
      <w:r>
        <w:t xml:space="preserve">n</w:t>
      </w:r>
      <w:r>
        <w:t xml:space="preserve">i</w:t>
      </w:r>
      <w:r>
        <w:t xml:space="preserve">) σ²</w:t>
      </w:r>
      <w:r>
        <w:t xml:space="preserve">U</w:t>
      </w:r>
      <w:r>
        <w:t xml:space="preserve">. We solve for σ²</w:t>
      </w:r>
      <w:r>
        <w:t xml:space="preserve">S</w:t>
      </w:r>
      <w:r>
        <w:t xml:space="preserve"> </w:t>
      </w:r>
      <w:r>
        <w:t xml:space="preserve">from the highest-order term downwards (method of moments, Cornfield–Tukey). The solver recovered known components on simulated data. Negative estimates are kept while solving and truncated at zero for reporting; only the K×O term was negative, at less than 10⁻⁵ of the within-complaint total in absolute size. Shares are each truncated component divided by the sum of all truncated components except the complaint term (within-complaint variance). The complaint term accounts for 92% (p2) and 90% (E[tier]) of total variance.</w:t>
      </w:r>
    </w:p>
    <w:p>
      <w:pPr>
        <w:pStyle w:val="BodyText"/>
      </w:pPr>
      <w:r>
        <w:rPr>
          <w:b/>
          <w:bCs/>
        </w:rPr>
        <w:t xml:space="preserve">Intervals.</w:t>
      </w:r>
      <w:r>
        <w:t xml:space="preserve"> </w:t>
      </w:r>
      <w:r>
        <w:t xml:space="preserve">Complaint-cluster percentile bootstrap with 300 resamples, refitting the whole model each time. Resamples repeat complaints, which slightly biases moment estimators, so the intervals are approximate.</w:t>
      </w:r>
    </w:p>
    <w:p>
      <w:pPr>
        <w:pStyle w:val="BodyText"/>
      </w:pPr>
      <w:r>
        <w:rPr>
          <w:b/>
          <w:bCs/>
        </w:rPr>
        <w:t xml:space="preserve">Mapping from terms to the reported categories</w:t>
      </w:r>
      <w:r>
        <w:t xml:space="preserve"> </w:t>
      </w:r>
      <w:r>
        <w:t xml:space="preserve">(share of within-complaint variance,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Category</w:t>
            </w:r>
          </w:p>
        </w:tc>
        <w:tc>
          <w:tcPr/>
          <w:p>
            <w:pPr>
              <w:pStyle w:val="Compact"/>
            </w:pPr>
            <w:r>
              <w:t xml:space="preserve">p2</w:t>
            </w:r>
          </w:p>
        </w:tc>
        <w:tc>
          <w:tcPr/>
          <w:p>
            <w:pPr>
              <w:pStyle w:val="Compact"/>
            </w:pPr>
            <w:r>
              <w:t xml:space="preserve">E[tier]</w:t>
            </w:r>
          </w:p>
        </w:tc>
      </w:tr>
      <w:tr>
        <w:tc>
          <w:tcPr/>
          <w:p>
            <w:pPr>
              <w:pStyle w:val="Compact"/>
            </w:pPr>
            <w:r>
              <w:t xml:space="preserve">K (persona)</w:t>
            </w:r>
          </w:p>
        </w:tc>
        <w:tc>
          <w:tcPr/>
          <w:p>
            <w:pPr>
              <w:pStyle w:val="Compact"/>
            </w:pPr>
            <w:r>
              <w:t xml:space="preserve">Persona, shared across banks and orders</w:t>
            </w:r>
          </w:p>
        </w:tc>
        <w:tc>
          <w:tcPr/>
          <w:p>
            <w:pPr>
              <w:pStyle w:val="Compact"/>
            </w:pPr>
            <w:r>
              <w:t xml:space="preserve">0.04</w:t>
            </w:r>
          </w:p>
        </w:tc>
        <w:tc>
          <w:tcPr/>
          <w:p>
            <w:pPr>
              <w:pStyle w:val="Compact"/>
            </w:pPr>
            <w:r>
              <w:t xml:space="preserve">0.21</w:t>
            </w:r>
          </w:p>
        </w:tc>
      </w:tr>
      <w:tr>
        <w:tc>
          <w:tcPr/>
          <w:p>
            <w:pPr>
              <w:pStyle w:val="Compact"/>
            </w:pPr>
            <w:r>
              <w:t xml:space="preserve">C×K</w:t>
            </w:r>
          </w:p>
        </w:tc>
        <w:tc>
          <w:tcPr/>
          <w:p>
            <w:pPr>
              <w:pStyle w:val="Compact"/>
            </w:pPr>
            <w:r>
              <w:t xml:space="preserve">Persona, complaint-specific, shared across banks and orders</w:t>
            </w:r>
          </w:p>
        </w:tc>
        <w:tc>
          <w:tcPr/>
          <w:p>
            <w:pPr>
              <w:pStyle w:val="Compact"/>
            </w:pPr>
            <w:r>
              <w:t xml:space="preserve">1.54</w:t>
            </w:r>
          </w:p>
        </w:tc>
        <w:tc>
          <w:tcPr/>
          <w:p>
            <w:pPr>
              <w:pStyle w:val="Compact"/>
            </w:pPr>
            <w:r>
              <w:t xml:space="preserve">1.45</w:t>
            </w:r>
          </w:p>
        </w:tc>
      </w:tr>
      <w:tr>
        <w:tc>
          <w:tcPr/>
          <w:p>
            <w:pPr>
              <w:pStyle w:val="Compact"/>
            </w:pPr>
            <w:r>
              <w:t xml:space="preserve">B</w:t>
            </w:r>
          </w:p>
        </w:tc>
        <w:tc>
          <w:tcPr/>
          <w:p>
            <w:pPr>
              <w:pStyle w:val="Compact"/>
            </w:pPr>
            <w:r>
              <w:t xml:space="preserve">Rewrite-model difference</w:t>
            </w:r>
          </w:p>
        </w:tc>
        <w:tc>
          <w:tcPr/>
          <w:p>
            <w:pPr>
              <w:pStyle w:val="Compact"/>
            </w:pPr>
            <w:r>
              <w:t xml:space="preserve">4.61</w:t>
            </w:r>
          </w:p>
        </w:tc>
        <w:tc>
          <w:tcPr/>
          <w:p>
            <w:pPr>
              <w:pStyle w:val="Compact"/>
            </w:pPr>
            <w:r>
              <w:t xml:space="preserve">7.03</w:t>
            </w:r>
          </w:p>
        </w:tc>
      </w:tr>
      <w:tr>
        <w:tc>
          <w:tcPr/>
          <w:p>
            <w:pPr>
              <w:pStyle w:val="Compact"/>
            </w:pPr>
            <w:r>
              <w:t xml:space="preserve">C×B</w:t>
            </w:r>
          </w:p>
        </w:tc>
        <w:tc>
          <w:tcPr/>
          <w:p>
            <w:pPr>
              <w:pStyle w:val="Compact"/>
            </w:pPr>
            <w:r>
              <w:t xml:space="preserve">Rewrite-model difference</w:t>
            </w:r>
          </w:p>
        </w:tc>
        <w:tc>
          <w:tcPr/>
          <w:p>
            <w:pPr>
              <w:pStyle w:val="Compact"/>
            </w:pPr>
            <w:r>
              <w:t xml:space="preserve">42.48</w:t>
            </w:r>
          </w:p>
        </w:tc>
        <w:tc>
          <w:tcPr/>
          <w:p>
            <w:pPr>
              <w:pStyle w:val="Compact"/>
            </w:pPr>
            <w:r>
              <w:t xml:space="preserve">39.56</w:t>
            </w:r>
          </w:p>
        </w:tc>
      </w:tr>
      <w:tr>
        <w:tc>
          <w:tcPr/>
          <w:p>
            <w:pPr>
              <w:pStyle w:val="Compact"/>
            </w:pPr>
            <w:r>
              <w:t xml:space="preserve">K×B</w:t>
            </w:r>
          </w:p>
        </w:tc>
        <w:tc>
          <w:tcPr/>
          <w:p>
            <w:pPr>
              <w:pStyle w:val="Compact"/>
            </w:pPr>
            <w:r>
              <w:t xml:space="preserve">Rewrite-model difference (bank-specific persona effect)</w:t>
            </w:r>
          </w:p>
        </w:tc>
        <w:tc>
          <w:tcPr/>
          <w:p>
            <w:pPr>
              <w:pStyle w:val="Compact"/>
            </w:pPr>
            <w:r>
              <w:t xml:space="preserve">0.01</w:t>
            </w:r>
          </w:p>
        </w:tc>
        <w:tc>
          <w:tcPr/>
          <w:p>
            <w:pPr>
              <w:pStyle w:val="Compact"/>
            </w:pPr>
            <w:r>
              <w:t xml:space="preserve">0.12</w:t>
            </w:r>
          </w:p>
        </w:tc>
      </w:tr>
      <w:tr>
        <w:tc>
          <w:tcPr/>
          <w:p>
            <w:pPr>
              <w:pStyle w:val="Compact"/>
            </w:pPr>
            <w:r>
              <w:t xml:space="preserve">C×K×B</w:t>
            </w:r>
          </w:p>
        </w:tc>
        <w:tc>
          <w:tcPr/>
          <w:p>
            <w:pPr>
              <w:pStyle w:val="Compact"/>
            </w:pPr>
            <w:r>
              <w:t xml:space="preserve">Guise-level paraphrase (includes complaint-specific, bank-specific persona effects)</w:t>
            </w:r>
          </w:p>
        </w:tc>
        <w:tc>
          <w:tcPr/>
          <w:p>
            <w:pPr>
              <w:pStyle w:val="Compact"/>
            </w:pPr>
            <w:r>
              <w:t xml:space="preserve">38.86</w:t>
            </w:r>
          </w:p>
        </w:tc>
        <w:tc>
          <w:tcPr/>
          <w:p>
            <w:pPr>
              <w:pStyle w:val="Compact"/>
            </w:pPr>
            <w:r>
              <w:t xml:space="preserve">36.71</w:t>
            </w:r>
          </w:p>
        </w:tc>
      </w:tr>
      <w:tr>
        <w:tc>
          <w:tcPr/>
          <w:p>
            <w:pPr>
              <w:pStyle w:val="Compact"/>
            </w:pPr>
            <w:r>
              <w:t xml:space="preserve">O, C×O, B×O, C×B×O</w:t>
            </w:r>
          </w:p>
        </w:tc>
        <w:tc>
          <w:tcPr/>
          <w:p>
            <w:pPr>
              <w:pStyle w:val="Compact"/>
            </w:pPr>
            <w:r>
              <w:t xml:space="preserve">Option order and inference noise</w:t>
            </w:r>
          </w:p>
        </w:tc>
        <w:tc>
          <w:tcPr/>
          <w:p>
            <w:pPr>
              <w:pStyle w:val="Compact"/>
            </w:pPr>
            <w:r>
              <w:t xml:space="preserve">8.64</w:t>
            </w:r>
          </w:p>
        </w:tc>
        <w:tc>
          <w:tcPr/>
          <w:p>
            <w:pPr>
              <w:pStyle w:val="Compact"/>
            </w:pPr>
            <w:r>
              <w:t xml:space="preserve">11.45</w:t>
            </w:r>
          </w:p>
        </w:tc>
      </w:tr>
      <w:tr>
        <w:tc>
          <w:tcPr/>
          <w:p>
            <w:pPr>
              <w:pStyle w:val="Compact"/>
            </w:pPr>
            <w:r>
              <w:t xml:space="preserve">K×O, C×K×O, K×B×O</w:t>
            </w:r>
          </w:p>
        </w:tc>
        <w:tc>
          <w:tcPr/>
          <w:p>
            <w:pPr>
              <w:pStyle w:val="Compact"/>
            </w:pPr>
            <w:r>
              <w:t xml:space="preserve">Option order × persona (in the order category)</w:t>
            </w:r>
          </w:p>
        </w:tc>
        <w:tc>
          <w:tcPr/>
          <w:p>
            <w:pPr>
              <w:pStyle w:val="Compact"/>
            </w:pPr>
            <w:r>
              <w:t xml:space="preserve">0.05</w:t>
            </w:r>
          </w:p>
        </w:tc>
        <w:tc>
          <w:tcPr/>
          <w:p>
            <w:pPr>
              <w:pStyle w:val="Compact"/>
            </w:pPr>
            <w:r>
              <w:t xml:space="preserve">0.03</w:t>
            </w:r>
          </w:p>
        </w:tc>
      </w:tr>
      <w:tr>
        <w:tc>
          <w:tcPr/>
          <w:p>
            <w:pPr>
              <w:pStyle w:val="Compact"/>
            </w:pPr>
            <w:r>
              <w:t xml:space="preserve">C×K×B×O + residual</w:t>
            </w:r>
          </w:p>
        </w:tc>
        <w:tc>
          <w:tcPr/>
          <w:p>
            <w:pPr>
              <w:pStyle w:val="Compact"/>
            </w:pPr>
            <w:r>
              <w:t xml:space="preserve">Option order and inference noise</w:t>
            </w:r>
          </w:p>
        </w:tc>
        <w:tc>
          <w:tcPr/>
          <w:p>
            <w:pPr>
              <w:pStyle w:val="Compact"/>
            </w:pPr>
            <w:r>
              <w:t xml:space="preserve">3.77</w:t>
            </w:r>
          </w:p>
        </w:tc>
        <w:tc>
          <w:tcPr/>
          <w:p>
            <w:pPr>
              <w:pStyle w:val="Compact"/>
            </w:pPr>
            <w:r>
              <w:t xml:space="preserve">3.43</w:t>
            </w:r>
          </w:p>
        </w:tc>
      </w:tr>
    </w:tbl>
    <w:p>
      <w:pPr>
        <w:pStyle w:val="BodyText"/>
      </w:pPr>
      <w:r>
        <w:t xml:space="preserve">The reported persona share (1.6% for p2, 1.7% for E[tier]) is K + C×K: persona variation that replicates across both rewrite generators and all option orders. Persona interactions with option order are negligible (≤ 0.05%), and the persona × bank main interaction is ≤ 0.12%. The C×K×B term cannot be split, in this design, into bank-specific persona effects and guise-level paraphrase.</w:t>
      </w:r>
    </w:p>
    <w:bookmarkEnd w:id="47"/>
    <w:bookmarkStart w:id="48" w:name="X38a8c6cedc75a0f58d981684dd7b4984e9071cc"/>
    <w:p>
      <w:pPr>
        <w:pStyle w:val="Heading2"/>
      </w:pPr>
      <w:r>
        <w:t xml:space="preserve">Appendix D. Status of every registered hypothesis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Registration</w:t>
            </w:r>
          </w:p>
        </w:tc>
        <w:tc>
          <w:tcPr/>
          <w:p>
            <w:pPr>
              <w:pStyle w:val="Compact"/>
            </w:pPr>
            <w:r>
              <w:t xml:space="preserve">Hypothesis</w:t>
            </w:r>
          </w:p>
        </w:tc>
        <w:tc>
          <w:tcPr/>
          <w:p>
            <w:pPr>
              <w:pStyle w:val="Compact"/>
            </w:pPr>
            <w:r>
              <w:t xml:space="preserve">Status</w:t>
            </w:r>
          </w:p>
        </w:tc>
        <w:tc>
          <w:tcPr/>
          <w:p>
            <w:pPr>
              <w:pStyle w:val="Compact"/>
            </w:pPr>
            <w:r>
              <w:t xml:space="preserve">Where</w:t>
            </w:r>
          </w:p>
        </w:tc>
      </w:tr>
      <w:tr>
        <w:tc>
          <w:tcPr/>
          <w:p>
            <w:pPr>
              <w:pStyle w:val="Compact"/>
            </w:pPr>
            <w:r>
              <w:t xml:space="preserve">1</w:t>
            </w:r>
          </w:p>
        </w:tc>
        <w:tc>
          <w:tcPr/>
          <w:p>
            <w:pPr>
              <w:pStyle w:val="Compact"/>
            </w:pPr>
            <w:r>
              <w:t xml:space="preserve">H1 persona-specific TV excess &lt; 5%</w:t>
            </w:r>
          </w:p>
        </w:tc>
        <w:tc>
          <w:tcPr/>
          <w:p>
            <w:pPr>
              <w:pStyle w:val="Compact"/>
            </w:pPr>
            <w:r>
              <w:t xml:space="preserve">Supported as registered (a distance ratio; see §4.1)</w:t>
            </w:r>
          </w:p>
        </w:tc>
        <w:tc>
          <w:tcPr/>
          <w:p>
            <w:pPr>
              <w:pStyle w:val="Compact"/>
            </w:pPr>
            <w:r>
              <w:t xml:space="preserve">§4.1</w:t>
            </w:r>
          </w:p>
        </w:tc>
      </w:tr>
      <w:tr>
        <w:tc>
          <w:tcPr/>
          <w:p>
            <w:pPr>
              <w:pStyle w:val="Compact"/>
            </w:pPr>
            <w:r>
              <w:t xml:space="preserve">1</w:t>
            </w:r>
          </w:p>
        </w:tc>
        <w:tc>
          <w:tcPr/>
          <w:p>
            <w:pPr>
              <w:pStyle w:val="Compact"/>
            </w:pPr>
            <w:r>
              <w:t xml:space="preserve">H2 directional contrasts</w:t>
            </w:r>
          </w:p>
        </w:tc>
        <w:tc>
          <w:tcPr/>
          <w:p>
            <w:pPr>
              <w:pStyle w:val="Compact"/>
            </w:pPr>
            <w:r>
              <w:t xml:space="preserve">9 of 12 supported</w:t>
            </w:r>
          </w:p>
        </w:tc>
        <w:tc>
          <w:tcPr/>
          <w:p>
            <w:pPr>
              <w:pStyle w:val="Compact"/>
            </w:pPr>
            <w:r>
              <w:t xml:space="preserve">§4.2</w:t>
            </w:r>
          </w:p>
        </w:tc>
      </w:tr>
      <w:tr>
        <w:tc>
          <w:tcPr/>
          <w:p>
            <w:pPr>
              <w:pStyle w:val="Compact"/>
            </w:pPr>
            <w:r>
              <w:t xml:space="preserve">1</w:t>
            </w:r>
          </w:p>
        </w:tc>
        <w:tc>
          <w:tcPr/>
          <w:p>
            <w:pPr>
              <w:pStyle w:val="Compact"/>
            </w:pPr>
            <w:r>
              <w:t xml:space="preserve">H3a lower residual share for E[tier]</w:t>
            </w:r>
          </w:p>
        </w:tc>
        <w:tc>
          <w:tcPr/>
          <w:p>
            <w:pPr>
              <w:pStyle w:val="Compact"/>
            </w:pPr>
            <w:r>
              <w:t xml:space="preserve">Supported (score variability only)</w:t>
            </w:r>
          </w:p>
        </w:tc>
        <w:tc>
          <w:tcPr/>
          <w:p>
            <w:pPr>
              <w:pStyle w:val="Compact"/>
            </w:pPr>
            <w:r>
              <w:t xml:space="preserve">§4.3</w:t>
            </w:r>
          </w:p>
        </w:tc>
      </w:tr>
      <w:tr>
        <w:tc>
          <w:tcPr/>
          <w:p>
            <w:pPr>
              <w:pStyle w:val="Compact"/>
            </w:pPr>
            <w:r>
              <w:t xml:space="preserve">1</w:t>
            </w:r>
          </w:p>
        </w:tc>
        <w:tc>
          <w:tcPr/>
          <w:p>
            <w:pPr>
              <w:pStyle w:val="Compact"/>
            </w:pPr>
            <w:r>
              <w:t xml:space="preserve">H3b disparity difference</w:t>
            </w:r>
          </w:p>
        </w:tc>
        <w:tc>
          <w:tcPr/>
          <w:p>
            <w:pPr>
              <w:pStyle w:val="Compact"/>
            </w:pPr>
            <w:r>
              <w:t xml:space="preserve">Estimation; no reduction detected</w:t>
            </w:r>
          </w:p>
        </w:tc>
        <w:tc>
          <w:tcPr/>
          <w:p>
            <w:pPr>
              <w:pStyle w:val="Compact"/>
            </w:pPr>
            <w:r>
              <w:t xml:space="preserve">§4.3</w:t>
            </w:r>
          </w:p>
        </w:tc>
      </w:tr>
      <w:tr>
        <w:tc>
          <w:tcPr/>
          <w:p>
            <w:pPr>
              <w:pStyle w:val="Compact"/>
            </w:pPr>
            <w:r>
              <w:t xml:space="preserve">1</w:t>
            </w:r>
          </w:p>
        </w:tc>
        <w:tc>
          <w:tcPr/>
          <w:p>
            <w:pPr>
              <w:pStyle w:val="Compact"/>
            </w:pPr>
            <w:r>
              <w:t xml:space="preserve">H4 averaging not superior to voting</w:t>
            </w:r>
          </w:p>
        </w:tc>
        <w:tc>
          <w:tcPr/>
          <w:p>
            <w:pPr>
              <w:pStyle w:val="Compact"/>
            </w:pPr>
            <w:r>
              <w:t xml:space="preserve">Supported: no superiority detected</w:t>
            </w:r>
          </w:p>
        </w:tc>
        <w:tc>
          <w:tcPr/>
          <w:p>
            <w:pPr>
              <w:pStyle w:val="Compact"/>
            </w:pPr>
            <w:r>
              <w:t xml:space="preserve">§4.3</w:t>
            </w:r>
          </w:p>
        </w:tc>
      </w:tr>
      <w:tr>
        <w:tc>
          <w:tcPr/>
          <w:p>
            <w:pPr>
              <w:pStyle w:val="Compact"/>
            </w:pPr>
            <w:r>
              <w:t xml:space="preserve">1</w:t>
            </w:r>
          </w:p>
        </w:tc>
        <w:tc>
          <w:tcPr/>
          <w:p>
            <w:pPr>
              <w:pStyle w:val="Compact"/>
            </w:pPr>
            <w:r>
              <w:t xml:space="preserve">H5 referral creates disparity</w:t>
            </w:r>
          </w:p>
        </w:tc>
        <w:tc>
          <w:tcPr/>
          <w:p>
            <w:pPr>
              <w:pStyle w:val="Compact"/>
            </w:pPr>
            <w:r>
              <w:t xml:space="preserve">Not supported (not detected)</w:t>
            </w:r>
          </w:p>
        </w:tc>
        <w:tc>
          <w:tcPr/>
          <w:p>
            <w:pPr>
              <w:pStyle w:val="Compact"/>
            </w:pPr>
            <w:r>
              <w:t xml:space="preserve">§4.3</w:t>
            </w:r>
          </w:p>
        </w:tc>
      </w:tr>
      <w:tr>
        <w:tc>
          <w:tcPr/>
          <w:p>
            <w:pPr>
              <w:pStyle w:val="Compact"/>
            </w:pPr>
            <w:r>
              <w:t xml:space="preserve">1</w:t>
            </w:r>
          </w:p>
        </w:tc>
        <w:tc>
          <w:tcPr/>
          <w:p>
            <w:pPr>
              <w:pStyle w:val="Compact"/>
            </w:pPr>
            <w:r>
              <w:t xml:space="preserve">H6 Jev vs GPT-4o-mini disparity</w:t>
            </w:r>
          </w:p>
        </w:tc>
        <w:tc>
          <w:tcPr/>
          <w:p>
            <w:pPr>
              <w:pStyle w:val="Compact"/>
            </w:pPr>
            <w:r>
              <w:t xml:space="preserve">Inconclusive; extension not executed</w:t>
            </w:r>
          </w:p>
        </w:tc>
        <w:tc>
          <w:tcPr/>
          <w:p>
            <w:pPr>
              <w:pStyle w:val="Compact"/>
            </w:pPr>
            <w:r>
              <w:t xml:space="preserve">§4.4</w:t>
            </w:r>
          </w:p>
        </w:tc>
      </w:tr>
      <w:tr>
        <w:tc>
          <w:tcPr/>
          <w:p>
            <w:pPr>
              <w:pStyle w:val="Compact"/>
            </w:pPr>
            <w:r>
              <w:t xml:space="preserve">2</w:t>
            </w:r>
          </w:p>
        </w:tc>
        <w:tc>
          <w:tcPr/>
          <w:p>
            <w:pPr>
              <w:pStyle w:val="Compact"/>
            </w:pPr>
            <w:r>
              <w:t xml:space="preserve">H-A1–H-A5</w:t>
            </w:r>
          </w:p>
        </w:tc>
        <w:tc>
          <w:tcPr/>
          <w:p>
            <w:pPr>
              <w:pStyle w:val="Compact"/>
            </w:pPr>
            <w:r>
              <w:t xml:space="preserve">All supported</w:t>
            </w:r>
          </w:p>
        </w:tc>
        <w:tc>
          <w:tcPr/>
          <w:p>
            <w:pPr>
              <w:pStyle w:val="Compact"/>
            </w:pPr>
            <w:r>
              <w:t xml:space="preserve">§4.5</w:t>
            </w:r>
          </w:p>
        </w:tc>
      </w:tr>
      <w:tr>
        <w:tc>
          <w:tcPr/>
          <w:p>
            <w:pPr>
              <w:pStyle w:val="Compact"/>
            </w:pPr>
            <w:r>
              <w:t xml:space="preserve">3</w:t>
            </w:r>
          </w:p>
        </w:tc>
        <w:tc>
          <w:tcPr/>
          <w:p>
            <w:pPr>
              <w:pStyle w:val="Compact"/>
            </w:pPr>
            <w:r>
              <w:t xml:space="preserve">PC1, PC2, PC4</w:t>
            </w:r>
          </w:p>
        </w:tc>
        <w:tc>
          <w:tcPr/>
          <w:p>
            <w:pPr>
              <w:pStyle w:val="Compact"/>
            </w:pPr>
            <w:r>
              <w:t xml:space="preserve">Supported</w:t>
            </w:r>
          </w:p>
        </w:tc>
        <w:tc>
          <w:tcPr/>
          <w:p>
            <w:pPr>
              <w:pStyle w:val="Compact"/>
            </w:pPr>
            <w:r>
              <w:t xml:space="preserve">§4.6</w:t>
            </w:r>
          </w:p>
        </w:tc>
      </w:tr>
      <w:tr>
        <w:tc>
          <w:tcPr/>
          <w:p>
            <w:pPr>
              <w:pStyle w:val="Compact"/>
            </w:pPr>
            <w:r>
              <w:t xml:space="preserve">3</w:t>
            </w:r>
          </w:p>
        </w:tc>
        <w:tc>
          <w:tcPr/>
          <w:p>
            <w:pPr>
              <w:pStyle w:val="Compact"/>
            </w:pPr>
            <w:r>
              <w:t xml:space="preserve">PC3 (</w:t>
            </w:r>
            <w:r>
              <w:rPr>
                <w:rStyle w:val="VerbatimChar"/>
              </w:rPr>
              <w:t xml:space="preserve">harm_x10</w:t>
            </w:r>
            <w:r>
              <w:t xml:space="preserve">)</w:t>
            </w:r>
          </w:p>
        </w:tc>
        <w:tc>
          <w:tcPr/>
          <w:p>
            <w:pPr>
              <w:pStyle w:val="Compact"/>
            </w:pPr>
            <w:r>
              <w:t xml:space="preserve">Exploratory, reported</w:t>
            </w:r>
          </w:p>
        </w:tc>
        <w:tc>
          <w:tcPr/>
          <w:p>
            <w:pPr>
              <w:pStyle w:val="Compact"/>
            </w:pPr>
            <w:r>
              <w:t xml:space="preserve">§4.6</w:t>
            </w:r>
          </w:p>
        </w:tc>
      </w:tr>
      <w:tr>
        <w:tc>
          <w:tcPr/>
          <w:p>
            <w:pPr>
              <w:pStyle w:val="Compact"/>
            </w:pPr>
            <w:r>
              <w:t xml:space="preserve">3</w:t>
            </w:r>
          </w:p>
        </w:tc>
        <w:tc>
          <w:tcPr/>
          <w:p>
            <w:pPr>
              <w:pStyle w:val="Compact"/>
            </w:pPr>
            <w:r>
              <w:t xml:space="preserve">PC5 edit fidelity</w:t>
            </w:r>
          </w:p>
        </w:tc>
        <w:tc>
          <w:tcPr/>
          <w:p>
            <w:pPr>
              <w:pStyle w:val="Compact"/>
            </w:pPr>
            <w:r>
              <w:t xml:space="preserve">Descriptive, reported</w:t>
            </w:r>
          </w:p>
        </w:tc>
        <w:tc>
          <w:tcPr/>
          <w:p>
            <w:pPr>
              <w:pStyle w:val="Compact"/>
            </w:pPr>
            <w:r>
              <w:t xml:space="preserve">§4.6</w:t>
            </w:r>
          </w:p>
        </w:tc>
      </w:tr>
      <w:tr>
        <w:tc>
          <w:tcPr/>
          <w:p>
            <w:pPr>
              <w:pStyle w:val="Compact"/>
            </w:pPr>
            <w:r>
              <w:t xml:space="preserve">4</w:t>
            </w:r>
          </w:p>
        </w:tc>
        <w:tc>
          <w:tcPr/>
          <w:p>
            <w:pPr>
              <w:pStyle w:val="Compact"/>
            </w:pPr>
            <w:r>
              <w:t xml:space="preserve">MH1, MH3, MH5</w:t>
            </w:r>
          </w:p>
        </w:tc>
        <w:tc>
          <w:tcPr/>
          <w:p>
            <w:pPr>
              <w:pStyle w:val="Compact"/>
            </w:pPr>
            <w:r>
              <w:t xml:space="preserve">Supported</w:t>
            </w:r>
          </w:p>
        </w:tc>
        <w:tc>
          <w:tcPr/>
          <w:p>
            <w:pPr>
              <w:pStyle w:val="Compact"/>
            </w:pPr>
            <w:r>
              <w:t xml:space="preserve">§4.7</w:t>
            </w:r>
          </w:p>
        </w:tc>
      </w:tr>
      <w:tr>
        <w:tc>
          <w:tcPr/>
          <w:p>
            <w:pPr>
              <w:pStyle w:val="Compact"/>
            </w:pPr>
            <w:r>
              <w:t xml:space="preserve">4</w:t>
            </w:r>
          </w:p>
        </w:tc>
        <w:tc>
          <w:tcPr/>
          <w:p>
            <w:pPr>
              <w:pStyle w:val="Compact"/>
            </w:pPr>
            <w:r>
              <w:t xml:space="preserve">MH2</w:t>
            </w:r>
          </w:p>
        </w:tc>
        <w:tc>
          <w:tcPr/>
          <w:p>
            <w:pPr>
              <w:pStyle w:val="Compact"/>
            </w:pPr>
            <w:r>
              <w:t xml:space="preserve">Not supported</w:t>
            </w:r>
          </w:p>
        </w:tc>
        <w:tc>
          <w:tcPr/>
          <w:p>
            <w:pPr>
              <w:pStyle w:val="Compact"/>
            </w:pPr>
            <w:r>
              <w:t xml:space="preserve">§4.7</w:t>
            </w:r>
          </w:p>
        </w:tc>
      </w:tr>
      <w:tr>
        <w:tc>
          <w:tcPr/>
          <w:p>
            <w:pPr>
              <w:pStyle w:val="Compact"/>
            </w:pPr>
            <w:r>
              <w:t xml:space="preserve">4</w:t>
            </w:r>
          </w:p>
        </w:tc>
        <w:tc>
          <w:tcPr/>
          <w:p>
            <w:pPr>
              <w:pStyle w:val="Compact"/>
            </w:pPr>
            <w:r>
              <w:t xml:space="preserve">MH4 fidelity</w:t>
            </w:r>
          </w:p>
        </w:tc>
        <w:tc>
          <w:tcPr/>
          <w:p>
            <w:pPr>
              <w:pStyle w:val="Compact"/>
            </w:pPr>
            <w:r>
              <w:t xml:space="preserve">Descriptive, reported</w:t>
            </w:r>
          </w:p>
        </w:tc>
        <w:tc>
          <w:tcPr/>
          <w:p>
            <w:pPr>
              <w:pStyle w:val="Compact"/>
            </w:pPr>
            <w:r>
              <w:t xml:space="preserve">§4.7</w:t>
            </w:r>
          </w:p>
        </w:tc>
      </w:tr>
      <w:tr>
        <w:tc>
          <w:tcPr/>
          <w:p>
            <w:pPr>
              <w:pStyle w:val="Compact"/>
            </w:pPr>
            <w:r>
              <w:t xml:space="preserve">5</w:t>
            </w:r>
          </w:p>
        </w:tc>
        <w:tc>
          <w:tcPr/>
          <w:p>
            <w:pPr>
              <w:pStyle w:val="Compact"/>
            </w:pPr>
            <w:r>
              <w:t xml:space="preserve">FA1 auditor validity</w:t>
            </w:r>
          </w:p>
        </w:tc>
        <w:tc>
          <w:tcPr/>
          <w:p>
            <w:pPr>
              <w:pStyle w:val="Compact"/>
            </w:pPr>
            <w:r>
              <w:t xml:space="preserve">Supported (both auditors valid)</w:t>
            </w:r>
          </w:p>
        </w:tc>
        <w:tc>
          <w:tcPr/>
          <w:p>
            <w:pPr>
              <w:pStyle w:val="Compact"/>
            </w:pPr>
            <w:r>
              <w:t xml:space="preserve">§4.8</w:t>
            </w:r>
          </w:p>
        </w:tc>
      </w:tr>
      <w:tr>
        <w:tc>
          <w:tcPr/>
          <w:p>
            <w:pPr>
              <w:pStyle w:val="Compact"/>
            </w:pPr>
            <w:r>
              <w:t xml:space="preserve">5</w:t>
            </w:r>
          </w:p>
        </w:tc>
        <w:tc>
          <w:tcPr/>
          <w:p>
            <w:pPr>
              <w:pStyle w:val="Compact"/>
            </w:pPr>
            <w:r>
              <w:t xml:space="preserve">FA2, FA5 flag rates</w:t>
            </w:r>
          </w:p>
        </w:tc>
        <w:tc>
          <w:tcPr/>
          <w:p>
            <w:pPr>
              <w:pStyle w:val="Compact"/>
            </w:pPr>
            <w:r>
              <w:t xml:space="preserve">Estimation, reported</w:t>
            </w:r>
          </w:p>
        </w:tc>
        <w:tc>
          <w:tcPr/>
          <w:p>
            <w:pPr>
              <w:pStyle w:val="Compact"/>
            </w:pPr>
            <w:r>
              <w:t xml:space="preserve">§4.8</w:t>
            </w:r>
          </w:p>
        </w:tc>
      </w:tr>
      <w:tr>
        <w:tc>
          <w:tcPr/>
          <w:p>
            <w:pPr>
              <w:pStyle w:val="Compact"/>
            </w:pPr>
            <w:r>
              <w:t xml:space="preserve">5</w:t>
            </w:r>
          </w:p>
        </w:tc>
        <w:tc>
          <w:tcPr/>
          <w:p>
            <w:pPr>
              <w:pStyle w:val="Compact"/>
            </w:pPr>
            <w:r>
              <w:t xml:space="preserve">FA3 instability among screened guises</w:t>
            </w:r>
          </w:p>
        </w:tc>
        <w:tc>
          <w:tcPr/>
          <w:p>
            <w:pPr>
              <w:pStyle w:val="Compact"/>
            </w:pPr>
            <w:r>
              <w:t xml:space="preserve">Supported</w:t>
            </w:r>
          </w:p>
        </w:tc>
        <w:tc>
          <w:tcPr/>
          <w:p>
            <w:pPr>
              <w:pStyle w:val="Compact"/>
            </w:pPr>
            <w:r>
              <w:t xml:space="preserve">§4.8</w:t>
            </w:r>
          </w:p>
        </w:tc>
      </w:tr>
      <w:tr>
        <w:tc>
          <w:tcPr/>
          <w:p>
            <w:pPr>
              <w:pStyle w:val="Compact"/>
            </w:pPr>
            <w:r>
              <w:t xml:space="preserve">5</w:t>
            </w:r>
          </w:p>
        </w:tc>
        <w:tc>
          <w:tcPr/>
          <w:p>
            <w:pPr>
              <w:pStyle w:val="Compact"/>
            </w:pPr>
            <w:r>
              <w:t xml:space="preserve">FA4 flags by decision departure</w:t>
            </w:r>
          </w:p>
        </w:tc>
        <w:tc>
          <w:tcPr/>
          <w:p>
            <w:pPr>
              <w:pStyle w:val="Compact"/>
            </w:pPr>
            <w:r>
              <w:t xml:space="preserve">Descriptive, reported</w:t>
            </w:r>
          </w:p>
        </w:tc>
        <w:tc>
          <w:tcPr/>
          <w:p>
            <w:pPr>
              <w:pStyle w:val="Compact"/>
            </w:pPr>
            <w:r>
              <w:t xml:space="preserve">§4.8</w:t>
            </w:r>
          </w:p>
        </w:tc>
      </w:tr>
      <w:tr>
        <w:tc>
          <w:tcPr/>
          <w:p>
            <w:pPr>
              <w:pStyle w:val="Compact"/>
            </w:pPr>
            <w:r>
              <w:t xml:space="preserve">5</w:t>
            </w:r>
          </w:p>
        </w:tc>
        <w:tc>
          <w:tcPr/>
          <w:p>
            <w:pPr>
              <w:pStyle w:val="Compact"/>
            </w:pPr>
            <w:r>
              <w:t xml:space="preserve">FA6 auditor agreement</w:t>
            </w:r>
          </w:p>
        </w:tc>
        <w:tc>
          <w:tcPr/>
          <w:p>
            <w:pPr>
              <w:pStyle w:val="Compact"/>
            </w:pPr>
            <w:r>
              <w:t xml:space="preserve">Descriptive, reported (κ = 0.16 on guises; 0.46 overall)</w:t>
            </w:r>
          </w:p>
        </w:tc>
        <w:tc>
          <w:tcPr/>
          <w:p>
            <w:pPr>
              <w:pStyle w:val="Compact"/>
            </w:pPr>
            <w:r>
              <w:t xml:space="preserve">§4.8</w:t>
            </w:r>
          </w:p>
        </w:tc>
      </w:tr>
      <w:tr>
        <w:tc>
          <w:tcPr/>
          <w:p>
            <w:pPr>
              <w:pStyle w:val="Compact"/>
            </w:pPr>
            <w:r>
              <w:t xml:space="preserve">5</w:t>
            </w:r>
          </w:p>
        </w:tc>
        <w:tc>
          <w:tcPr/>
          <w:p>
            <w:pPr>
              <w:pStyle w:val="Compact"/>
            </w:pPr>
            <w:r>
              <w:t xml:space="preserve">DB1 drift</w:t>
            </w:r>
          </w:p>
        </w:tc>
        <w:tc>
          <w:tcPr/>
          <w:p>
            <w:pPr>
              <w:pStyle w:val="Compact"/>
            </w:pPr>
            <w:r>
              <w:t xml:space="preserve">No drift detected</w:t>
            </w:r>
          </w:p>
        </w:tc>
        <w:tc>
          <w:tcPr/>
          <w:p>
            <w:pPr>
              <w:pStyle w:val="Compact"/>
            </w:pPr>
            <w:r>
              <w:t xml:space="preserve">§4.8</w:t>
            </w:r>
          </w:p>
        </w:tc>
      </w:tr>
      <w:tr>
        <w:tc>
          <w:tcPr/>
          <w:p>
            <w:pPr>
              <w:pStyle w:val="Compact"/>
            </w:pPr>
            <w:r>
              <w:t xml:space="preserve">5</w:t>
            </w:r>
          </w:p>
        </w:tc>
        <w:tc>
          <w:tcPr/>
          <w:p>
            <w:pPr>
              <w:pStyle w:val="Compact"/>
            </w:pPr>
            <w:r>
              <w:t xml:space="preserve">DB2 MH1 on fresh decisions</w:t>
            </w:r>
          </w:p>
        </w:tc>
        <w:tc>
          <w:tcPr/>
          <w:p>
            <w:pPr>
              <w:pStyle w:val="Compact"/>
            </w:pPr>
            <w:r>
              <w:t xml:space="preserve">Not supported (imprecise)</w:t>
            </w:r>
          </w:p>
        </w:tc>
        <w:tc>
          <w:tcPr/>
          <w:p>
            <w:pPr>
              <w:pStyle w:val="Compact"/>
            </w:pPr>
            <w:r>
              <w:t xml:space="preserve">§4.8</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2026-10-22T06:37:09Z</dcterms:created>
  <dcterms:modified xsi:type="dcterms:W3CDTF">2026-10-22T06:37:09Z</dcterms:modified>
</cp:coreProperties>
</file>

<file path=docProps/custom.xml><?xml version="1.0" encoding="utf-8"?>
<Properties xmlns="http://schemas.openxmlformats.org/officeDocument/2006/custom-properties" xmlns:vt="http://schemas.openxmlformats.org/officeDocument/2006/docPropsVTypes"/>
</file>