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96F12" w14:textId="77777777" w:rsidR="00AF400B" w:rsidRDefault="00000000">
      <w:pPr>
        <w:keepNext/>
        <w:keepLines/>
        <w:spacing w:before="400" w:after="120" w:line="240" w:lineRule="auto"/>
        <w:jc w:val="center"/>
        <w:rPr>
          <w:rFonts w:ascii="Google Sans" w:eastAsia="Google Sans" w:hAnsi="Google Sans" w:cs="Google Sans"/>
          <w:sz w:val="40"/>
        </w:rPr>
      </w:pPr>
      <w:r>
        <w:rPr>
          <w:rFonts w:ascii="Google Sans" w:eastAsia="Google Sans" w:hAnsi="Google Sans" w:cs="Google Sans"/>
          <w:sz w:val="40"/>
        </w:rPr>
        <w:t>Compliance checklist</w:t>
      </w:r>
    </w:p>
    <w:p w14:paraId="51C6C8AD" w14:textId="630F691E" w:rsidR="00AF400B" w:rsidRDefault="00000000">
      <w:pPr>
        <w:spacing w:after="0" w:line="276" w:lineRule="auto"/>
        <w:rPr>
          <w:rFonts w:ascii="Google Sans" w:eastAsia="Google Sans" w:hAnsi="Google Sans" w:cs="Google Sans"/>
        </w:rPr>
      </w:pPr>
      <w:r>
        <w:rPr>
          <w:rFonts w:ascii="Google Sans" w:eastAsia="Google Sans" w:hAnsi="Google Sans" w:cs="Google Sans"/>
        </w:rPr>
        <w:t xml:space="preserve">To review compliance regulations and standards, read the </w:t>
      </w:r>
      <w:hyperlink r:id="rId4">
        <w:r>
          <w:rPr>
            <w:rFonts w:ascii="Google Sans" w:eastAsia="Google Sans" w:hAnsi="Google Sans" w:cs="Google Sans"/>
            <w:color w:val="1155CC"/>
            <w:u w:val="single"/>
          </w:rPr>
          <w:t>controls, frameworks, and compliance</w:t>
        </w:r>
      </w:hyperlink>
      <w:r>
        <w:rPr>
          <w:rFonts w:ascii="Google Sans" w:eastAsia="Google Sans" w:hAnsi="Google Sans" w:cs="Google Sans"/>
        </w:rPr>
        <w:t xml:space="preserve"> </w:t>
      </w:r>
      <w:r w:rsidR="009A64F0">
        <w:rPr>
          <w:rFonts w:ascii="Google Sans" w:eastAsia="Google Sans" w:hAnsi="Google Sans" w:cs="Google Sans"/>
        </w:rPr>
        <w:t>documents</w:t>
      </w:r>
      <w:r>
        <w:rPr>
          <w:rFonts w:ascii="Google Sans" w:eastAsia="Google Sans" w:hAnsi="Google Sans" w:cs="Google Sans"/>
        </w:rPr>
        <w:t>.</w:t>
      </w:r>
    </w:p>
    <w:p w14:paraId="520D6518" w14:textId="77777777" w:rsidR="00AF400B" w:rsidRDefault="00AF400B">
      <w:pPr>
        <w:spacing w:after="0" w:line="276" w:lineRule="auto"/>
        <w:rPr>
          <w:rFonts w:ascii="Google Sans" w:eastAsia="Google Sans" w:hAnsi="Google Sans" w:cs="Google Sans"/>
        </w:rPr>
      </w:pPr>
    </w:p>
    <w:p w14:paraId="66EC3829" w14:textId="77777777" w:rsidR="00AF400B" w:rsidRDefault="00000000">
      <w:pPr>
        <w:spacing w:after="0" w:line="240" w:lineRule="auto"/>
        <w:rPr>
          <w:rFonts w:ascii="Google Sans" w:eastAsia="Google Sans" w:hAnsi="Google Sans" w:cs="Google Sans"/>
          <w:b/>
        </w:rPr>
      </w:pPr>
      <w:r>
        <w:rPr>
          <w:rFonts w:ascii="Google Sans" w:eastAsia="Google Sans" w:hAnsi="Google Sans" w:cs="Google Sans"/>
          <w:b/>
        </w:rPr>
        <w:t xml:space="preserve">_____ The Federal Energy Regulatory Commission - North American Electric </w:t>
      </w:r>
    </w:p>
    <w:p w14:paraId="0F33730F" w14:textId="77777777" w:rsidR="00AF400B" w:rsidRDefault="00000000">
      <w:pPr>
        <w:spacing w:after="0" w:line="240" w:lineRule="auto"/>
        <w:rPr>
          <w:rFonts w:ascii="Google Sans" w:eastAsia="Google Sans" w:hAnsi="Google Sans" w:cs="Google Sans"/>
          <w:b/>
        </w:rPr>
      </w:pPr>
      <w:r>
        <w:rPr>
          <w:rFonts w:ascii="Google Sans" w:eastAsia="Google Sans" w:hAnsi="Google Sans" w:cs="Google Sans"/>
          <w:b/>
        </w:rPr>
        <w:t xml:space="preserve">            Reliability Corporation (FERC-NERC)</w:t>
      </w:r>
    </w:p>
    <w:p w14:paraId="43D1CB15" w14:textId="77777777" w:rsidR="00AF400B" w:rsidRDefault="00AF400B">
      <w:pPr>
        <w:spacing w:after="0" w:line="240" w:lineRule="auto"/>
        <w:rPr>
          <w:rFonts w:ascii="Google Sans" w:eastAsia="Google Sans" w:hAnsi="Google Sans" w:cs="Google Sans"/>
          <w:b/>
        </w:rPr>
      </w:pPr>
    </w:p>
    <w:p w14:paraId="6268CD27" w14:textId="06A5397A" w:rsidR="00AF400B" w:rsidRDefault="00000000">
      <w:pPr>
        <w:spacing w:after="200" w:line="360" w:lineRule="auto"/>
        <w:ind w:left="720"/>
        <w:rPr>
          <w:rFonts w:ascii="Google Sans" w:eastAsia="Google Sans" w:hAnsi="Google Sans" w:cs="Google Sans"/>
        </w:rPr>
      </w:pPr>
      <w:r>
        <w:rPr>
          <w:rFonts w:ascii="Google Sans" w:eastAsia="Google Sans" w:hAnsi="Google Sans" w:cs="Google Sans"/>
        </w:rPr>
        <w:t xml:space="preserve">The FERC-NERC regulation applies to organizations that work with electricity or </w:t>
      </w:r>
      <w:r w:rsidR="009A64F0">
        <w:rPr>
          <w:rFonts w:ascii="Google Sans" w:eastAsia="Google Sans" w:hAnsi="Google Sans" w:cs="Google Sans"/>
        </w:rPr>
        <w:t>are involved with the U.S. and North American power grids. Organizations have an obligation to prepare for, mitigate, and report any potential security incident that can negatively affect the power grid. They are also</w:t>
      </w:r>
      <w:r>
        <w:rPr>
          <w:rFonts w:ascii="Google Sans" w:eastAsia="Google Sans" w:hAnsi="Google Sans" w:cs="Google Sans"/>
        </w:rPr>
        <w:t xml:space="preserve"> legally required to adhere to the Critical Infrastructure Protection Reliability Standards (CIP) defined by the FERC. </w:t>
      </w:r>
    </w:p>
    <w:p w14:paraId="699339EA" w14:textId="47FBF99A" w:rsidR="00AF400B" w:rsidRDefault="00000000">
      <w:pPr>
        <w:spacing w:after="200" w:line="360" w:lineRule="auto"/>
        <w:ind w:left="720"/>
        <w:rPr>
          <w:rFonts w:ascii="Google Sans" w:eastAsia="Google Sans" w:hAnsi="Google Sans" w:cs="Google Sans"/>
        </w:rPr>
      </w:pPr>
      <w:r>
        <w:rPr>
          <w:rFonts w:ascii="Google Sans" w:eastAsia="Google Sans" w:hAnsi="Google Sans" w:cs="Google Sans"/>
          <w:b/>
        </w:rPr>
        <w:t>Explanation:</w:t>
      </w:r>
      <w:r w:rsidR="009A64F0">
        <w:rPr>
          <w:rFonts w:ascii="Google Sans" w:eastAsia="Google Sans" w:hAnsi="Google Sans" w:cs="Google Sans"/>
        </w:rPr>
        <w:t xml:space="preserve"> </w:t>
      </w:r>
      <w:proofErr w:type="spellStart"/>
      <w:r w:rsidR="009A64F0">
        <w:rPr>
          <w:rFonts w:ascii="Google Sans" w:eastAsia="Google Sans" w:hAnsi="Google Sans" w:cs="Google Sans"/>
        </w:rPr>
        <w:t>Botium</w:t>
      </w:r>
      <w:proofErr w:type="spellEnd"/>
      <w:r w:rsidR="009A64F0">
        <w:rPr>
          <w:rFonts w:ascii="Google Sans" w:eastAsia="Google Sans" w:hAnsi="Google Sans" w:cs="Google Sans"/>
        </w:rPr>
        <w:t xml:space="preserve"> Toys is unlikely to need to adhere to this regulation as it is not an organization that works with electricity or is </w:t>
      </w:r>
      <w:r>
        <w:rPr>
          <w:rFonts w:ascii="Google Sans" w:eastAsia="Google Sans" w:hAnsi="Google Sans" w:cs="Google Sans"/>
        </w:rPr>
        <w:t>involved with the U.S. and North American power grid.</w:t>
      </w:r>
    </w:p>
    <w:p w14:paraId="5021C3A9" w14:textId="77777777" w:rsidR="00AF400B" w:rsidRDefault="00000000">
      <w:pPr>
        <w:spacing w:after="200" w:line="360" w:lineRule="auto"/>
        <w:rPr>
          <w:rFonts w:ascii="Google Sans" w:eastAsia="Google Sans" w:hAnsi="Google Sans" w:cs="Google Sans"/>
          <w:b/>
        </w:rPr>
      </w:pPr>
      <w:r>
        <w:rPr>
          <w:rFonts w:ascii="Google Sans" w:eastAsia="Google Sans" w:hAnsi="Google Sans" w:cs="Google Sans"/>
          <w:b/>
        </w:rPr>
        <w:t>__</w:t>
      </w:r>
      <w:r>
        <w:rPr>
          <w:rFonts w:ascii="Segoe UI Symbol" w:eastAsia="Segoe UI Symbol" w:hAnsi="Segoe UI Symbol" w:cs="Segoe UI Symbol"/>
          <w:b/>
        </w:rPr>
        <w:t>✓</w:t>
      </w:r>
      <w:r>
        <w:rPr>
          <w:rFonts w:ascii="Google Sans" w:eastAsia="Google Sans" w:hAnsi="Google Sans" w:cs="Google Sans"/>
          <w:b/>
        </w:rPr>
        <w:t>_  General Data Protection Regulation (GDPR)</w:t>
      </w:r>
    </w:p>
    <w:p w14:paraId="3A5C1BB0" w14:textId="1E0BF676" w:rsidR="00AF400B" w:rsidRDefault="00000000">
      <w:pPr>
        <w:spacing w:after="200" w:line="360" w:lineRule="auto"/>
        <w:ind w:left="720"/>
        <w:rPr>
          <w:rFonts w:ascii="Google Sans" w:eastAsia="Google Sans" w:hAnsi="Google Sans" w:cs="Google Sans"/>
        </w:rPr>
      </w:pPr>
      <w:r>
        <w:rPr>
          <w:rFonts w:ascii="Google Sans" w:eastAsia="Google Sans" w:hAnsi="Google Sans" w:cs="Google Sans"/>
        </w:rPr>
        <w:t xml:space="preserve">GDPR is a European Union (E.U.) general data regulation that protects the processing of E.U. citizens’ data and their right to privacy in and out of E.U. territory. Additionally, if a breach occurs and </w:t>
      </w:r>
      <w:r w:rsidR="009A64F0">
        <w:rPr>
          <w:rFonts w:ascii="Google Sans" w:eastAsia="Google Sans" w:hAnsi="Google Sans" w:cs="Google Sans"/>
        </w:rPr>
        <w:t>an</w:t>
      </w:r>
      <w:r>
        <w:rPr>
          <w:rFonts w:ascii="Google Sans" w:eastAsia="Google Sans" w:hAnsi="Google Sans" w:cs="Google Sans"/>
        </w:rPr>
        <w:t xml:space="preserve"> E.U. citizen’s data is compromised, they must be informed within 72 hours of the incident.</w:t>
      </w:r>
    </w:p>
    <w:p w14:paraId="7A9EFAFD" w14:textId="2217AFD2" w:rsidR="00AF400B" w:rsidRDefault="00000000">
      <w:pPr>
        <w:spacing w:after="200" w:line="360" w:lineRule="auto"/>
        <w:ind w:left="720"/>
        <w:rPr>
          <w:rFonts w:ascii="Google Sans" w:eastAsia="Google Sans" w:hAnsi="Google Sans" w:cs="Google Sans"/>
        </w:rPr>
      </w:pPr>
      <w:r>
        <w:rPr>
          <w:rFonts w:ascii="Google Sans" w:eastAsia="Google Sans" w:hAnsi="Google Sans" w:cs="Google Sans"/>
          <w:b/>
        </w:rPr>
        <w:t xml:space="preserve">Explanation: </w:t>
      </w:r>
      <w:proofErr w:type="spellStart"/>
      <w:r>
        <w:rPr>
          <w:rFonts w:ascii="Google Sans" w:eastAsia="Google Sans" w:hAnsi="Google Sans" w:cs="Google Sans"/>
        </w:rPr>
        <w:t>Botium</w:t>
      </w:r>
      <w:proofErr w:type="spellEnd"/>
      <w:r>
        <w:rPr>
          <w:rFonts w:ascii="Google Sans" w:eastAsia="Google Sans" w:hAnsi="Google Sans" w:cs="Google Sans"/>
        </w:rPr>
        <w:t xml:space="preserve"> Toys needs to adhere to GDPR if </w:t>
      </w:r>
      <w:r w:rsidR="009A64F0">
        <w:rPr>
          <w:rFonts w:ascii="Google Sans" w:eastAsia="Google Sans" w:hAnsi="Google Sans" w:cs="Google Sans"/>
        </w:rPr>
        <w:t>it handles the personal data of European Union (EU) citizens, regardless of whether It</w:t>
      </w:r>
      <w:r>
        <w:rPr>
          <w:rFonts w:ascii="Google Sans" w:eastAsia="Google Sans" w:hAnsi="Google Sans" w:cs="Google Sans"/>
        </w:rPr>
        <w:t xml:space="preserve"> is based in the EU or not. GDPR protects the processing of EU citizens' data and their right to privacy both inside and outside the EU. Adhering to GDPR ensures that </w:t>
      </w:r>
      <w:proofErr w:type="spellStart"/>
      <w:r>
        <w:rPr>
          <w:rFonts w:ascii="Google Sans" w:eastAsia="Google Sans" w:hAnsi="Google Sans" w:cs="Google Sans"/>
        </w:rPr>
        <w:t>Botium</w:t>
      </w:r>
      <w:proofErr w:type="spellEnd"/>
      <w:r>
        <w:rPr>
          <w:rFonts w:ascii="Google Sans" w:eastAsia="Google Sans" w:hAnsi="Google Sans" w:cs="Google Sans"/>
        </w:rPr>
        <w:t xml:space="preserve"> Toys processes personal data lawfully, fairly, and transparently and protects the rights of the data subjects, including the right to access, correct, and delete their personal data.</w:t>
      </w:r>
    </w:p>
    <w:p w14:paraId="400FA3C3" w14:textId="77777777" w:rsidR="00AF400B" w:rsidRDefault="00000000">
      <w:pPr>
        <w:spacing w:after="200" w:line="360" w:lineRule="auto"/>
        <w:rPr>
          <w:rFonts w:ascii="Google Sans" w:eastAsia="Google Sans" w:hAnsi="Google Sans" w:cs="Google Sans"/>
          <w:b/>
        </w:rPr>
      </w:pPr>
      <w:r>
        <w:rPr>
          <w:rFonts w:ascii="Google Sans" w:eastAsia="Google Sans" w:hAnsi="Google Sans" w:cs="Google Sans"/>
          <w:b/>
        </w:rPr>
        <w:t>__</w:t>
      </w:r>
      <w:r>
        <w:rPr>
          <w:rFonts w:ascii="Segoe UI Symbol" w:eastAsia="Segoe UI Symbol" w:hAnsi="Segoe UI Symbol" w:cs="Segoe UI Symbol"/>
          <w:b/>
        </w:rPr>
        <w:t>✓</w:t>
      </w:r>
      <w:r>
        <w:rPr>
          <w:rFonts w:ascii="Google Sans" w:eastAsia="Google Sans" w:hAnsi="Google Sans" w:cs="Google Sans"/>
          <w:b/>
        </w:rPr>
        <w:t>_  Payment Card Industry Data Security Standard (PCI DSS)</w:t>
      </w:r>
    </w:p>
    <w:p w14:paraId="330A4064" w14:textId="77777777" w:rsidR="00AF400B" w:rsidRDefault="00000000">
      <w:pPr>
        <w:spacing w:after="200" w:line="360" w:lineRule="auto"/>
        <w:ind w:left="720"/>
        <w:rPr>
          <w:rFonts w:ascii="Google Sans" w:eastAsia="Google Sans" w:hAnsi="Google Sans" w:cs="Google Sans"/>
        </w:rPr>
      </w:pPr>
      <w:r>
        <w:rPr>
          <w:rFonts w:ascii="Google Sans" w:eastAsia="Google Sans" w:hAnsi="Google Sans" w:cs="Google Sans"/>
        </w:rPr>
        <w:lastRenderedPageBreak/>
        <w:t xml:space="preserve">PCI DSS is an international security standard meant to ensure that organizations storing, accepting, processing, and transmitting credit card information do so in a secure environment. </w:t>
      </w:r>
    </w:p>
    <w:p w14:paraId="2B54F9EC" w14:textId="49A4FF99" w:rsidR="00AF400B" w:rsidRDefault="00000000">
      <w:pPr>
        <w:spacing w:after="200" w:line="360" w:lineRule="auto"/>
        <w:ind w:left="720"/>
        <w:rPr>
          <w:rFonts w:ascii="Google Sans" w:eastAsia="Google Sans" w:hAnsi="Google Sans" w:cs="Google Sans"/>
        </w:rPr>
      </w:pPr>
      <w:r>
        <w:rPr>
          <w:rFonts w:ascii="Google Sans" w:eastAsia="Google Sans" w:hAnsi="Google Sans" w:cs="Google Sans"/>
          <w:b/>
        </w:rPr>
        <w:t xml:space="preserve">Explanation: </w:t>
      </w:r>
      <w:proofErr w:type="spellStart"/>
      <w:r>
        <w:rPr>
          <w:rFonts w:ascii="Google Sans" w:eastAsia="Google Sans" w:hAnsi="Google Sans" w:cs="Google Sans"/>
        </w:rPr>
        <w:t>Botium</w:t>
      </w:r>
      <w:proofErr w:type="spellEnd"/>
      <w:r>
        <w:rPr>
          <w:rFonts w:ascii="Google Sans" w:eastAsia="Google Sans" w:hAnsi="Google Sans" w:cs="Google Sans"/>
        </w:rPr>
        <w:t xml:space="preserve"> Toys </w:t>
      </w:r>
      <w:r w:rsidR="009A64F0">
        <w:rPr>
          <w:rFonts w:ascii="Google Sans" w:eastAsia="Google Sans" w:hAnsi="Google Sans" w:cs="Google Sans"/>
        </w:rPr>
        <w:t xml:space="preserve">must adhere to PCI DSS if it stores, processes, or transmits credit card information. PCI DSS is an international security standard designed to ensure that organizations handle credit card data securely and protect it from unauthorized access, use, or disclosure. Adhering to PCI DSS helps </w:t>
      </w:r>
      <w:proofErr w:type="spellStart"/>
      <w:r w:rsidR="009A64F0">
        <w:rPr>
          <w:rFonts w:ascii="Google Sans" w:eastAsia="Google Sans" w:hAnsi="Google Sans" w:cs="Google Sans"/>
        </w:rPr>
        <w:t>Botium</w:t>
      </w:r>
      <w:proofErr w:type="spellEnd"/>
      <w:r w:rsidR="009A64F0">
        <w:rPr>
          <w:rFonts w:ascii="Google Sans" w:eastAsia="Google Sans" w:hAnsi="Google Sans" w:cs="Google Sans"/>
        </w:rPr>
        <w:t xml:space="preserve"> Toys prevent credit card fraud and protect its customers' financial information</w:t>
      </w:r>
      <w:r>
        <w:rPr>
          <w:rFonts w:ascii="Google Sans" w:eastAsia="Google Sans" w:hAnsi="Google Sans" w:cs="Google Sans"/>
        </w:rPr>
        <w:t>.</w:t>
      </w:r>
    </w:p>
    <w:p w14:paraId="7604920C" w14:textId="77777777" w:rsidR="00AF400B" w:rsidRDefault="00000000">
      <w:pPr>
        <w:spacing w:after="200" w:line="360" w:lineRule="auto"/>
        <w:rPr>
          <w:rFonts w:ascii="Google Sans" w:eastAsia="Google Sans" w:hAnsi="Google Sans" w:cs="Google Sans"/>
          <w:b/>
        </w:rPr>
      </w:pPr>
      <w:r>
        <w:rPr>
          <w:rFonts w:ascii="Google Sans" w:eastAsia="Google Sans" w:hAnsi="Google Sans" w:cs="Google Sans"/>
          <w:b/>
        </w:rPr>
        <w:t>_____ The Health Insurance Portability and Accountability Act (HIPAA)</w:t>
      </w:r>
    </w:p>
    <w:p w14:paraId="2863C2DB" w14:textId="77777777" w:rsidR="00AF400B" w:rsidRDefault="00000000">
      <w:pPr>
        <w:spacing w:after="200" w:line="360" w:lineRule="auto"/>
        <w:ind w:left="720"/>
        <w:rPr>
          <w:rFonts w:ascii="Google Sans" w:eastAsia="Google Sans" w:hAnsi="Google Sans" w:cs="Google Sans"/>
        </w:rPr>
      </w:pPr>
      <w:r>
        <w:rPr>
          <w:rFonts w:ascii="Google Sans" w:eastAsia="Google Sans" w:hAnsi="Google Sans" w:cs="Google Sans"/>
        </w:rPr>
        <w:t xml:space="preserve">HIPAA is a federal law established in 1996 to protect U.S. patients' health information. This law prohibits patient information from being shared without their consent. Organizations have a legal obligation to inform patients of a breach. </w:t>
      </w:r>
    </w:p>
    <w:p w14:paraId="16372600" w14:textId="6A6E3C99" w:rsidR="00AF400B" w:rsidRDefault="00000000">
      <w:pPr>
        <w:spacing w:after="200" w:line="360" w:lineRule="auto"/>
        <w:ind w:left="720"/>
        <w:rPr>
          <w:rFonts w:ascii="Google Sans" w:eastAsia="Google Sans" w:hAnsi="Google Sans" w:cs="Google Sans"/>
        </w:rPr>
      </w:pPr>
      <w:r>
        <w:rPr>
          <w:rFonts w:ascii="Google Sans" w:eastAsia="Google Sans" w:hAnsi="Google Sans" w:cs="Google Sans"/>
          <w:b/>
        </w:rPr>
        <w:t xml:space="preserve">Explanation: </w:t>
      </w:r>
      <w:proofErr w:type="spellStart"/>
      <w:r>
        <w:rPr>
          <w:rFonts w:ascii="Google Sans" w:eastAsia="Google Sans" w:hAnsi="Google Sans" w:cs="Google Sans"/>
        </w:rPr>
        <w:t>Botium</w:t>
      </w:r>
      <w:proofErr w:type="spellEnd"/>
      <w:r>
        <w:rPr>
          <w:rFonts w:ascii="Google Sans" w:eastAsia="Google Sans" w:hAnsi="Google Sans" w:cs="Google Sans"/>
        </w:rPr>
        <w:t xml:space="preserve"> Toys is unlikely to need to adhere to HIPAA unless they handle protected health information (PHI) of US patients, which is unlikely given that </w:t>
      </w:r>
      <w:proofErr w:type="spellStart"/>
      <w:r>
        <w:rPr>
          <w:rFonts w:ascii="Google Sans" w:eastAsia="Google Sans" w:hAnsi="Google Sans" w:cs="Google Sans"/>
        </w:rPr>
        <w:t>Botium</w:t>
      </w:r>
      <w:proofErr w:type="spellEnd"/>
      <w:r>
        <w:rPr>
          <w:rFonts w:ascii="Google Sans" w:eastAsia="Google Sans" w:hAnsi="Google Sans" w:cs="Google Sans"/>
        </w:rPr>
        <w:t xml:space="preserve"> Toys is a toy company. HIPAA is a US federal law that sets national standards for </w:t>
      </w:r>
      <w:r w:rsidR="009A64F0">
        <w:rPr>
          <w:rFonts w:ascii="Google Sans" w:eastAsia="Google Sans" w:hAnsi="Google Sans" w:cs="Google Sans"/>
        </w:rPr>
        <w:t>protecting</w:t>
      </w:r>
      <w:r>
        <w:rPr>
          <w:rFonts w:ascii="Google Sans" w:eastAsia="Google Sans" w:hAnsi="Google Sans" w:cs="Google Sans"/>
        </w:rPr>
        <w:t xml:space="preserve"> PHI, including </w:t>
      </w:r>
      <w:r w:rsidR="009A64F0">
        <w:rPr>
          <w:rFonts w:ascii="Google Sans" w:eastAsia="Google Sans" w:hAnsi="Google Sans" w:cs="Google Sans"/>
        </w:rPr>
        <w:t>its use, disclosure, and security requirements</w:t>
      </w:r>
      <w:r>
        <w:rPr>
          <w:rFonts w:ascii="Google Sans" w:eastAsia="Google Sans" w:hAnsi="Google Sans" w:cs="Google Sans"/>
        </w:rPr>
        <w:t>. Adhering to HIPAA ensures that PHI is handled and protected appropriately and helps prevent unauthorized access or disclosure of patients' sensitive health information.</w:t>
      </w:r>
    </w:p>
    <w:p w14:paraId="5CB98AB1" w14:textId="77777777" w:rsidR="00AF400B" w:rsidRDefault="00000000">
      <w:pPr>
        <w:spacing w:after="200" w:line="360" w:lineRule="auto"/>
        <w:rPr>
          <w:rFonts w:ascii="Google Sans" w:eastAsia="Google Sans" w:hAnsi="Google Sans" w:cs="Google Sans"/>
          <w:b/>
        </w:rPr>
      </w:pPr>
      <w:r>
        <w:rPr>
          <w:rFonts w:ascii="Google Sans" w:eastAsia="Google Sans" w:hAnsi="Google Sans" w:cs="Google Sans"/>
          <w:b/>
        </w:rPr>
        <w:t>__</w:t>
      </w:r>
      <w:r>
        <w:rPr>
          <w:rFonts w:ascii="Segoe UI Symbol" w:eastAsia="Segoe UI Symbol" w:hAnsi="Segoe UI Symbol" w:cs="Segoe UI Symbol"/>
          <w:b/>
        </w:rPr>
        <w:t>✓</w:t>
      </w:r>
      <w:r>
        <w:rPr>
          <w:rFonts w:ascii="Google Sans" w:eastAsia="Google Sans" w:hAnsi="Google Sans" w:cs="Google Sans"/>
          <w:b/>
        </w:rPr>
        <w:t>_ System and Organizations Controls (SOC type 1, SOC type 2)</w:t>
      </w:r>
    </w:p>
    <w:p w14:paraId="550A8716" w14:textId="7B1C1434" w:rsidR="00AF400B" w:rsidRDefault="00000000">
      <w:pPr>
        <w:spacing w:after="200" w:line="360" w:lineRule="auto"/>
        <w:ind w:left="720"/>
        <w:rPr>
          <w:rFonts w:ascii="Google Sans" w:eastAsia="Google Sans" w:hAnsi="Google Sans" w:cs="Google Sans"/>
          <w:b/>
        </w:rPr>
      </w:pPr>
      <w:r>
        <w:rPr>
          <w:rFonts w:ascii="Google Sans" w:eastAsia="Google Sans" w:hAnsi="Google Sans" w:cs="Google Sans"/>
        </w:rPr>
        <w:t xml:space="preserve">The SOC1 and SOC2 are </w:t>
      </w:r>
      <w:r w:rsidR="009A64F0">
        <w:rPr>
          <w:rFonts w:ascii="Google Sans" w:eastAsia="Google Sans" w:hAnsi="Google Sans" w:cs="Google Sans"/>
        </w:rPr>
        <w:t>reports focusing</w:t>
      </w:r>
      <w:r>
        <w:rPr>
          <w:rFonts w:ascii="Google Sans" w:eastAsia="Google Sans" w:hAnsi="Google Sans" w:cs="Google Sans"/>
        </w:rPr>
        <w:t xml:space="preserve"> on an organization's user access policies at different organizational levels. They are used to assess an organization’s financial compliance and </w:t>
      </w:r>
      <w:r w:rsidR="009A64F0">
        <w:rPr>
          <w:rFonts w:ascii="Google Sans" w:eastAsia="Google Sans" w:hAnsi="Google Sans" w:cs="Google Sans"/>
        </w:rPr>
        <w:t>risk levels</w:t>
      </w:r>
      <w:r>
        <w:rPr>
          <w:rFonts w:ascii="Google Sans" w:eastAsia="Google Sans" w:hAnsi="Google Sans" w:cs="Google Sans"/>
        </w:rPr>
        <w:t>. They also cover confidentiality, privacy, integrity, availability, security, and data safety. Control failures in these areas can lead to fraud.</w:t>
      </w:r>
    </w:p>
    <w:p w14:paraId="0FED2838" w14:textId="6E6BC478" w:rsidR="00AF400B" w:rsidRDefault="00000000">
      <w:pPr>
        <w:spacing w:after="200" w:line="360" w:lineRule="auto"/>
        <w:ind w:left="720"/>
        <w:rPr>
          <w:rFonts w:ascii="Google Sans" w:eastAsia="Google Sans" w:hAnsi="Google Sans" w:cs="Google Sans"/>
        </w:rPr>
      </w:pPr>
      <w:r>
        <w:rPr>
          <w:rFonts w:ascii="Google Sans" w:eastAsia="Google Sans" w:hAnsi="Google Sans" w:cs="Google Sans"/>
          <w:b/>
        </w:rPr>
        <w:t xml:space="preserve">Explanation: </w:t>
      </w:r>
      <w:proofErr w:type="spellStart"/>
      <w:r>
        <w:rPr>
          <w:rFonts w:ascii="Google Sans" w:eastAsia="Google Sans" w:hAnsi="Google Sans" w:cs="Google Sans"/>
        </w:rPr>
        <w:t>Botium</w:t>
      </w:r>
      <w:proofErr w:type="spellEnd"/>
      <w:r>
        <w:rPr>
          <w:rFonts w:ascii="Google Sans" w:eastAsia="Google Sans" w:hAnsi="Google Sans" w:cs="Google Sans"/>
        </w:rPr>
        <w:t xml:space="preserve"> Toys may need to adhere to SOC type 1 or SOC type 2 if they handle financial information, such as payroll or accounting records. SOC type 1 and SOC type 2 are reports that evaluate the effectiveness of an organization's controls related to financial reporting and data security. Adhering to SOC type 1 or SOC type 2 </w:t>
      </w:r>
      <w:r>
        <w:rPr>
          <w:rFonts w:ascii="Google Sans" w:eastAsia="Google Sans" w:hAnsi="Google Sans" w:cs="Google Sans"/>
        </w:rPr>
        <w:lastRenderedPageBreak/>
        <w:t xml:space="preserve">helps ensure that </w:t>
      </w:r>
      <w:proofErr w:type="spellStart"/>
      <w:r>
        <w:rPr>
          <w:rFonts w:ascii="Google Sans" w:eastAsia="Google Sans" w:hAnsi="Google Sans" w:cs="Google Sans"/>
        </w:rPr>
        <w:t>Botium</w:t>
      </w:r>
      <w:proofErr w:type="spellEnd"/>
      <w:r>
        <w:rPr>
          <w:rFonts w:ascii="Google Sans" w:eastAsia="Google Sans" w:hAnsi="Google Sans" w:cs="Google Sans"/>
        </w:rPr>
        <w:t xml:space="preserve"> Toys' financial data is accurate, complete, and secure and </w:t>
      </w:r>
      <w:r w:rsidR="009A64F0">
        <w:rPr>
          <w:rFonts w:ascii="Google Sans" w:eastAsia="Google Sans" w:hAnsi="Google Sans" w:cs="Google Sans"/>
        </w:rPr>
        <w:t>has</w:t>
      </w:r>
      <w:r>
        <w:rPr>
          <w:rFonts w:ascii="Google Sans" w:eastAsia="Google Sans" w:hAnsi="Google Sans" w:cs="Google Sans"/>
        </w:rPr>
        <w:t xml:space="preserve"> appropriate controls to prevent fraud or errors.</w:t>
      </w:r>
    </w:p>
    <w:sectPr w:rsidR="00AF4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oogle Sans">
    <w:altName w:val="Cambria"/>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F400B"/>
    <w:rsid w:val="006839C6"/>
    <w:rsid w:val="009A64F0"/>
    <w:rsid w:val="00AF4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3C9071"/>
  <w15:docId w15:val="{E59096D8-F4EF-4713-851B-140F015C4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ra.org/learn/foundations-of-cybersecurity/supplement/xu4pr/controls-frameworks-and-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638</Words>
  <Characters>3523</Characters>
  <Application>Microsoft Office Word</Application>
  <DocSecurity>0</DocSecurity>
  <Lines>58</Lines>
  <Paragraphs>22</Paragraphs>
  <ScaleCrop>false</ScaleCrop>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Alexis Collier</cp:lastModifiedBy>
  <cp:revision>2</cp:revision>
  <dcterms:created xsi:type="dcterms:W3CDTF">2024-06-23T19:04:00Z</dcterms:created>
  <dcterms:modified xsi:type="dcterms:W3CDTF">2024-06-23T19:05:00Z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094e1a9181b6e41c87e9f7745e4d312cf949d1343e2e42f744439832a7ea2d08</vt:lpwstr>
  </property>
</Properties>
</file>