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[基础土方、砖基础]施工流程</w:t>
      </w:r>
    </w:p>
    <w:bookmarkStart w:id="23" w:name="施工准备阶段"/>
    <w:p>
      <w:pPr>
        <w:pStyle w:val="3"/>
      </w:pPr>
      <w:r>
        <w:rPr>
          <w:rFonts w:hint="eastAsia"/>
        </w:rPr>
        <w:t xml:space="preserve">施工准备阶段</w:t>
      </w:r>
    </w:p>
    <w:bookmarkStart w:id="20" w:name="人力筹备"/>
    <w:p>
      <w:pPr>
        <w:pStyle w:val="4"/>
      </w:pPr>
      <w:r>
        <w:rPr>
          <w:rFonts w:hint="eastAsia"/>
        </w:rPr>
        <w:t xml:space="preserve">人力筹备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人员职责分工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项目经理</w:t>
      </w:r>
      <w:r>
        <w:rPr>
          <w:rFonts w:hint="eastAsia"/>
        </w:rPr>
        <w:t xml:space="preserve">：全面负责整个工程的统筹规划、协调和管理，制定施工进度计划，调配人力、物力资源，监督工程质量和安全。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技术负责人</w:t>
      </w:r>
      <w:r>
        <w:rPr>
          <w:rFonts w:hint="eastAsia"/>
        </w:rPr>
        <w:t xml:space="preserve">：负责施工图纸的审核、技术交底，解决施工过程中的技术问题，制定施工方案和质量控制措施。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施工员</w:t>
      </w:r>
      <w:r>
        <w:rPr>
          <w:rFonts w:hint="eastAsia"/>
        </w:rPr>
        <w:t xml:space="preserve">：按照施工进度计划组织施工人员进行施工，安排各施工班组的工作任务，现场指导施工操作，确保施工符合规范要求。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质检员</w:t>
      </w:r>
      <w:r>
        <w:rPr>
          <w:rFonts w:hint="eastAsia"/>
        </w:rPr>
        <w:t xml:space="preserve">：对施工过程中的每一道工序进行质量检查和验收，按照质量标准严格把关，对不合格的工序及时要求整改。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安全员</w:t>
      </w:r>
      <w:r>
        <w:rPr>
          <w:rFonts w:hint="eastAsia"/>
        </w:rPr>
        <w:t xml:space="preserve">：负责施工现场的安全管理，制定安全制度和安全操作规程，进行安全宣传教育，排查安全隐患，确保施工人员的人身安全和财产安全。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测量员</w:t>
      </w:r>
      <w:r>
        <w:rPr>
          <w:rFonts w:hint="eastAsia"/>
        </w:rPr>
        <w:t xml:space="preserve">：根据设计图纸和现场控制点，进行建筑物的定位放线、标高测量和沉降观测等工作，为施工提供准确的测量数据。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材料员</w:t>
      </w:r>
      <w:r>
        <w:rPr>
          <w:rFonts w:hint="eastAsia"/>
        </w:rPr>
        <w:t xml:space="preserve">：负责工程所需材料的采购、供应和管理，确保材料的质量和供应及时，做好材料的验收、储存和发放工作。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各施工班组</w:t>
      </w:r>
      <w:r>
        <w:rPr>
          <w:rFonts w:hint="eastAsia"/>
        </w:rPr>
        <w:t xml:space="preserve">：包括土方开挖班组、砖基础砌筑班组等，按照施工员的安排，具体负责土方开挖、砖基础砌筑等施工操作。</w:t>
      </w:r>
    </w:p>
    <w:bookmarkEnd w:id="20"/>
    <w:bookmarkStart w:id="21" w:name="物力筹备"/>
    <w:p>
      <w:pPr>
        <w:pStyle w:val="4"/>
      </w:pPr>
      <w:r>
        <w:rPr>
          <w:rFonts w:hint="eastAsia"/>
        </w:rPr>
        <w:t xml:space="preserve">物力筹备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土方工程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机械设备</w:t>
      </w:r>
      <w:r>
        <w:rPr>
          <w:rFonts w:hint="eastAsia"/>
        </w:rPr>
        <w:t xml:space="preserve">：挖掘机（根据工程规模选择合适型号，如小型工程可选用</w:t>
      </w:r>
      <w:r>
        <w:t xml:space="preserve"> 0.5 - 1 </w:t>
      </w:r>
      <w:r>
        <w:rPr>
          <w:rFonts w:hint="eastAsia"/>
        </w:rPr>
        <w:t xml:space="preserve">立方米斗容量的挖掘机，大型工程可选用</w:t>
      </w:r>
      <w:r>
        <w:t xml:space="preserve"> 1 - 2 </w:t>
      </w:r>
      <w:r>
        <w:rPr>
          <w:rFonts w:hint="eastAsia"/>
        </w:rPr>
        <w:t xml:space="preserve">立方米斗容量的挖掘机）、装载机（常用斗容量为</w:t>
      </w:r>
      <w:r>
        <w:t xml:space="preserve"> 1.5 - 3 </w:t>
      </w:r>
      <w:r>
        <w:rPr>
          <w:rFonts w:hint="eastAsia"/>
        </w:rPr>
        <w:t xml:space="preserve">立方米）、推土机（功率根据场地大小和土方推运距离选择，一般为</w:t>
      </w:r>
      <w:r>
        <w:t xml:space="preserve"> 75 - 165 </w:t>
      </w:r>
      <w:r>
        <w:rPr>
          <w:rFonts w:hint="eastAsia"/>
        </w:rPr>
        <w:t xml:space="preserve">千瓦）、自卸汽车（载重量根据运输距离和土方量确定，常用</w:t>
      </w:r>
      <w:r>
        <w:t xml:space="preserve"> 5 - 20 </w:t>
      </w:r>
      <w:r>
        <w:rPr>
          <w:rFonts w:hint="eastAsia"/>
        </w:rPr>
        <w:t xml:space="preserve">吨）、压路机（静作用压路机常用</w:t>
      </w:r>
      <w:r>
        <w:t xml:space="preserve"> 8 - 12 </w:t>
      </w:r>
      <w:r>
        <w:rPr>
          <w:rFonts w:hint="eastAsia"/>
        </w:rPr>
        <w:t xml:space="preserve">吨，振动压路机常用</w:t>
      </w:r>
      <w:r>
        <w:t xml:space="preserve"> 10 - 20 </w:t>
      </w:r>
      <w:r>
        <w:rPr>
          <w:rFonts w:hint="eastAsia"/>
        </w:rPr>
        <w:t xml:space="preserve">吨）、水准仪、经纬仪等测量仪器。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：铁锹、镐、钢卷尺、坡度尺等。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砖基础工程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材料</w:t>
      </w:r>
      <w:r>
        <w:rPr>
          <w:rFonts w:hint="eastAsia"/>
        </w:rPr>
        <w:t xml:space="preserve">：砖（根据设计要求选择合适的砖种，如烧结普通砖、混凝土多孔砖等，砖的强度等级应符合设计要求）、水泥（常用硅酸盐水泥、普通硅酸盐水泥，强度等级一般为</w:t>
      </w:r>
      <w:r>
        <w:t xml:space="preserve"> 32.5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42.5）、砂（中砂或粗砂，含泥量不超过</w:t>
      </w:r>
      <w:r>
        <w:t xml:space="preserve"> </w:t>
      </w:r>
      <w:r>
        <w:rPr>
          <w:rFonts w:hint="eastAsia"/>
        </w:rPr>
        <w:t xml:space="preserve">5%）、石灰膏（熟化时间不少于</w:t>
      </w:r>
      <w:r>
        <w:t xml:space="preserve"> 15 </w:t>
      </w:r>
      <w:r>
        <w:rPr>
          <w:rFonts w:hint="eastAsia"/>
        </w:rPr>
        <w:t xml:space="preserve">天）、水（饮用水或符合国家标准的非饮用水）。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机械设备</w:t>
      </w:r>
      <w:r>
        <w:rPr>
          <w:rFonts w:hint="eastAsia"/>
        </w:rPr>
        <w:t xml:space="preserve">：搅拌机（根据工程量大小选择合适的型号，常用</w:t>
      </w:r>
      <w:r>
        <w:t xml:space="preserve"> 250 - 500 </w:t>
      </w:r>
      <w:r>
        <w:rPr>
          <w:rFonts w:hint="eastAsia"/>
        </w:rPr>
        <w:t xml:space="preserve">升）、垂直运输设备（如龙门架、塔吊等，根据建筑物高度和施工场地条件选择）。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：瓦刀、大铲、托线板、线坠、皮数杆、水平尺、灰桶、筛子等。</w:t>
      </w:r>
    </w:p>
    <w:bookmarkEnd w:id="21"/>
    <w:bookmarkStart w:id="22" w:name="技术筹备"/>
    <w:p>
      <w:pPr>
        <w:pStyle w:val="4"/>
      </w:pPr>
      <w:r>
        <w:rPr>
          <w:rFonts w:hint="eastAsia"/>
        </w:rPr>
        <w:t xml:space="preserve">技术筹备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熟悉施工图纸</w:t>
      </w:r>
      <w:r>
        <w:rPr>
          <w:rFonts w:hint="eastAsia"/>
        </w:rPr>
        <w:t xml:space="preserve">：组织相关人员对施工图纸进行会审，理解设计意图，明确基础的尺寸、标高、结构形式等技术要求，对图纸中存在的问题及时与设计单位沟通解决。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编制施工方案</w:t>
      </w:r>
      <w:r>
        <w:rPr>
          <w:rFonts w:hint="eastAsia"/>
        </w:rPr>
        <w:t xml:space="preserve">：根据工程特点、地质条件、现场环境等因素，编制详细的基础土方和砖基础施工方案，包括施工工艺、施工进度计划、质量保证措施、安全保证措施等内容。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技术交底</w:t>
      </w:r>
      <w:r>
        <w:rPr>
          <w:rFonts w:hint="eastAsia"/>
        </w:rPr>
        <w:t xml:space="preserve">：由技术负责人向施工员、质检员、安全员和各施工班组进行技术交底，详细讲解施工工艺、质量标准、安全注意事项等内容，使施工人员熟悉施工要求。</w:t>
      </w:r>
    </w:p>
    <w:bookmarkEnd w:id="22"/>
    <w:bookmarkEnd w:id="23"/>
    <w:bookmarkStart w:id="27" w:name="基础土方施工阶段"/>
    <w:p>
      <w:pPr>
        <w:pStyle w:val="3"/>
      </w:pPr>
      <w:r>
        <w:rPr>
          <w:rFonts w:hint="eastAsia"/>
        </w:rPr>
        <w:t xml:space="preserve">基础土方施工阶段</w:t>
      </w:r>
    </w:p>
    <w:bookmarkStart w:id="24" w:name="测量放线"/>
    <w:p>
      <w:pPr>
        <w:pStyle w:val="4"/>
      </w:pPr>
      <w:r>
        <w:rPr>
          <w:rFonts w:hint="eastAsia"/>
        </w:rPr>
        <w:t xml:space="preserve">测量放线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操作方法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根据现场控制点和设计图纸，使用经纬仪、水准仪和钢卷尺等测量仪器，进行建筑物的定位放线，确定基础的轴线和边线，并设置控制桩和水准点。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在基础开挖边界上撒上白灰线，作为开挖的标志。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使用工具及操作要点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经纬仪</w:t>
      </w:r>
      <w:r>
        <w:rPr>
          <w:rFonts w:hint="eastAsia"/>
        </w:rPr>
        <w:t xml:space="preserve">：使用前应进行校准，安置仪器时要严格对中、整平。操作时按照操作规程进行角度测量，读取数据要准确。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水准仪</w:t>
      </w:r>
      <w:r>
        <w:rPr>
          <w:rFonts w:hint="eastAsia"/>
        </w:rPr>
        <w:t xml:space="preserve">：安置时要确保仪器水平，读取水准尺读数时要注意视线水平，避免误差。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钢卷尺</w:t>
      </w:r>
      <w:r>
        <w:rPr>
          <w:rFonts w:hint="eastAsia"/>
        </w:rPr>
        <w:t xml:space="preserve">：使用时要拉紧，避免弯曲和扭曲，测量长度时要准确读数。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质量控制要点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轴线偏差不得超过规范允许值（一般为±10mm），标高偏差不得超过±5mm。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控制桩和水准点要妥善保护，定期进行复核。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潜在风险及预防措施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风险：测量误差导致基础位置偏移。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预防措施：测量人员要经过专业培训，严格按照测量规范进行操作，测量成果要进行反复核对。</w:t>
      </w:r>
    </w:p>
    <w:bookmarkEnd w:id="24"/>
    <w:bookmarkStart w:id="25" w:name="土方开挖"/>
    <w:p>
      <w:pPr>
        <w:pStyle w:val="4"/>
      </w:pPr>
      <w:r>
        <w:rPr>
          <w:rFonts w:hint="eastAsia"/>
        </w:rPr>
        <w:t xml:space="preserve">土方开挖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操作方法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根据基础的尺寸和深度，确定开挖方式。一般采用机械开挖为主，人工配合清底的方式。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挖掘机按照分层分段的原则进行开挖，每层开挖深度不宜超过</w:t>
      </w:r>
      <w:r>
        <w:t xml:space="preserve"> </w:t>
      </w:r>
      <w:r>
        <w:rPr>
          <w:rFonts w:hint="eastAsia"/>
        </w:rPr>
        <w:t xml:space="preserve">2m，分段长度根据现场情况确定。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在开挖过程中，要随时检查开挖的深度和宽度，避免超挖或欠挖。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当接近基底设计标高时，预留</w:t>
      </w:r>
      <w:r>
        <w:t xml:space="preserve"> 200 - 300mm </w:t>
      </w:r>
      <w:r>
        <w:rPr>
          <w:rFonts w:hint="eastAsia"/>
        </w:rPr>
        <w:t xml:space="preserve">厚的土层由人工进行清理，以防止机械扰动基底土。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使用工具及操作要点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挖掘机</w:t>
      </w:r>
      <w:r>
        <w:rPr>
          <w:rFonts w:hint="eastAsia"/>
        </w:rPr>
        <w:t xml:space="preserve">：操作人员要熟悉挖掘机的性能和操作规程，根据土质情况选择合适的挖掘方法和挖掘深度。挖掘时要注意避免碰撞控制桩和水准点。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装载机</w:t>
      </w:r>
      <w:r>
        <w:rPr>
          <w:rFonts w:hint="eastAsia"/>
        </w:rPr>
        <w:t xml:space="preserve">：配合挖掘机进行土方的装载和运输，装载时要均匀、平稳，避免超载。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自卸汽车</w:t>
      </w:r>
      <w:r>
        <w:rPr>
          <w:rFonts w:hint="eastAsia"/>
        </w:rPr>
        <w:t xml:space="preserve">：运输土方时要按照指定路线行驶，避免在施工现场随意掉头和急刹车。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质量控制要点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基底标高偏差不得超过</w:t>
      </w:r>
      <w:r>
        <w:t xml:space="preserve"> - </w:t>
      </w:r>
      <w:r>
        <w:rPr>
          <w:rFonts w:hint="eastAsia"/>
        </w:rPr>
        <w:t xml:space="preserve">50mm，基础尺寸偏差不得超过±20mm。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基底土不得扰动，如发现基底土被扰动，应及时采取处理措施。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潜在风险及预防措施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风险：边坡塌方。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预防措施：根据土质情况和开挖深度，确定合理的边坡坡度。在开挖过程中，要随时观察边坡的稳定性，如发现有裂缝、滑动等迹象，应立即停止开挖，并采取相应的支护措施。</w:t>
      </w:r>
    </w:p>
    <w:bookmarkEnd w:id="25"/>
    <w:bookmarkStart w:id="26" w:name="土方回填"/>
    <w:p>
      <w:pPr>
        <w:pStyle w:val="4"/>
      </w:pPr>
      <w:r>
        <w:rPr>
          <w:rFonts w:hint="eastAsia"/>
        </w:rPr>
        <w:t xml:space="preserve">土方回填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操作方法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基础施工完毕并经验收合格后，方可进行土方回填。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回填土应采用符合设计要求的土料，不得含有杂质、有机物等。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回填土应分层铺填，每层铺土厚度不宜超过</w:t>
      </w:r>
      <w:r>
        <w:t xml:space="preserve"> </w:t>
      </w:r>
      <w:r>
        <w:rPr>
          <w:rFonts w:hint="eastAsia"/>
        </w:rPr>
        <w:t xml:space="preserve">300mm，采用机械夯实或人工夯实。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回填土应从基础两侧同时进行，避免基础单侧受力。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使用工具及操作要点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压路机</w:t>
      </w:r>
      <w:r>
        <w:rPr>
          <w:rFonts w:hint="eastAsia"/>
        </w:rPr>
        <w:t xml:space="preserve">：碾压时应遵循“先轻后重、先慢后快、先边缘后中间”的原则，碾压遍数不少于</w:t>
      </w:r>
      <w:r>
        <w:t xml:space="preserve"> 4 - 6 </w:t>
      </w:r>
      <w:r>
        <w:rPr>
          <w:rFonts w:hint="eastAsia"/>
        </w:rPr>
        <w:t xml:space="preserve">遍。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蛙式打夯机</w:t>
      </w:r>
      <w:r>
        <w:rPr>
          <w:rFonts w:hint="eastAsia"/>
        </w:rPr>
        <w:t xml:space="preserve">：操作时要两人配合，一人扶夯，一人拉电缆，夯机前进方向应一致，相邻两次夯痕应重叠</w:t>
      </w:r>
      <w:r>
        <w:t xml:space="preserve"> 1/3 - 1/2 </w:t>
      </w:r>
      <w:r>
        <w:rPr>
          <w:rFonts w:hint="eastAsia"/>
        </w:rPr>
        <w:t xml:space="preserve">夯底宽度。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质量控制要点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回填土的压实系数应符合设计要求，一般不小于</w:t>
      </w:r>
      <w:r>
        <w:t xml:space="preserve"> 0.94。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回填土的标高偏差不得超过±50mm。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潜在风险及预防措施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风险：回填土下沉。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预防措施：严格控制回填土的质量，确保土料符合设计要求。回填土应分层夯实，每层压实系数要达到设计标准。</w:t>
      </w:r>
    </w:p>
    <w:bookmarkEnd w:id="26"/>
    <w:bookmarkEnd w:id="27"/>
    <w:bookmarkStart w:id="31" w:name="砖基础施工阶段"/>
    <w:p>
      <w:pPr>
        <w:pStyle w:val="3"/>
      </w:pPr>
      <w:r>
        <w:rPr>
          <w:rFonts w:hint="eastAsia"/>
        </w:rPr>
        <w:t xml:space="preserve">砖基础施工阶段</w:t>
      </w:r>
    </w:p>
    <w:bookmarkStart w:id="28" w:name="砖基础砌筑准备"/>
    <w:p>
      <w:pPr>
        <w:pStyle w:val="4"/>
      </w:pPr>
      <w:r>
        <w:rPr>
          <w:rFonts w:hint="eastAsia"/>
        </w:rPr>
        <w:t xml:space="preserve">砖基础砌筑准备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操作方法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将基底表面清理干净，去除杂物、浮土等，并浇水湿润。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根据设计图纸和皮数杆的要求，在基底上弹出砖基础的轴线和边线。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准备好砌筑用的砖、水泥、砂等材料，并进行检验，确保材料质量符合要求。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使用工具及操作要点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皮数杆</w:t>
      </w:r>
      <w:r>
        <w:rPr>
          <w:rFonts w:hint="eastAsia"/>
        </w:rPr>
        <w:t xml:space="preserve">：皮数杆应垂直立在基础的转角处和交接处，皮数杆上的砖皮数、灰缝厚度等应标注清晰。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水平尺</w:t>
      </w:r>
      <w:r>
        <w:rPr>
          <w:rFonts w:hint="eastAsia"/>
        </w:rPr>
        <w:t xml:space="preserve">：用于检查皮数杆的垂直度和砖层的水平度。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质量控制要点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基底表面应平整、干净，不得有积水。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轴线和边线的偏差不得超过±5mm。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潜在风险及预防措施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风险：砖基础位置偏差。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预防措施：严格按照设计图纸和测量放线的要求进行施工，在砌筑过程中要经常检查砖基础的位置和垂直度。</w:t>
      </w:r>
    </w:p>
    <w:bookmarkEnd w:id="28"/>
    <w:bookmarkStart w:id="29" w:name="砖基础砌筑"/>
    <w:p>
      <w:pPr>
        <w:pStyle w:val="4"/>
      </w:pPr>
      <w:r>
        <w:rPr>
          <w:rFonts w:hint="eastAsia"/>
        </w:rPr>
        <w:t xml:space="preserve">砖基础砌筑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操作方法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采用“三一”砌筑法，即一铲灰、一块砖、一揉压。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砖基础应采用丁砖与顺砖相间砌筑，上下皮砖的竖向灰缝应相互错开</w:t>
      </w:r>
      <w:r>
        <w:t xml:space="preserve"> 1/4 </w:t>
      </w:r>
      <w:r>
        <w:rPr>
          <w:rFonts w:hint="eastAsia"/>
        </w:rPr>
        <w:t xml:space="preserve">砖长。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砖基础的转角处和交接处应同时砌筑，如不能同时砌筑时，应留斜槎，斜槎长度不应小于高度的</w:t>
      </w:r>
      <w:r>
        <w:t xml:space="preserve"> 2/3。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在砌筑过程中，要随时用托线板和线坠检查砖基础的垂直度，用水平尺检查砖层的水平度。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使用工具及操作要点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  <w:b/>
          <w:bCs/>
        </w:rPr>
        <w:t xml:space="preserve">瓦刀</w:t>
      </w:r>
      <w:r>
        <w:rPr>
          <w:rFonts w:hint="eastAsia"/>
        </w:rPr>
        <w:t xml:space="preserve">：握持瓦刀时要稳，将灰浆均匀地铺在砖面上，砖的砌筑要平整、垂直。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  <w:b/>
          <w:bCs/>
        </w:rPr>
        <w:t xml:space="preserve">大铲</w:t>
      </w:r>
      <w:r>
        <w:rPr>
          <w:rFonts w:hint="eastAsia"/>
        </w:rPr>
        <w:t xml:space="preserve">：用于铲灰和铺灰，操作时要掌握好灰浆的用量和铺灰的厚度。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质量控制要点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砖的品种、强度等级必须符合设计要求。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砖基础的灰缝厚度应为</w:t>
      </w:r>
      <w:r>
        <w:t xml:space="preserve"> </w:t>
      </w:r>
      <w:r>
        <w:rPr>
          <w:rFonts w:hint="eastAsia"/>
        </w:rPr>
        <w:t xml:space="preserve">10mm，允许偏差为±2mm。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砖基础的垂直度偏差不得超过</w:t>
      </w:r>
      <w:r>
        <w:t xml:space="preserve"> </w:t>
      </w:r>
      <w:r>
        <w:rPr>
          <w:rFonts w:hint="eastAsia"/>
        </w:rPr>
        <w:t xml:space="preserve">5mm，表面平整度偏差不得超过</w:t>
      </w:r>
      <w:r>
        <w:t xml:space="preserve"> 8mm。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潜在风险及预防措施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风险：砖基础灰缝不饱满、通缝等质量问题。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预防措施：严格控制灰浆的配合比和稠度，确保灰浆饱满。砌筑时要按照正确的砌筑方法进行施工，避免通缝现象的发生。</w:t>
      </w:r>
    </w:p>
    <w:bookmarkEnd w:id="29"/>
    <w:bookmarkStart w:id="30" w:name="砖基础验收"/>
    <w:p>
      <w:pPr>
        <w:pStyle w:val="4"/>
      </w:pPr>
      <w:r>
        <w:rPr>
          <w:rFonts w:hint="eastAsia"/>
        </w:rPr>
        <w:t xml:space="preserve">砖基础验收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验收标准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砖基础的轴线位置偏差不得超过</w:t>
      </w:r>
      <w:r>
        <w:t xml:space="preserve"> </w:t>
      </w:r>
      <w:r>
        <w:rPr>
          <w:rFonts w:hint="eastAsia"/>
        </w:rPr>
        <w:t xml:space="preserve">10mm，基础顶面标高偏差不得超过±15mm。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砖基础的灰缝质量应符合要求，灰缝饱满度不得低于</w:t>
      </w:r>
      <w:r>
        <w:t xml:space="preserve"> 80%。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砖基础的外观质量应符合要求，不得有裂缝、缺棱掉角等缺陷。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检验方法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采用经纬仪、水准仪、钢卷尺等测量仪器检查轴线位置和标高。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用百格网检查灰缝饱满度。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用观察法检查砖基础的外观质量。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潜在风险及应对预案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风险：验收不合格。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应对预案：如验收不合格，应及时分析原因，制定整改措施。对于轴线位置偏差、标高偏差等问题，可采取返工或局部处理的方法；对于灰缝不饱满、外观质量缺陷等问题，可采取修补、重新砌筑等方法进行处理。</w:t>
      </w:r>
    </w:p>
    <w:bookmarkEnd w:id="30"/>
    <w:bookmarkEnd w:id="31"/>
    <w:bookmarkStart w:id="32" w:name="施工收尾阶段"/>
    <w:p>
      <w:pPr>
        <w:pStyle w:val="3"/>
      </w:pPr>
      <w:r>
        <w:rPr>
          <w:rFonts w:hint="eastAsia"/>
        </w:rPr>
        <w:t xml:space="preserve">施工收尾阶段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清理施工现场</w:t>
      </w:r>
      <w:r>
        <w:rPr>
          <w:rFonts w:hint="eastAsia"/>
        </w:rPr>
        <w:t xml:space="preserve">：将施工过程中产生的建筑垃圾、剩余材料等清理干净，保持施工现场整洁。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资料整理归档</w:t>
      </w:r>
      <w:r>
        <w:rPr>
          <w:rFonts w:hint="eastAsia"/>
        </w:rPr>
        <w:t xml:space="preserve">：收集、整理施工过程中的各种资料，如施工图纸、施工记录、检验报告等，进行归档保存。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工程交付</w:t>
      </w:r>
      <w:r>
        <w:rPr>
          <w:rFonts w:hint="eastAsia"/>
        </w:rPr>
        <w:t xml:space="preserve">：完成施工收尾工作后，向建设单位提交工程交付报告，经建设单位验收合格后，办理工程交付手续。</w:t>
      </w:r>
    </w:p>
    <w:bookmarkEnd w:id="32"/>
    <w:sectPr w:rsidR="007B7875" w:rsidRPr="00AC71B9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296690C"/>
    <w:multiLevelType w:val="multilevel"/>
    <w:tmpl w:val="7316B71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">
    <w:nsid w:val="06E35BE6"/>
    <w:multiLevelType w:val="multilevel"/>
    <w:tmpl w:val="88A49FD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">
    <w:nsid w:val="0AB20730"/>
    <w:multiLevelType w:val="multilevel"/>
    <w:tmpl w:val="D884BC8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0B865337"/>
    <w:multiLevelType w:val="multilevel"/>
    <w:tmpl w:val="7DFA87C4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4">
    <w:nsid w:val="153B2481"/>
    <w:multiLevelType w:val="multilevel"/>
    <w:tmpl w:val="5E98666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5">
    <w:nsid w:val="15B87A0A"/>
    <w:multiLevelType w:val="multilevel"/>
    <w:tmpl w:val="65AAC78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">
    <w:nsid w:val="165F6F7E"/>
    <w:multiLevelType w:val="multilevel"/>
    <w:tmpl w:val="E9DEA8C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7">
    <w:nsid w:val="19BE3AEA"/>
    <w:multiLevelType w:val="multilevel"/>
    <w:tmpl w:val="BDE8E772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8">
    <w:nsid w:val="1A6F5A02"/>
    <w:multiLevelType w:val="multilevel"/>
    <w:tmpl w:val="B4C0C502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9">
    <w:nsid w:val="26107141"/>
    <w:multiLevelType w:val="multilevel"/>
    <w:tmpl w:val="4808C27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0">
    <w:nsid w:val="265F3529"/>
    <w:multiLevelType w:val="multilevel"/>
    <w:tmpl w:val="36220C2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1">
    <w:nsid w:val="2FF21D5A"/>
    <w:multiLevelType w:val="multilevel"/>
    <w:tmpl w:val="6A98D08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2">
    <w:nsid w:val="38142470"/>
    <w:multiLevelType w:val="multilevel"/>
    <w:tmpl w:val="1D801A3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3">
    <w:nsid w:val="3E3703CA"/>
    <w:multiLevelType w:val="multilevel"/>
    <w:tmpl w:val="251ADB5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4">
    <w:nsid w:val="4C2A39B3"/>
    <w:multiLevelType w:val="multilevel"/>
    <w:tmpl w:val="9068783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5">
    <w:nsid w:val="4D6C65D0"/>
    <w:multiLevelType w:val="multilevel"/>
    <w:tmpl w:val="321A81D4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6">
    <w:nsid w:val="50BF6FED"/>
    <w:multiLevelType w:val="multilevel"/>
    <w:tmpl w:val="4658F32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7">
    <w:nsid w:val="51FF5F9C"/>
    <w:multiLevelType w:val="multilevel"/>
    <w:tmpl w:val="424A93B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8">
    <w:nsid w:val="5E093AA7"/>
    <w:multiLevelType w:val="multilevel"/>
    <w:tmpl w:val="C65E938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9">
    <w:nsid w:val="5F2D19ED"/>
    <w:multiLevelType w:val="multilevel"/>
    <w:tmpl w:val="9976C51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0">
    <w:nsid w:val="609A3CC9"/>
    <w:multiLevelType w:val="multilevel"/>
    <w:tmpl w:val="7024AAC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1">
    <w:nsid w:val="68BF23E3"/>
    <w:multiLevelType w:val="multilevel"/>
    <w:tmpl w:val="EE1ADA82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68E30CF4"/>
    <w:multiLevelType w:val="multilevel"/>
    <w:tmpl w:val="3EFCB77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3">
    <w:nsid w:val="6B1258BD"/>
    <w:multiLevelType w:val="multilevel"/>
    <w:tmpl w:val="2A9ABDB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4">
    <w:nsid w:val="729469D7"/>
    <w:multiLevelType w:val="multilevel"/>
    <w:tmpl w:val="3186668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5">
    <w:nsid w:val="786875EF"/>
    <w:multiLevelType w:val="multilevel"/>
    <w:tmpl w:val="2A3C8FA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6">
    <w:nsid w:val="7A6A7A9D"/>
    <w:multiLevelType w:val="multilevel"/>
    <w:tmpl w:val="5E4E3F1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669676142" w:numId="1">
    <w:abstractNumId w:val="0"/>
  </w:num>
  <w:num w16cid:durableId="122038222" w:numId="2">
    <w:abstractNumId w:val="9"/>
  </w:num>
  <w:num w16cid:durableId="1366640723" w:numId="3">
    <w:abstractNumId w:val="9"/>
    <w:lvlOverride w:ilvl="1">
      <w:lvl w:ilvl="1">
        <w:numFmt w:val="bullet"/>
        <w:lvlText w:val=""/>
        <w:lvlJc w:val="left"/>
        <w:pPr>
          <w:tabs>
            <w:tab w:pos="1440" w:val="num"/>
          </w:tabs>
          <w:ind w:hanging="360" w:left="1440"/>
        </w:pPr>
        <w:rPr>
          <w:rFonts w:ascii="Symbol" w:hAnsi="Symbol" w:hint="default"/>
          <w:sz w:val="20"/>
        </w:rPr>
      </w:lvl>
    </w:lvlOverride>
  </w:num>
  <w:num w16cid:durableId="97604305" w:numId="4">
    <w:abstractNumId w:val="9"/>
    <w:lvlOverride w:ilvl="1">
      <w:lvl w:ilvl="1">
        <w:numFmt w:val="bullet"/>
        <w:lvlText w:val=""/>
        <w:lvlJc w:val="left"/>
        <w:pPr>
          <w:tabs>
            <w:tab w:pos="1440" w:val="num"/>
          </w:tabs>
          <w:ind w:hanging="360" w:left="1440"/>
        </w:pPr>
        <w:rPr>
          <w:rFonts w:ascii="Symbol" w:hAnsi="Symbol" w:hint="default"/>
          <w:sz w:val="20"/>
        </w:rPr>
      </w:lvl>
    </w:lvlOverride>
  </w:num>
  <w:num w16cid:durableId="979849590" w:numId="5">
    <w:abstractNumId w:val="9"/>
    <w:lvlOverride w:ilvl="1">
      <w:lvl w:ilvl="1">
        <w:numFmt w:val="bullet"/>
        <w:lvlText w:val=""/>
        <w:lvlJc w:val="left"/>
        <w:pPr>
          <w:tabs>
            <w:tab w:pos="1440" w:val="num"/>
          </w:tabs>
          <w:ind w:hanging="360" w:left="1440"/>
        </w:pPr>
        <w:rPr>
          <w:rFonts w:ascii="Symbol" w:hAnsi="Symbol" w:hint="default"/>
          <w:sz w:val="20"/>
        </w:rPr>
      </w:lvl>
    </w:lvlOverride>
  </w:num>
  <w:num w16cid:durableId="17857264" w:numId="6">
    <w:abstractNumId w:val="9"/>
    <w:lvlOverride w:ilvl="1">
      <w:lvl w:ilvl="1">
        <w:numFmt w:val="bullet"/>
        <w:lvlText w:val=""/>
        <w:lvlJc w:val="left"/>
        <w:pPr>
          <w:tabs>
            <w:tab w:pos="1440" w:val="num"/>
          </w:tabs>
          <w:ind w:hanging="360" w:left="1440"/>
        </w:pPr>
        <w:rPr>
          <w:rFonts w:ascii="Symbol" w:hAnsi="Symbol" w:hint="default"/>
          <w:sz w:val="20"/>
        </w:rPr>
      </w:lvl>
    </w:lvlOverride>
  </w:num>
  <w:num w16cid:durableId="502403506" w:numId="7">
    <w:abstractNumId w:val="9"/>
    <w:lvlOverride w:ilvl="1">
      <w:lvl w:ilvl="1">
        <w:numFmt w:val="bullet"/>
        <w:lvlText w:val=""/>
        <w:lvlJc w:val="left"/>
        <w:pPr>
          <w:tabs>
            <w:tab w:pos="1440" w:val="num"/>
          </w:tabs>
          <w:ind w:hanging="360" w:left="1440"/>
        </w:pPr>
        <w:rPr>
          <w:rFonts w:ascii="Symbol" w:hAnsi="Symbol" w:hint="default"/>
          <w:sz w:val="20"/>
        </w:rPr>
      </w:lvl>
    </w:lvlOverride>
  </w:num>
  <w:num w16cid:durableId="1652370083" w:numId="8">
    <w:abstractNumId w:val="9"/>
    <w:lvlOverride w:ilvl="1">
      <w:lvl w:ilvl="1">
        <w:numFmt w:val="bullet"/>
        <w:lvlText w:val=""/>
        <w:lvlJc w:val="left"/>
        <w:pPr>
          <w:tabs>
            <w:tab w:pos="1440" w:val="num"/>
          </w:tabs>
          <w:ind w:hanging="360" w:left="1440"/>
        </w:pPr>
        <w:rPr>
          <w:rFonts w:ascii="Symbol" w:hAnsi="Symbol" w:hint="default"/>
          <w:sz w:val="20"/>
        </w:rPr>
      </w:lvl>
    </w:lvlOverride>
  </w:num>
  <w:num w16cid:durableId="565913653" w:numId="9">
    <w:abstractNumId w:val="9"/>
    <w:lvlOverride w:ilvl="1">
      <w:lvl w:ilvl="1">
        <w:numFmt w:val="bullet"/>
        <w:lvlText w:val=""/>
        <w:lvlJc w:val="left"/>
        <w:pPr>
          <w:tabs>
            <w:tab w:pos="1440" w:val="num"/>
          </w:tabs>
          <w:ind w:hanging="360" w:left="1440"/>
        </w:pPr>
        <w:rPr>
          <w:rFonts w:ascii="Symbol" w:hAnsi="Symbol" w:hint="default"/>
          <w:sz w:val="20"/>
        </w:rPr>
      </w:lvl>
    </w:lvlOverride>
  </w:num>
  <w:num w16cid:durableId="2084259106" w:numId="10">
    <w:abstractNumId w:val="9"/>
    <w:lvlOverride w:ilvl="1">
      <w:lvl w:ilvl="1">
        <w:numFmt w:val="bullet"/>
        <w:lvlText w:val=""/>
        <w:lvlJc w:val="left"/>
        <w:pPr>
          <w:tabs>
            <w:tab w:pos="1440" w:val="num"/>
          </w:tabs>
          <w:ind w:hanging="360" w:left="1440"/>
        </w:pPr>
        <w:rPr>
          <w:rFonts w:ascii="Symbol" w:hAnsi="Symbol" w:hint="default"/>
          <w:sz w:val="20"/>
        </w:rPr>
      </w:lvl>
    </w:lvlOverride>
  </w:num>
  <w:num w16cid:durableId="1155268945" w:numId="11">
    <w:abstractNumId w:val="9"/>
    <w:lvlOverride w:ilvl="1">
      <w:lvl w:ilvl="1">
        <w:numFmt w:val="bullet"/>
        <w:lvlText w:val=""/>
        <w:lvlJc w:val="left"/>
        <w:pPr>
          <w:tabs>
            <w:tab w:pos="1440" w:val="num"/>
          </w:tabs>
          <w:ind w:hanging="360" w:left="1440"/>
        </w:pPr>
        <w:rPr>
          <w:rFonts w:ascii="Symbol" w:hAnsi="Symbol" w:hint="default"/>
          <w:sz w:val="20"/>
        </w:rPr>
      </w:lvl>
    </w:lvlOverride>
  </w:num>
  <w:num w16cid:durableId="1731731325" w:numId="12">
    <w:abstractNumId w:val="9"/>
    <w:lvlOverride w:ilvl="1">
      <w:lvl w:ilvl="1">
        <w:numFmt w:val="bullet"/>
        <w:lvlText w:val=""/>
        <w:lvlJc w:val="left"/>
        <w:pPr>
          <w:tabs>
            <w:tab w:pos="1440" w:val="num"/>
          </w:tabs>
          <w:ind w:hanging="360" w:left="1440"/>
        </w:pPr>
        <w:rPr>
          <w:rFonts w:ascii="Symbol" w:hAnsi="Symbol" w:hint="default"/>
          <w:sz w:val="20"/>
        </w:rPr>
      </w:lvl>
    </w:lvlOverride>
  </w:num>
  <w:num w16cid:durableId="1848402040" w:numId="13">
    <w:abstractNumId w:val="9"/>
    <w:lvlOverride w:ilvl="1">
      <w:lvl w:ilvl="1">
        <w:numFmt w:val="bullet"/>
        <w:lvlText w:val=""/>
        <w:lvlJc w:val="left"/>
        <w:pPr>
          <w:tabs>
            <w:tab w:pos="1440" w:val="num"/>
          </w:tabs>
          <w:ind w:hanging="360" w:left="1440"/>
        </w:pPr>
        <w:rPr>
          <w:rFonts w:ascii="Symbol" w:hAnsi="Symbol" w:hint="default"/>
          <w:sz w:val="20"/>
        </w:rPr>
      </w:lvl>
    </w:lvlOverride>
  </w:num>
  <w:num w16cid:durableId="346830674" w:numId="14">
    <w:abstractNumId w:val="2"/>
  </w:num>
  <w:num w16cid:durableId="830025594" w:numId="15">
    <w:abstractNumId w:val="25"/>
  </w:num>
  <w:num w16cid:durableId="1231770239" w:numId="16">
    <w:abstractNumId w:val="6"/>
  </w:num>
  <w:num w16cid:durableId="1084840922" w:numId="17">
    <w:abstractNumId w:val="7"/>
  </w:num>
  <w:num w16cid:durableId="40519376" w:numId="18">
    <w:abstractNumId w:val="3"/>
  </w:num>
  <w:num w16cid:durableId="220530851" w:numId="19">
    <w:abstractNumId w:val="23"/>
  </w:num>
  <w:num w16cid:durableId="1402437447" w:numId="20">
    <w:abstractNumId w:val="26"/>
  </w:num>
  <w:num w16cid:durableId="1042752584" w:numId="21">
    <w:abstractNumId w:val="5"/>
  </w:num>
  <w:num w16cid:durableId="92480346" w:numId="22">
    <w:abstractNumId w:val="1"/>
  </w:num>
  <w:num w16cid:durableId="34623508" w:numId="23">
    <w:abstractNumId w:val="18"/>
  </w:num>
  <w:num w16cid:durableId="1220285299" w:numId="24">
    <w:abstractNumId w:val="19"/>
  </w:num>
  <w:num w16cid:durableId="641420827" w:numId="25">
    <w:abstractNumId w:val="14"/>
  </w:num>
  <w:num w16cid:durableId="682901388" w:numId="26">
    <w:abstractNumId w:val="8"/>
  </w:num>
  <w:num w16cid:durableId="1634480843" w:numId="27">
    <w:abstractNumId w:val="4"/>
  </w:num>
  <w:num w16cid:durableId="935557129" w:numId="28">
    <w:abstractNumId w:val="17"/>
  </w:num>
  <w:num w16cid:durableId="380979377" w:numId="29">
    <w:abstractNumId w:val="15"/>
  </w:num>
  <w:num w16cid:durableId="95565268" w:numId="30">
    <w:abstractNumId w:val="20"/>
  </w:num>
  <w:num w16cid:durableId="675962211" w:numId="31">
    <w:abstractNumId w:val="13"/>
  </w:num>
  <w:num w16cid:durableId="1417635307" w:numId="32">
    <w:abstractNumId w:val="24"/>
  </w:num>
  <w:num w16cid:durableId="1965498272" w:numId="33">
    <w:abstractNumId w:val="10"/>
  </w:num>
  <w:num w16cid:durableId="1307467757" w:numId="34">
    <w:abstractNumId w:val="22"/>
  </w:num>
  <w:num w16cid:durableId="1148202488" w:numId="35">
    <w:abstractNumId w:val="16"/>
  </w:num>
  <w:num w16cid:durableId="519970389" w:numId="36">
    <w:abstractNumId w:val="12"/>
  </w:num>
  <w:num w16cid:durableId="584188835" w:numId="37">
    <w:abstractNumId w:val="21"/>
  </w:num>
  <w:num w16cid:durableId="515926409" w:numId="38">
    <w:abstractNumId w:val="1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bordersDoNotSurroundHeader/>
  <w:bordersDoNotSurroundFooter/>
  <w:proofState w:grammar="clean" w:spelling="clean"/>
  <w:stylePaneFormatFilter w:val="0004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spidmax="2050" v:ext="edit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B1D"/>
    <w:rsid w:val="00064B1D"/>
    <w:rsid w:val="00065868"/>
    <w:rsid w:val="007B7875"/>
    <w:rsid w:val="00AC71B9"/>
    <w:rsid w:val="00D64E4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1"/>
        <w:szCs w:val="22"/>
        <w:lang w:bidi="ar-SA" w:eastAsia="zh-CN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  <w:jc w:val="both"/>
    </w:pPr>
  </w:style>
  <w:style w:styleId="1" w:type="paragraph">
    <w:name w:val="heading 1"/>
    <w:basedOn w:val="a"/>
    <w:next w:val="a"/>
    <w:link w:val="10"/>
    <w:uiPriority w:val="9"/>
    <w:qFormat/>
    <w:rsid w:val="00064B1D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0F4761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064B1D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064B1D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064B1D"/>
    <w:pPr>
      <w:keepNext/>
      <w:keepLines/>
      <w:spacing w:after="40" w:before="80"/>
      <w:outlineLvl w:val="3"/>
    </w:pPr>
    <w:rPr>
      <w:rFonts w:cstheme="majorBidi"/>
      <w:color w:themeColor="accent1" w:themeShade="BF" w:val="0F4761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064B1D"/>
    <w:pPr>
      <w:keepNext/>
      <w:keepLines/>
      <w:spacing w:after="40" w:before="80"/>
      <w:outlineLvl w:val="4"/>
    </w:pPr>
    <w:rPr>
      <w:rFonts w:cstheme="majorBidi"/>
      <w:color w:themeColor="accent1" w:themeShade="BF" w:val="0F4761"/>
      <w:sz w:val="24"/>
      <w:szCs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064B1D"/>
    <w:pPr>
      <w:keepNext/>
      <w:keepLines/>
      <w:spacing w:before="40"/>
      <w:outlineLvl w:val="5"/>
    </w:pPr>
    <w:rPr>
      <w:rFonts w:cstheme="majorBidi"/>
      <w:b/>
      <w:bCs/>
      <w:color w:themeColor="accent1" w:themeShade="BF" w:val="0F4761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064B1D"/>
    <w:pPr>
      <w:keepNext/>
      <w:keepLines/>
      <w:spacing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064B1D"/>
    <w:pPr>
      <w:keepNext/>
      <w:keepLines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064B1D"/>
    <w:pPr>
      <w:keepNext/>
      <w:keepLines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064B1D"/>
    <w:rPr>
      <w:rFonts w:asciiTheme="majorHAnsi" w:cstheme="majorBidi" w:eastAsiaTheme="majorEastAsia" w:hAnsiTheme="majorHAnsi"/>
      <w:color w:themeColor="accent1" w:themeShade="BF" w:val="0F4761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064B1D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064B1D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064B1D"/>
    <w:rPr>
      <w:rFonts w:cstheme="majorBidi"/>
      <w:color w:themeColor="accent1" w:themeShade="BF" w:val="0F4761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064B1D"/>
    <w:rPr>
      <w:rFonts w:cstheme="majorBidi"/>
      <w:color w:themeColor="accent1" w:themeShade="BF" w:val="0F4761"/>
      <w:sz w:val="24"/>
      <w:szCs w:val="24"/>
    </w:rPr>
  </w:style>
  <w:style w:customStyle="1" w:styleId="60" w:type="character">
    <w:name w:val="标题 6 字符"/>
    <w:basedOn w:val="a0"/>
    <w:link w:val="6"/>
    <w:uiPriority w:val="9"/>
    <w:semiHidden/>
    <w:rsid w:val="00064B1D"/>
    <w:rPr>
      <w:rFonts w:cstheme="majorBidi"/>
      <w:b/>
      <w:bCs/>
      <w:color w:themeColor="accent1" w:themeShade="BF" w:val="0F4761"/>
    </w:rPr>
  </w:style>
  <w:style w:customStyle="1" w:styleId="70" w:type="character">
    <w:name w:val="标题 7 字符"/>
    <w:basedOn w:val="a0"/>
    <w:link w:val="7"/>
    <w:uiPriority w:val="9"/>
    <w:semiHidden/>
    <w:rsid w:val="00064B1D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064B1D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064B1D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064B1D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064B1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064B1D"/>
    <w:pPr>
      <w:numPr>
        <w:ilvl w:val="1"/>
      </w:numPr>
      <w:spacing w:after="160"/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064B1D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064B1D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064B1D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064B1D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064B1D"/>
    <w:rPr>
      <w:i/>
      <w:iCs/>
      <w:color w:themeColor="accent1" w:themeShade="BF" w:val="0F4761"/>
    </w:rPr>
  </w:style>
  <w:style w:styleId="ab" w:type="paragraph">
    <w:name w:val="Intense Quote"/>
    <w:basedOn w:val="a"/>
    <w:next w:val="a"/>
    <w:link w:val="ac"/>
    <w:uiPriority w:val="30"/>
    <w:qFormat/>
    <w:rsid w:val="00064B1D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ac" w:type="character">
    <w:name w:val="明显引用 字符"/>
    <w:basedOn w:val="a0"/>
    <w:link w:val="ab"/>
    <w:uiPriority w:val="30"/>
    <w:rsid w:val="00064B1D"/>
    <w:rPr>
      <w:i/>
      <w:iCs/>
      <w:color w:themeColor="accent1" w:themeShade="BF" w:val="0F4761"/>
    </w:rPr>
  </w:style>
  <w:style w:styleId="ad" w:type="character">
    <w:name w:val="Intense Reference"/>
    <w:basedOn w:val="a0"/>
    <w:uiPriority w:val="32"/>
    <w:qFormat/>
    <w:rsid w:val="00064B1D"/>
    <w:rPr>
      <w:b/>
      <w:bCs/>
      <w:smallCaps/>
      <w:color w:themeColor="accent1" w:themeShade="BF" w:val="0F4761"/>
      <w:spacing w:val="5"/>
    </w:rPr>
  </w:style>
  <w:style w:styleId="ae" w:type="paragraph">
    <w:name w:val="header"/>
    <w:basedOn w:val="a"/>
    <w:link w:val="af"/>
    <w:uiPriority w:val="99"/>
    <w:unhideWhenUsed/>
    <w:rsid w:val="00AC71B9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" w:type="character">
    <w:name w:val="页眉 字符"/>
    <w:basedOn w:val="a0"/>
    <w:link w:val="ae"/>
    <w:uiPriority w:val="99"/>
    <w:rsid w:val="00AC71B9"/>
    <w:rPr>
      <w:sz w:val="18"/>
      <w:szCs w:val="18"/>
    </w:rPr>
  </w:style>
  <w:style w:styleId="af0" w:type="paragraph">
    <w:name w:val="footer"/>
    <w:basedOn w:val="a"/>
    <w:link w:val="af1"/>
    <w:uiPriority w:val="99"/>
    <w:unhideWhenUsed/>
    <w:rsid w:val="00AC71B9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customStyle="1" w:styleId="af1" w:type="character">
    <w:name w:val="页脚 字符"/>
    <w:basedOn w:val="a0"/>
    <w:link w:val="af0"/>
    <w:uiPriority w:val="99"/>
    <w:rsid w:val="00AC71B9"/>
    <w:rPr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1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5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1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675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2025-04-03T09:27:35Z</dcterms:created>
  <dcterms:modified xsi:type="dcterms:W3CDTF">2025-04-03T09:27:35Z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