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gif" PartName="/word/media/document_image_rId3.gif"/>
  <Override ContentType="image/gif" PartName="/word/media/document_image_rId4.gif"/>
  <Override ContentType="image/gif" PartName="/word/media/document_image_rId5.gif"/>
  <Override ContentType="image/gif" PartName="/word/media/document_image_rId7.gif"/>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2.8 (Apache licensed) using ORACLE_JRE JAXB in Oracle Java 1.8.0_45 on Linux -->
    <w:p>
      <w:pPr>
        <w:pStyle w:val="Heading1"/>
        <w:spacing w:line="480" w:lineRule="auto"/>
        <w:jc w:val="center"/>
      </w:pPr>
      <w:r>
        <w:rPr>
          <w:rFonts w:hint="eastAsia"/>
          <w:b/>
          <w:noProof/>
          <w:sz w:val="32"/>
        </w:rPr>
        <w:t>预制墙板灌浆施工作业指导书</w:t>
      </w:r>
    </w:p>
    <w:p>
      <w:pPr>
        <w:spacing w:line="360" w:lineRule="auto"/>
        <w:jc w:val="both"/>
      </w:pPr>
      <w:r>
        <w:rPr>
          <w:rFonts w:hint="eastAsia"/>
          <w:b/>
          <w:noProof/>
          <w:sz w:val="28"/>
        </w:rPr>
        <w:t>1.适用范围</w:t>
      </w:r>
    </w:p>
    <w:p>
      <w:pPr>
        <w:spacing w:line="360" w:lineRule="auto"/>
        <w:ind w:firstLineChars="200"/>
        <w:jc w:val="both"/>
      </w:pPr>
      <w:r>
        <w:rPr>
          <w:rFonts w:hint="eastAsia"/>
          <w:noProof/>
          <w:sz w:val="24"/>
        </w:rPr>
        <w:t>本作业指导书适用于大兴旧宫产业化住宅项目预制墙板灌浆施工作业。</w:t>
      </w:r>
    </w:p>
    <w:p>
      <w:pPr>
        <w:spacing w:line="360" w:lineRule="auto"/>
        <w:jc w:val="both"/>
      </w:pPr>
      <w:r>
        <w:rPr>
          <w:rFonts w:hint="eastAsia"/>
          <w:b/>
          <w:noProof/>
          <w:sz w:val="28"/>
        </w:rPr>
        <w:t>2.施工作业准备</w:t>
      </w:r>
    </w:p>
    <w:p>
      <w:pPr>
        <w:spacing w:line="360" w:lineRule="auto"/>
        <w:ind w:firstLineChars="200"/>
        <w:jc w:val="both"/>
      </w:pPr>
      <w:r>
        <w:rPr>
          <w:rFonts w:hint="eastAsia"/>
          <w:b/>
          <w:noProof/>
          <w:sz w:val="24"/>
        </w:rPr>
        <w:t>〔1材料准备</w:t>
      </w:r>
    </w:p>
    <w:p>
      <w:pPr>
        <w:spacing w:line="360" w:lineRule="auto"/>
        <w:ind w:firstLineChars="200"/>
        <w:jc w:val="both"/>
      </w:pPr>
      <w:r>
        <w:rPr>
          <w:rFonts w:hint="eastAsia"/>
          <w:noProof/>
          <w:sz w:val="24"/>
        </w:rPr>
        <w:t>灌浆料：采用与灌浆套筒相匹配的灌浆料,满足使用及强度要求；</w:t>
      </w:r>
    </w:p>
    <w:p>
      <w:pPr>
        <w:spacing w:line="360" w:lineRule="auto"/>
        <w:ind w:firstLineChars="200"/>
        <w:jc w:val="both"/>
      </w:pPr>
      <w:r>
        <w:rPr>
          <w:rFonts w:hint="eastAsia"/>
          <w:noProof/>
          <w:sz w:val="24"/>
        </w:rPr>
        <w:t>水：拌合用水采用干净用水并符合现行行业标准《混凝土用水标准》JGJ63的有关规定。</w:t>
      </w:r>
    </w:p>
    <w:p>
      <w:pPr>
        <w:spacing w:line="360" w:lineRule="auto"/>
        <w:ind w:firstLineChars="200"/>
        <w:jc w:val="both"/>
      </w:pPr>
      <w:r>
        <w:rPr>
          <w:rFonts w:hint="eastAsia"/>
          <w:b/>
          <w:noProof/>
          <w:sz w:val="24"/>
        </w:rPr>
        <w:t>〔2工具准备</w:t>
      </w:r>
    </w:p>
    <w:p>
      <w:pPr>
        <w:spacing w:line="360" w:lineRule="auto"/>
        <w:ind w:firstLineChars="200"/>
        <w:jc w:val="both"/>
      </w:pPr>
      <w:r>
        <w:rPr>
          <w:rFonts w:hint="eastAsia"/>
          <w:noProof/>
          <w:sz w:val="24"/>
        </w:rPr>
        <w:t>主要工具：灌浆机、灌浆枪、手提变速搅拌机、搅料桶、橡胶塞；</w:t>
      </w:r>
    </w:p>
    <w:p>
      <w:pPr>
        <w:spacing w:line="360" w:lineRule="auto"/>
        <w:ind w:firstLineChars="200"/>
        <w:jc w:val="both"/>
      </w:pPr>
      <w:r>
        <w:rPr>
          <w:rFonts w:hint="eastAsia"/>
          <w:noProof/>
          <w:sz w:val="24"/>
        </w:rPr>
        <w:t>计量器具：电子称、量筒、温度计、刻度杯、截锥圆模。</w:t>
      </w:r>
    </w:p>
    <w:p>
      <w:pPr>
        <w:spacing w:line="360" w:lineRule="auto"/>
        <w:ind w:firstLineChars="200"/>
        <w:jc w:val="both"/>
      </w:pPr>
      <w:r>
        <w:rPr>
          <w:rFonts w:hint="eastAsia"/>
          <w:b/>
          <w:noProof/>
          <w:sz w:val="24"/>
        </w:rPr>
        <w:t>〔3技术准备</w:t>
      </w:r>
    </w:p>
    <w:p>
      <w:pPr>
        <w:spacing w:line="360" w:lineRule="auto"/>
        <w:ind w:firstLineChars="200"/>
        <w:jc w:val="both"/>
      </w:pPr>
      <w:r>
        <w:rPr>
          <w:rFonts w:hint="eastAsia"/>
          <w:noProof/>
          <w:sz w:val="24"/>
        </w:rPr>
        <w:t>1在预制墙板灌浆施工之前对操作人员进行培训,通过培训增强操作人员对灌浆质量重要性的意识,明确该操作行为的一次性,且不可逆的特点,从思想上重视其所从事的灌浆操作；</w:t>
      </w:r>
    </w:p>
    <w:p>
      <w:pPr>
        <w:spacing w:line="360" w:lineRule="auto"/>
        <w:ind w:firstLineChars="200"/>
        <w:jc w:val="both"/>
      </w:pPr>
      <w:r>
        <w:rPr>
          <w:rFonts w:hint="eastAsia"/>
          <w:noProof/>
          <w:sz w:val="24"/>
        </w:rPr>
        <w:t>2首次灌浆作业前,择有代表性的部位进行试制作、试灌浆；通过施工人员灌浆作业的模拟操作培训,规范灌浆作业操作流程,熟练掌握灌浆操作要领及其控制要点。</w:t>
      </w:r>
    </w:p>
    <w:p>
      <w:pPr>
        <w:spacing w:line="360" w:lineRule="auto"/>
        <w:ind w:firstLineChars="200"/>
        <w:jc w:val="both"/>
      </w:pPr>
      <w:r>
        <w:rPr>
          <w:rFonts w:hint="eastAsia"/>
          <w:noProof/>
          <w:sz w:val="24"/>
        </w:rPr>
        <w:t>3灌浆前,由项目技术人员依据预制构件专项方案及有关规程、施工工艺标准编写灌浆施工技术交底,并组织专门会议现场对灌浆班组进行详细交底；</w:t>
      </w:r>
    </w:p>
    <w:p>
      <w:pPr>
        <w:spacing w:line="360" w:lineRule="auto"/>
        <w:ind w:firstLineChars="200"/>
        <w:jc w:val="both"/>
      </w:pPr>
      <w:r>
        <w:rPr>
          <w:rFonts w:hint="eastAsia"/>
          <w:noProof/>
          <w:sz w:val="24"/>
        </w:rPr>
        <w:t>4灌浆过程由项目管理人员全程监控,留存影像资料及相关记录；</w:t>
      </w:r>
    </w:p>
    <w:p>
      <w:pPr>
        <w:spacing w:line="360" w:lineRule="auto"/>
        <w:ind w:firstLineChars="200"/>
        <w:jc w:val="both"/>
      </w:pPr>
      <w:r>
        <w:rPr>
          <w:rFonts w:hint="eastAsia"/>
          <w:noProof/>
          <w:sz w:val="24"/>
        </w:rPr>
        <w:t>5已申请专门技术人员入驻施工现场,对灌浆全程进行技术指导；</w:t>
      </w:r>
    </w:p>
    <w:p>
      <w:pPr>
        <w:spacing w:line="360" w:lineRule="auto"/>
        <w:ind w:firstLineChars="200"/>
        <w:jc w:val="both"/>
      </w:pPr>
      <w:r>
        <w:rPr>
          <w:rFonts w:hint="eastAsia"/>
          <w:noProof/>
          <w:sz w:val="24"/>
        </w:rPr>
        <w:t>6对所有施工人员进行三级安全教育,并经考试合格后方可上岗操作。</w:t>
      </w:r>
    </w:p>
    <w:p>
      <w:pPr>
        <w:spacing w:line="360" w:lineRule="auto"/>
        <w:jc w:val="both"/>
      </w:pPr>
      <w:r>
        <w:rPr>
          <w:rFonts w:hint="eastAsia"/>
          <w:b/>
          <w:noProof/>
          <w:sz w:val="28"/>
        </w:rPr>
        <w:t>3.灌浆料存放</w:t>
      </w:r>
    </w:p>
    <w:p>
      <w:pPr>
        <w:spacing w:line="360" w:lineRule="auto"/>
        <w:ind w:firstLineChars="200"/>
        <w:jc w:val="both"/>
      </w:pPr>
      <w:r>
        <w:rPr>
          <w:rFonts w:hint="eastAsia"/>
          <w:noProof/>
          <w:sz w:val="24"/>
        </w:rPr>
        <w:t>1施工现场灌浆料储存在室内,并采取防雨、防潮、防晒措施；</w:t>
      </w:r>
    </w:p>
    <w:p>
      <w:pPr>
        <w:spacing w:line="360" w:lineRule="auto"/>
        <w:ind w:firstLineChars="200"/>
        <w:jc w:val="both"/>
      </w:pPr>
      <w:r>
        <w:rPr>
          <w:rFonts w:hint="eastAsia"/>
          <w:noProof/>
          <w:sz w:val="24"/>
        </w:rPr>
        <w:t>2搭设放置灌浆料存放架〔离地一定高度,使灌浆料处于干燥、阴凉处；</w:t>
      </w:r>
    </w:p>
    <w:p>
      <w:pPr>
        <w:spacing w:line="360" w:lineRule="auto"/>
        <w:ind w:firstLineChars="200"/>
        <w:jc w:val="both"/>
      </w:pPr>
      <w:r>
        <w:rPr>
          <w:rFonts w:hint="eastAsia"/>
          <w:noProof/>
          <w:sz w:val="24"/>
        </w:rPr>
        <w:t>3灌浆料保质期为3个月。</w:t>
      </w:r>
    </w:p>
    <w:p>
      <w:pPr>
        <w:spacing w:line="360" w:lineRule="auto"/>
        <w:jc w:val="both"/>
      </w:pPr>
      <w:r>
        <w:rPr>
          <w:rFonts w:hint="eastAsia"/>
          <w:b/>
          <w:noProof/>
          <w:sz w:val="28"/>
        </w:rPr>
        <w:t>4.施工工艺</w:t>
      </w:r>
    </w:p>
    <w:p>
      <w:pPr>
        <w:spacing w:line="360" w:lineRule="auto"/>
        <w:ind w:firstLineChars="200"/>
        <w:jc w:val="both"/>
      </w:pPr>
      <w:r>
        <w:rPr>
          <w:rFonts w:hint="eastAsia"/>
          <w:b/>
          <w:noProof/>
          <w:sz w:val="24"/>
        </w:rPr>
        <w:t>〔1工艺流程</w:t>
      </w:r>
    </w:p>
    <w:p>
      <w:pPr>
        <w:spacing w:line="360" w:lineRule="auto"/>
        <w:ind w:firstLineChars="250"/>
        <w:jc w:val="both"/>
      </w:pPr>
      <w:r>
        <w:drawing>
          <wp:inline distT="0" distB="0" distL="0" distR="0">
            <wp:extent cx="4791075" cy="1237461"/>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5732145" cy="1237461"/>
                    </a:xfrm>
                    <a:prstGeom prst="rect">
                      <a:avLst/>
                    </a:prstGeom>
                  </pic:spPr>
                </pic:pic>
              </a:graphicData>
            </a:graphic>
          </wp:inline>
        </w:drawing>
      </w:r>
    </w:p>
    <w:p>
      <w:pPr>
        <w:spacing w:line="360" w:lineRule="auto"/>
        <w:ind w:firstLineChars="200"/>
        <w:jc w:val="both"/>
      </w:pPr>
      <w:r>
        <w:rPr>
          <w:rFonts w:hint="eastAsia"/>
          <w:b/>
          <w:noProof/>
          <w:sz w:val="24"/>
        </w:rPr>
        <w:t>〔2基层处理</w:t>
      </w:r>
    </w:p>
    <w:p>
      <w:pPr>
        <w:spacing w:line="360" w:lineRule="auto"/>
        <w:ind w:firstLineChars="200"/>
        <w:jc w:val="both"/>
      </w:pPr>
      <w:r>
        <w:rPr>
          <w:rFonts w:hint="eastAsia"/>
          <w:noProof/>
          <w:sz w:val="24"/>
        </w:rPr>
        <w:t>1灌浆前,构件与灌浆料接触的表面清理干净,不得有油污、浮灰、粘贴物、木屑等杂物且没有活动的混凝土碎块和石子；</w:t>
      </w:r>
    </w:p>
    <w:p>
      <w:pPr>
        <w:spacing w:line="360" w:lineRule="auto"/>
        <w:ind w:firstLineChars="200"/>
        <w:jc w:val="both"/>
      </w:pPr>
      <w:r>
        <w:rPr>
          <w:rFonts w:hint="eastAsia"/>
          <w:noProof/>
          <w:sz w:val="24"/>
        </w:rPr>
        <w:t>2洒水湿润,保证构件灌浆表面处于润湿状态且无明显积水。保证构件与模板和坐浆灰饼接缝处严密,不漏浆。预制构件灌浆采用连通腔灌浆,外墙外侧采用橡塑棉条,外墙内侧及内墙采用座浆料封堵。</w:t>
      </w:r>
    </w:p>
    <w:p>
      <w:pPr>
        <w:spacing w:line="360" w:lineRule="auto"/>
        <w:ind w:firstLineChars="200"/>
        <w:jc w:val="center"/>
      </w:pPr>
      <w:r>
        <w:drawing>
          <wp:inline distT="0" distB="0" distL="0" distR="0">
            <wp:extent cx="1514475" cy="1333500"/>
            <wp:effectExtent l="0" t="0" r="0" b="0"/>
            <wp:docPr id="3" name="" descr=""/>
            <wp:cNvGraphicFramePr>
              <a:graphicFrameLocks noChangeAspect="true"/>
            </wp:cNvGraphicFramePr>
            <a:graphic>
              <a:graphicData uri="http://schemas.openxmlformats.org/drawingml/2006/picture">
                <pic:pic>
                  <pic:nvPicPr>
                    <pic:cNvPr id="4" name=""/>
                    <pic:cNvPicPr/>
                  </pic:nvPicPr>
                  <pic:blipFill>
                    <a:blip r:embed="rId4"/>
                    <a:stretch>
                      <a:fillRect/>
                    </a:stretch>
                  </pic:blipFill>
                  <pic:spPr>
                    <a:xfrm>
                      <a:off x="0" y="0"/>
                      <a:ext cx="2276475" cy="1333500"/>
                    </a:xfrm>
                    <a:prstGeom prst="rect">
                      <a:avLst/>
                    </a:prstGeom>
                  </pic:spPr>
                </pic:pic>
              </a:graphicData>
            </a:graphic>
          </wp:inline>
        </w:drawing>
      </w:r>
      <w:r>
        <w:drawing>
          <wp:inline distT="0" distB="0" distL="0" distR="0">
            <wp:extent cx="1343025" cy="952500"/>
            <wp:effectExtent l="0" t="0" r="0" b="0"/>
            <wp:docPr id="5" name="" descr=""/>
            <wp:cNvGraphicFramePr>
              <a:graphicFrameLocks noChangeAspect="true"/>
            </wp:cNvGraphicFramePr>
            <a:graphic>
              <a:graphicData uri="http://schemas.openxmlformats.org/drawingml/2006/picture">
                <pic:pic>
                  <pic:nvPicPr>
                    <pic:cNvPr id="6" name=""/>
                    <pic:cNvPicPr/>
                  </pic:nvPicPr>
                  <pic:blipFill>
                    <a:blip r:embed="rId5"/>
                    <a:stretch>
                      <a:fillRect/>
                    </a:stretch>
                  </pic:blipFill>
                  <pic:spPr>
                    <a:xfrm>
                      <a:off x="0" y="0"/>
                      <a:ext cx="2019300" cy="952500"/>
                    </a:xfrm>
                    <a:prstGeom prst="rect">
                      <a:avLst/>
                    </a:prstGeom>
                  </pic:spPr>
                </pic:pic>
              </a:graphicData>
            </a:graphic>
          </wp:inline>
        </w:drawing>
      </w:r>
      <w:r>
        <w:drawing>
          <wp:inline distT="0" distB="0" distL="0" distR="0">
            <wp:extent cx="3781425" cy="2514600"/>
            <wp:effectExtent l="0" t="0" r="0" b="0"/>
            <wp:docPr id="7" name="" descr=""/>
            <wp:cNvGraphicFramePr>
              <a:graphicFrameLocks noChangeAspect="true"/>
            </wp:cNvGraphicFramePr>
            <a:graphic>
              <a:graphicData uri="http://schemas.openxmlformats.org/drawingml/2006/picture">
                <pic:pic>
                  <pic:nvPicPr>
                    <pic:cNvPr id="8" name=""/>
                    <pic:cNvPicPr/>
                  </pic:nvPicPr>
                  <pic:blipFill>
                    <a:blip r:embed="rId6"/>
                    <a:stretch>
                      <a:fillRect/>
                    </a:stretch>
                  </pic:blipFill>
                  <pic:spPr>
                    <a:xfrm>
                      <a:off x="0" y="0"/>
                      <a:ext cx="3781425" cy="2514600"/>
                    </a:xfrm>
                    <a:prstGeom prst="rect">
                      <a:avLst/>
                    </a:prstGeom>
                  </pic:spPr>
                </pic:pic>
              </a:graphicData>
            </a:graphic>
          </wp:inline>
        </w:drawing>
      </w:r>
    </w:p>
    <w:p>
      <w:pPr>
        <w:spacing w:line="360" w:lineRule="auto"/>
        <w:ind w:firstLineChars="100"/>
        <w:jc w:val="center"/>
      </w:pPr>
      <w:r>
        <w:rPr>
          <w:rFonts w:hint="eastAsia"/>
          <w:b/>
          <w:noProof/>
          <w:sz w:val="21"/>
        </w:rPr>
        <w:t>灌浆封堵示意图</w:t>
      </w:r>
    </w:p>
    <w:p>
      <w:pPr>
        <w:spacing w:line="360" w:lineRule="auto"/>
        <w:ind w:firstLineChars="200"/>
        <w:jc w:val="both"/>
      </w:pPr>
      <w:r>
        <w:rPr>
          <w:rFonts w:hint="eastAsia"/>
          <w:b/>
          <w:noProof/>
          <w:sz w:val="24"/>
        </w:rPr>
        <w:t>〔3座浆料封缝、分仓</w:t>
      </w:r>
    </w:p>
    <w:p>
      <w:pPr>
        <w:spacing w:line="360" w:lineRule="auto"/>
        <w:ind w:firstLineChars="200"/>
        <w:jc w:val="both"/>
      </w:pPr>
      <w:r>
        <w:rPr>
          <w:rFonts w:hint="eastAsia"/>
          <w:noProof/>
          <w:sz w:val="24"/>
        </w:rPr>
        <w:t>1按照座浆料的配合比配置搅拌座浆料；</w:t>
      </w:r>
    </w:p>
    <w:p>
      <w:pPr>
        <w:spacing w:line="360" w:lineRule="auto"/>
        <w:ind w:firstLineChars="200"/>
        <w:jc w:val="both"/>
      </w:pPr>
      <w:r>
        <w:rPr>
          <w:rFonts w:hint="eastAsia"/>
          <w:noProof/>
          <w:sz w:val="24"/>
        </w:rPr>
        <w:t>2座浆料分仓,高度为30mm,宽度约50mm,长度200mm,呈三角形,并在墙上对应位置用粉笔做好标记,边角留孔排气,分仓间距不超过1.5米；</w:t>
      </w:r>
    </w:p>
    <w:p>
      <w:pPr>
        <w:spacing w:line="360" w:lineRule="auto"/>
        <w:ind w:firstLineChars="200"/>
        <w:jc w:val="both"/>
      </w:pPr>
      <w:r>
        <w:rPr>
          <w:rFonts w:hint="eastAsia"/>
          <w:noProof/>
          <w:sz w:val="24"/>
        </w:rPr>
        <w:t>3座浆料封缝</w:t>
      </w:r>
    </w:p>
    <w:p>
      <w:pPr>
        <w:spacing w:line="360" w:lineRule="auto"/>
        <w:ind w:firstLineChars="200"/>
        <w:jc w:val="both"/>
      </w:pPr>
      <w:r>
        <w:rPr>
          <w:rFonts w:hint="eastAsia"/>
          <w:noProof/>
          <w:sz w:val="24"/>
        </w:rPr>
        <w:t>a.用PVC管或2cm电缆线至墙体侧面横着塞入墙缝下紧靠套筒钢筋以控制封缝宽度〔不减少设计面积,不宜超过20mm,然后用座浆料将余下的缝隙填实,随后将PVC管或2cm电缆线从侧面抽出, 墙体封缝保证墙体四周都要封严,如下图；</w:t>
      </w:r>
    </w:p>
    <w:p>
      <w:pPr>
        <w:spacing w:line="360" w:lineRule="auto"/>
        <w:ind w:firstLineChars="200"/>
        <w:jc w:val="both"/>
      </w:pPr>
      <w:r>
        <w:rPr>
          <w:rFonts w:hint="eastAsia"/>
          <w:noProof/>
          <w:sz w:val="24"/>
        </w:rPr>
        <w:t>b.用小抹子在墙根将座浆料抹成小八字,注意在使用座浆料前,先用清水润湿需座浆封堵位置,再用座浆封堵,在灌浆前不要扰动已抹好的座浆料。</w:t>
      </w:r>
    </w:p>
    <w:p>
      <w:pPr>
        <w:spacing w:line="360" w:lineRule="auto"/>
        <w:ind w:firstLineChars="200"/>
        <w:jc w:val="both"/>
      </w:pPr>
      <w:r>
        <w:rPr>
          <w:rFonts w:hint="eastAsia"/>
          <w:noProof/>
          <w:sz w:val="24"/>
        </w:rPr>
        <w:t>c.座浆料养护6-8小时,达到设计强度后可灌浆。</w:t>
      </w:r>
    </w:p>
    <w:p>
      <w:pPr>
        <w:spacing w:line="360" w:lineRule="auto"/>
        <w:ind w:firstLineChars="200"/>
        <w:jc w:val="both"/>
      </w:pPr>
      <w:r>
        <w:rPr>
          <w:rFonts w:hint="eastAsia"/>
          <w:b/>
          <w:noProof/>
          <w:sz w:val="24"/>
        </w:rPr>
        <w:t>〔4制备灌浆料</w:t>
      </w:r>
    </w:p>
    <w:p>
      <w:pPr>
        <w:spacing w:line="360" w:lineRule="auto"/>
        <w:ind w:firstLineChars="200"/>
        <w:jc w:val="both"/>
      </w:pPr>
      <w:r>
        <w:rPr>
          <w:rFonts w:hint="eastAsia"/>
          <w:noProof/>
          <w:sz w:val="24"/>
        </w:rPr>
        <w:t>1测量并计算需灌注接头数量或灌浆空间的体积,计算灌浆料的用量〔按2 吨/立方米计算。QV-1100高强度水泥基灌浆料根据灌浆料使用说明书的要求按重量计量〔13%加水量,精确至0.1kg；</w:t>
      </w:r>
    </w:p>
    <w:p>
      <w:pPr>
        <w:spacing w:line="360" w:lineRule="auto"/>
        <w:ind w:firstLineChars="200"/>
        <w:jc w:val="both"/>
      </w:pPr>
      <w:r>
        <w:rPr>
          <w:rFonts w:hint="eastAsia"/>
          <w:noProof/>
          <w:sz w:val="24"/>
        </w:rPr>
        <w:t>2搅拌机、灌浆泵就位后,首先将全部拌合水加入搅拌桶中,然后加入灌浆干粉料,采用手提变速搅拌机搅拌至大致均匀〔约3～5 分钟。搅拌均匀后,静置约2 分钟排气,然后注入灌浆泵中进行灌浆作业；</w:t>
      </w:r>
    </w:p>
    <w:p>
      <w:pPr>
        <w:spacing w:line="360" w:lineRule="auto"/>
        <w:ind w:firstLineChars="200"/>
        <w:jc w:val="both"/>
      </w:pPr>
      <w:r>
        <w:rPr>
          <w:rFonts w:hint="eastAsia"/>
          <w:noProof/>
          <w:sz w:val="24"/>
        </w:rPr>
        <w:t>3现场制作灌浆料抗压强度试件,尺寸为40mm*40mm*160mm,试件按标准方法制作和养护；每栋号每班组取样不少于一组,每层不少于三次。</w:t>
      </w:r>
    </w:p>
    <w:p>
      <w:pPr>
        <w:spacing w:line="360" w:lineRule="auto"/>
        <w:ind w:firstLineChars="100"/>
        <w:jc w:val="center"/>
      </w:pPr>
      <w:r>
        <w:rPr>
          <w:rFonts w:hint="eastAsia"/>
          <w:b/>
          <w:noProof/>
          <w:sz w:val="21"/>
        </w:rPr>
        <w:t>现场灌浆料制备图</w:t>
      </w:r>
    </w:p>
    <w:p>
      <w:pPr>
        <w:spacing w:line="360" w:lineRule="auto"/>
        <w:ind w:firstLineChars="200"/>
        <w:jc w:val="both"/>
      </w:pPr>
      <w:r>
        <w:rPr>
          <w:rFonts w:hint="eastAsia"/>
          <w:b/>
          <w:noProof/>
          <w:sz w:val="24"/>
        </w:rPr>
        <w:t>〔5灌浆料检测</w:t>
      </w:r>
    </w:p>
    <w:p>
      <w:pPr>
        <w:spacing w:line="360" w:lineRule="auto"/>
        <w:ind w:firstLineChars="200"/>
        <w:jc w:val="both"/>
      </w:pPr>
      <w:r>
        <w:rPr>
          <w:rFonts w:hint="eastAsia"/>
          <w:noProof/>
          <w:sz w:val="24"/>
        </w:rPr>
        <w:t>1按照现场检验规定,利用同一班次同一批号的灌浆料至少作一次流动度测试,保证流动度不小于250mm；</w:t>
      </w:r>
    </w:p>
    <w:p>
      <w:pPr>
        <w:spacing w:line="360" w:lineRule="auto"/>
        <w:ind w:firstLineChars="200"/>
        <w:jc w:val="both"/>
      </w:pPr>
      <w:r>
        <w:rPr>
          <w:rFonts w:hint="eastAsia"/>
          <w:noProof/>
          <w:sz w:val="24"/>
        </w:rPr>
        <w:t>2检测方法：</w:t>
      </w:r>
    </w:p>
    <w:p>
      <w:pPr>
        <w:spacing w:line="360" w:lineRule="auto"/>
        <w:ind w:firstLineChars="200"/>
        <w:jc w:val="both"/>
      </w:pPr>
      <w:r>
        <w:rPr>
          <w:rFonts w:hint="eastAsia"/>
          <w:noProof/>
          <w:sz w:val="24"/>
        </w:rPr>
        <w:t>a.将截锥圆模放在玻璃板中心,将灌浆材料浆体导入截锥圆模内,直至浆体与截锥圆模上口平；</w:t>
      </w:r>
    </w:p>
    <w:p>
      <w:pPr>
        <w:spacing w:line="360" w:lineRule="auto"/>
        <w:ind w:firstLineChars="200"/>
        <w:jc w:val="both"/>
      </w:pPr>
      <w:r>
        <w:rPr>
          <w:rFonts w:hint="eastAsia"/>
          <w:noProof/>
          <w:sz w:val="24"/>
        </w:rPr>
        <w:t>b.徐徐提起截锥圆模,让浆体在无扰动条件下自由流动直至停止；</w:t>
      </w:r>
    </w:p>
    <w:p>
      <w:pPr>
        <w:spacing w:line="360" w:lineRule="auto"/>
        <w:ind w:firstLineChars="200"/>
        <w:jc w:val="both"/>
      </w:pPr>
      <w:r>
        <w:rPr>
          <w:rFonts w:hint="eastAsia"/>
          <w:noProof/>
          <w:sz w:val="24"/>
        </w:rPr>
        <w:t>c.测量浆体最大扩散直径及与其垂直方向的直径,计算平均值,精确到1mm,作为流动度初始值；在6min内完成上述测量过程；</w:t>
      </w:r>
    </w:p>
    <w:p>
      <w:pPr>
        <w:spacing w:line="360" w:lineRule="auto"/>
        <w:ind w:firstLineChars="200"/>
        <w:jc w:val="both"/>
      </w:pPr>
      <w:r>
        <w:rPr>
          <w:rFonts w:hint="eastAsia"/>
          <w:noProof/>
          <w:sz w:val="24"/>
        </w:rPr>
        <w:t>d.按上述步骤测定30min后流动度值,流动值不小于200mm。</w:t>
      </w:r>
    </w:p>
    <w:p>
      <w:pPr>
        <w:spacing w:line="360" w:lineRule="auto"/>
        <w:ind w:firstLineChars="200"/>
        <w:jc w:val="both"/>
      </w:pPr>
      <w:r>
        <w:rPr>
          <w:rFonts w:hint="eastAsia"/>
          <w:noProof/>
          <w:sz w:val="24"/>
        </w:rPr>
        <w:t>具体要求按照《钢筋连接用套筒灌浆料》JGJ 408-2013附录A要求执行。</w:t>
      </w:r>
    </w:p>
    <w:p>
      <w:pPr>
        <w:spacing w:line="360" w:lineRule="auto"/>
        <w:ind w:firstLineChars="200"/>
        <w:jc w:val="both"/>
      </w:pPr>
      <w:r>
        <w:rPr>
          <w:rFonts w:hint="eastAsia"/>
          <w:b/>
          <w:noProof/>
          <w:sz w:val="24"/>
        </w:rPr>
        <w:t>〔6灌浆</w:t>
      </w:r>
    </w:p>
    <w:p>
      <w:pPr>
        <w:spacing w:line="360" w:lineRule="auto"/>
        <w:ind w:firstLineChars="200"/>
        <w:jc w:val="both"/>
      </w:pPr>
      <w:r>
        <w:rPr>
          <w:rFonts w:hint="eastAsia"/>
          <w:noProof/>
          <w:sz w:val="24"/>
        </w:rPr>
        <w:t>1首先将所有注浆口、排浆口塞堵打开；</w:t>
      </w:r>
    </w:p>
    <w:p>
      <w:pPr>
        <w:spacing w:line="360" w:lineRule="auto"/>
        <w:ind w:firstLineChars="200"/>
        <w:jc w:val="both"/>
      </w:pPr>
      <w:r>
        <w:rPr>
          <w:rFonts w:hint="eastAsia"/>
          <w:noProof/>
          <w:sz w:val="24"/>
        </w:rPr>
        <w:t>2将拌制好的浆液倒入灌浆泵,启动灌浆泵,待灌浆泵嘴流出的浆液成线状时,将灌浆嘴插入预制墙板的灌浆孔内,开始灌浆；</w:t>
      </w:r>
    </w:p>
    <w:p>
      <w:pPr>
        <w:spacing w:line="360" w:lineRule="auto"/>
        <w:ind w:firstLineChars="100"/>
        <w:jc w:val="center"/>
      </w:pPr>
      <w:r>
        <w:rPr>
          <w:rFonts w:hint="eastAsia"/>
          <w:b/>
          <w:noProof/>
          <w:sz w:val="21"/>
        </w:rPr>
        <w:t>灌浆示意图</w:t>
      </w:r>
    </w:p>
    <w:p>
      <w:pPr>
        <w:spacing w:line="360" w:lineRule="auto"/>
        <w:ind w:firstLineChars="200"/>
        <w:jc w:val="both"/>
      </w:pPr>
      <w:r>
        <w:rPr>
          <w:rFonts w:hint="eastAsia"/>
          <w:noProof/>
          <w:sz w:val="24"/>
        </w:rPr>
        <w:t>3按照坐浆分仓顺序依次注浆,从每个仓位于中间的接头灌浆口进行灌浆〔禁止两个灌浆口同时灌浆,灌浆泵运转时,灌浆管端头放在料斗内,以免浆料流出浪费、污染地面； </w:t>
      </w:r>
    </w:p>
    <w:p>
      <w:pPr>
        <w:spacing w:line="360" w:lineRule="auto"/>
        <w:ind w:firstLineChars="200"/>
        <w:jc w:val="both"/>
      </w:pPr>
      <w:r>
        <w:rPr>
          <w:rFonts w:hint="eastAsia"/>
          <w:noProof/>
          <w:sz w:val="24"/>
        </w:rPr>
        <w:t>4上排排浆孔溢出浆液时即为灌满。</w:t>
      </w:r>
    </w:p>
    <w:p>
      <w:pPr>
        <w:spacing w:line="360" w:lineRule="auto"/>
        <w:ind w:firstLineChars="200"/>
        <w:jc w:val="both"/>
      </w:pPr>
      <w:r>
        <w:rPr>
          <w:rFonts w:hint="eastAsia"/>
          <w:b/>
          <w:noProof/>
          <w:sz w:val="24"/>
        </w:rPr>
        <w:t>〔7封堵出浆孔</w:t>
      </w:r>
    </w:p>
    <w:p>
      <w:pPr>
        <w:spacing w:line="360" w:lineRule="auto"/>
        <w:ind w:firstLineChars="200"/>
        <w:jc w:val="both"/>
      </w:pPr>
      <w:r>
        <w:rPr>
          <w:rFonts w:hint="eastAsia"/>
          <w:noProof/>
          <w:sz w:val="24"/>
        </w:rPr>
        <w:t>1灌浆一段时间后,其它下排灌浆孔及上排出浆孔会逐个流出浆液,待浆液成线状流出时,依次将溢出灌浆料的排浆孔用专用橡胶塞塞住,待所有套筒排浆孔均有灌浆料溢出时,停止灌浆,并将灌浆孔封堵。 </w:t>
      </w:r>
    </w:p>
    <w:p>
      <w:pPr>
        <w:spacing w:line="360" w:lineRule="auto"/>
        <w:ind w:firstLineChars="200"/>
        <w:jc w:val="both"/>
      </w:pPr>
      <w:r>
        <w:rPr>
          <w:rFonts w:hint="eastAsia"/>
          <w:noProof/>
          <w:sz w:val="24"/>
        </w:rPr>
        <w:t>2最后确认各孔均流出浆液后,可转入下个构件的灌浆作业,或停止灌浆,填写灌浆和检验记录表；</w:t>
      </w:r>
    </w:p>
    <w:p>
      <w:pPr>
        <w:spacing w:line="360" w:lineRule="auto"/>
        <w:ind w:firstLineChars="200"/>
        <w:jc w:val="both"/>
      </w:pPr>
      <w:r>
        <w:rPr>
          <w:rFonts w:hint="eastAsia"/>
          <w:noProof/>
          <w:sz w:val="24"/>
        </w:rPr>
        <w:t>3一个阶段灌浆作业结束后,立即用水清洗搅拌机、灌浆泵和灌浆管；灌浆泵内残留的灌浆料浆液如已超过30分钟〔自制浆加水开始计算,除非有证据证明其流动度能满足下一个灌浆作业时间,否则不得继续使用,应废弃；</w:t>
      </w:r>
    </w:p>
    <w:p>
      <w:pPr>
        <w:spacing w:line="360" w:lineRule="auto"/>
        <w:ind w:firstLineChars="200"/>
        <w:jc w:val="both"/>
      </w:pPr>
      <w:r>
        <w:rPr>
          <w:rFonts w:hint="eastAsia"/>
          <w:noProof/>
          <w:sz w:val="24"/>
        </w:rPr>
        <w:t>4灌浆施工结束后1d内不得施加有害的振动、冲击等影响,即现浇节点模板安装需在注浆完成12h后进行,砼浇筑需在灌浆1d后进行。</w:t>
      </w:r>
    </w:p>
    <w:p>
      <w:pPr>
        <w:spacing w:line="360" w:lineRule="auto"/>
        <w:ind w:firstLineChars="100"/>
        <w:jc w:val="both"/>
      </w:pPr>
      <w:r>
        <w:drawing>
          <wp:inline distT="0" distB="0" distL="0" distR="0">
            <wp:extent cx="1285875" cy="1009650"/>
            <wp:effectExtent l="0" t="0" r="0" b="0"/>
            <wp:docPr id="9" name="" descr=""/>
            <wp:cNvGraphicFramePr>
              <a:graphicFrameLocks noChangeAspect="true"/>
            </wp:cNvGraphicFramePr>
            <a:graphic>
              <a:graphicData uri="http://schemas.openxmlformats.org/drawingml/2006/picture">
                <pic:pic>
                  <pic:nvPicPr>
                    <pic:cNvPr id="10" name=""/>
                    <pic:cNvPicPr/>
                  </pic:nvPicPr>
                  <pic:blipFill>
                    <a:blip r:embed="rId7"/>
                    <a:stretch>
                      <a:fillRect/>
                    </a:stretch>
                  </pic:blipFill>
                  <pic:spPr>
                    <a:xfrm>
                      <a:off x="0" y="0"/>
                      <a:ext cx="1924050" cy="1009650"/>
                    </a:xfrm>
                    <a:prstGeom prst="rect">
                      <a:avLst/>
                    </a:prstGeom>
                  </pic:spPr>
                </pic:pic>
              </a:graphicData>
            </a:graphic>
          </wp:inline>
        </w:drawing>
      </w:r>
      <w:r>
        <w:drawing>
          <wp:inline distT="0" distB="0" distL="0" distR="0">
            <wp:extent cx="4257675" cy="1800225"/>
            <wp:effectExtent l="0" t="0" r="0" b="0"/>
            <wp:docPr id="11" name="" descr=""/>
            <wp:cNvGraphicFramePr>
              <a:graphicFrameLocks noChangeAspect="true"/>
            </wp:cNvGraphicFramePr>
            <a:graphic>
              <a:graphicData uri="http://schemas.openxmlformats.org/drawingml/2006/picture">
                <pic:pic>
                  <pic:nvPicPr>
                    <pic:cNvPr id="12" name=""/>
                    <pic:cNvPicPr/>
                  </pic:nvPicPr>
                  <pic:blipFill>
                    <a:blip r:embed="rId8"/>
                    <a:stretch>
                      <a:fillRect/>
                    </a:stretch>
                  </pic:blipFill>
                  <pic:spPr>
                    <a:xfrm>
                      <a:off x="0" y="0"/>
                      <a:ext cx="4248150" cy="1800225"/>
                    </a:xfrm>
                    <a:prstGeom prst="rect">
                      <a:avLst/>
                    </a:prstGeom>
                  </pic:spPr>
                </pic:pic>
              </a:graphicData>
            </a:graphic>
          </wp:inline>
        </w:drawing>
      </w:r>
    </w:p>
    <w:p>
      <w:pPr>
        <w:spacing w:line="360" w:lineRule="auto"/>
        <w:ind w:firstLineChars="100"/>
        <w:jc w:val="center"/>
      </w:pPr>
      <w:r>
        <w:rPr>
          <w:rFonts w:hint="eastAsia"/>
          <w:b/>
          <w:noProof/>
          <w:sz w:val="21"/>
        </w:rPr>
        <w:t>灌浆孔、排浆孔封堵示意图</w:t>
      </w:r>
    </w:p>
    <w:p>
      <w:pPr>
        <w:spacing w:line="360" w:lineRule="auto"/>
        <w:ind w:firstLineChars="200"/>
        <w:jc w:val="both"/>
      </w:pPr>
      <w:r>
        <w:rPr>
          <w:rFonts w:hint="eastAsia"/>
          <w:b/>
          <w:noProof/>
          <w:sz w:val="24"/>
        </w:rPr>
        <w:t>〔8灌浆注意事项</w:t>
      </w:r>
    </w:p>
    <w:p>
      <w:pPr>
        <w:spacing w:line="360" w:lineRule="auto"/>
        <w:ind w:firstLineChars="200"/>
        <w:jc w:val="both"/>
      </w:pPr>
      <w:r>
        <w:rPr>
          <w:rFonts w:hint="eastAsia"/>
          <w:noProof/>
          <w:sz w:val="24"/>
        </w:rPr>
        <w:t>1灌浆开始后,必须连续进行,不能间断,并尽可能缩短灌浆时间；</w:t>
      </w:r>
    </w:p>
    <w:p>
      <w:pPr>
        <w:spacing w:line="360" w:lineRule="auto"/>
        <w:ind w:firstLineChars="200"/>
        <w:jc w:val="both"/>
      </w:pPr>
      <w:r>
        <w:rPr>
          <w:rFonts w:hint="eastAsia"/>
          <w:noProof/>
          <w:sz w:val="24"/>
        </w:rPr>
        <w:t>2冬季灌浆料操作要求室外温度高于5℃时才可进行灌浆操作,且必须保证养护温度在10℃以上。</w:t>
      </w:r>
    </w:p>
    <w:p>
      <w:pPr>
        <w:spacing w:line="360" w:lineRule="auto"/>
        <w:ind w:firstLineChars="200"/>
        <w:jc w:val="both"/>
      </w:pPr>
      <w:r>
        <w:rPr>
          <w:rFonts w:hint="eastAsia"/>
          <w:noProof/>
          <w:sz w:val="24"/>
        </w:rPr>
        <w:t>3高温施工措施：</w:t>
      </w:r>
    </w:p>
    <w:p>
      <w:pPr>
        <w:spacing w:line="360" w:lineRule="auto"/>
        <w:ind w:firstLineChars="200"/>
        <w:jc w:val="both"/>
      </w:pPr>
      <w:r>
        <w:rPr>
          <w:rFonts w:hint="eastAsia"/>
          <w:noProof/>
          <w:sz w:val="24"/>
        </w:rPr>
        <w:t>气温高于25℃时,灌浆料储存于通风、干燥、阴凉处,运输过程中避免阳光长时间照射；</w:t>
      </w:r>
    </w:p>
    <w:p>
      <w:pPr>
        <w:spacing w:line="360" w:lineRule="auto"/>
        <w:ind w:firstLineChars="200"/>
        <w:jc w:val="both"/>
      </w:pPr>
      <w:r>
        <w:rPr>
          <w:rFonts w:hint="eastAsia"/>
          <w:noProof/>
          <w:sz w:val="24"/>
        </w:rPr>
        <w:t>夏季晴天时,当表面温度高于30℃ 时,预先采取降温措施。拌合水水温控制在20℃以下,不得超过25℃,现取现用。搅拌机和灌浆泵存放在阴凉处,使用前用水降温并润湿,搅拌时避免阳光直射。</w:t>
      </w:r>
    </w:p>
    <w:p>
      <w:pPr>
        <w:spacing w:line="360" w:lineRule="auto"/>
        <w:ind w:firstLineChars="200"/>
        <w:jc w:val="both"/>
      </w:pPr>
      <w:r>
        <w:rPr>
          <w:rFonts w:hint="eastAsia"/>
          <w:noProof/>
          <w:sz w:val="24"/>
        </w:rPr>
        <w:t>为避开夏季一天内温度过高时间,保证灌浆料现场操作时所需流动性,延长灌浆的有效操作时间。灌浆料初凝时间约为15min,夏季灌浆操作时要求灌浆班组在上午十点之前、下午三点之后进行； </w:t>
      </w:r>
    </w:p>
    <w:p>
      <w:pPr>
        <w:spacing w:line="360" w:lineRule="auto"/>
        <w:ind w:firstLineChars="200"/>
        <w:jc w:val="both"/>
      </w:pPr>
      <w:r>
        <w:rPr>
          <w:rFonts w:hint="eastAsia"/>
          <w:noProof/>
          <w:sz w:val="24"/>
        </w:rPr>
        <w:t>4灌浆套筒灌浆连接采用连通腔灌浆,采用一点灌浆的方式；当一点灌浆遇到问题而需要改变灌浆点时,各灌浆套筒已封堵灌浆孔、出浆孔重新打开,待灌浆料拌合物再次流出后进行封堵；</w:t>
      </w:r>
    </w:p>
    <w:p>
      <w:pPr>
        <w:spacing w:line="360" w:lineRule="auto"/>
        <w:ind w:firstLineChars="200"/>
        <w:jc w:val="both"/>
      </w:pPr>
      <w:r>
        <w:rPr>
          <w:rFonts w:hint="eastAsia"/>
          <w:noProof/>
          <w:sz w:val="24"/>
        </w:rPr>
        <w:t>5灌浆料在加水30min内用完；散落的灌浆料拌合物不得二次使用；剩余的拌合物不得再次添加灌浆料、水后混合使用；</w:t>
      </w:r>
    </w:p>
    <w:p>
      <w:pPr>
        <w:spacing w:line="360" w:lineRule="auto"/>
        <w:ind w:firstLineChars="200"/>
        <w:jc w:val="both"/>
      </w:pPr>
      <w:r>
        <w:rPr>
          <w:rFonts w:hint="eastAsia"/>
          <w:noProof/>
          <w:sz w:val="24"/>
        </w:rPr>
        <w:t>6当灌浆施工出现无法出浆的情况时,查明原因,采取的施工措施符合下列规定：</w:t>
      </w:r>
    </w:p>
    <w:p>
      <w:pPr>
        <w:spacing w:line="360" w:lineRule="auto"/>
        <w:ind w:firstLineChars="200"/>
        <w:jc w:val="both"/>
      </w:pPr>
      <w:r>
        <w:rPr>
          <w:rFonts w:hint="eastAsia"/>
          <w:noProof/>
          <w:sz w:val="24"/>
        </w:rPr>
        <w:t>a. 对于未密实饱满的竖向连接灌浆套筒,当在灌浆料加水拌合30min内时,首选在灌浆孔补灌；当灌浆料拌合物已无法流动时,可从出浆孔补灌,并采用手动设备结合细管压力灌浆；</w:t>
      </w:r>
    </w:p>
    <w:p>
      <w:pPr>
        <w:spacing w:line="360" w:lineRule="auto"/>
        <w:ind w:firstLineChars="200"/>
        <w:jc w:val="both"/>
      </w:pPr>
      <w:r>
        <w:rPr>
          <w:rFonts w:hint="eastAsia"/>
          <w:noProof/>
          <w:sz w:val="24"/>
        </w:rPr>
        <w:t>b. 补灌在灌浆料拌合物达到设计规定的位置后停止,并在灌浆料凝固后再次检查其位置是否符合设计要求；</w:t>
      </w:r>
    </w:p>
    <w:p>
      <w:pPr>
        <w:spacing w:line="360" w:lineRule="auto"/>
        <w:ind w:firstLineChars="200"/>
        <w:jc w:val="both"/>
      </w:pPr>
      <w:r>
        <w:rPr>
          <w:rFonts w:hint="eastAsia"/>
          <w:noProof/>
          <w:sz w:val="24"/>
        </w:rPr>
        <w:t>7临时固定措施的拆除在灌浆料抗压强度能保证结构达到后续施工承载要求后进行。</w:t>
      </w:r>
    </w:p>
    <w:p>
      <w:pPr>
        <w:spacing w:line="360" w:lineRule="auto"/>
        <w:ind w:firstLineChars="200"/>
        <w:jc w:val="both"/>
      </w:pPr>
      <w:r>
        <w:rPr>
          <w:rFonts w:hint="eastAsia"/>
          <w:b/>
          <w:noProof/>
          <w:sz w:val="24"/>
        </w:rPr>
        <w:t>〔9灌浆质量要求</w:t>
      </w:r>
    </w:p>
    <w:p>
      <w:pPr>
        <w:spacing w:line="360" w:lineRule="auto"/>
        <w:ind w:firstLineChars="200"/>
        <w:jc w:val="both"/>
      </w:pPr>
      <w:r>
        <w:rPr>
          <w:rFonts w:hint="eastAsia"/>
          <w:noProof/>
          <w:sz w:val="24"/>
        </w:rPr>
        <w:t>1灌浆料检验分为出厂检验和型式检验：</w:t>
      </w:r>
    </w:p>
    <w:p>
      <w:pPr>
        <w:spacing w:line="360" w:lineRule="auto"/>
        <w:ind w:firstLineChars="200"/>
        <w:jc w:val="both"/>
      </w:pPr>
      <w:r>
        <w:rPr>
          <w:rFonts w:hint="eastAsia"/>
          <w:noProof/>
          <w:sz w:val="24"/>
        </w:rPr>
        <w:t>a.出厂检验在产品出厂时进行,检验项目为：初始流动度、30min流动度,1d、3d、28d抗压强度,3h竖向膨胀率、竖向膨胀率24h与3h的差值,泌水率；</w:t>
      </w:r>
    </w:p>
    <w:p>
      <w:pPr>
        <w:spacing w:line="360" w:lineRule="auto"/>
        <w:ind w:firstLineChars="200"/>
        <w:jc w:val="both"/>
      </w:pPr>
      <w:r>
        <w:rPr>
          <w:rFonts w:hint="eastAsia"/>
          <w:noProof/>
          <w:sz w:val="24"/>
        </w:rPr>
        <w:t>b.型式检验项目见下表：</w:t>
      </w:r>
    </w:p>
    <w:tbl>
      <w:tblPr>
        <w:tblW w:w="0" w:type="dxa"/>
      </w:tblPr>
      <w:tblGrid/>
      <w:tr>
        <w:trPr/>
        <w:tc>
          <w:tcPr>
            <w:gridSpan w:val="2"/>
            <w:tcBorders>
              <w:top w:val="single" w:color="EEEEEE" w:sz="6"/>
              <w:left w:val="single" w:color="EEEEEE" w:sz="6"/>
              <w:bottom w:val="single" w:color="EEEEEE" w:sz="6"/>
              <w:right w:val="single" w:color="EEEEEE" w:sz="6"/>
            </w:tcBorders>
          </w:tcPr>
          <w:p>
            <w:pPr>
              <w:spacing w:line="240" w:lineRule="auto"/>
            </w:pPr>
            <w:r>
              <w:rPr>
                <w:rFonts w:hint="eastAsia"/>
                <w:noProof/>
                <w:sz w:val="24"/>
                <w:shd w:val="pct15" w:color="auto" w:fill="FFFFFF"/>
              </w:rPr>
              <w:t>检测项目</w:t>
            </w: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shd w:val="pct15" w:color="auto" w:fill="FFFFFF"/>
              </w:rPr>
              <w:t>性能指标</w:t>
            </w:r>
          </w:p>
        </w:tc>
      </w:tr>
      <w:tr>
        <w:trPr/>
        <w:tc>
          <w:tcPr>
            <w:vMerge w:val="restart"/>
            <w:tcBorders>
              <w:top w:val="single" w:color="EEEEEE" w:sz="6"/>
              <w:left w:val="single" w:color="EEEEEE" w:sz="6"/>
              <w:bottom w:val="single" w:color="EEEEEE" w:sz="6"/>
              <w:right w:val="single" w:color="EEEEEE" w:sz="6"/>
            </w:tcBorders>
          </w:tcPr>
          <w:p>
            <w:pPr>
              <w:spacing w:line="240" w:lineRule="auto"/>
            </w:pPr>
            <w:r>
              <w:rPr>
                <w:rFonts w:hint="eastAsia"/>
                <w:noProof/>
                <w:sz w:val="24"/>
              </w:rPr>
              <w:t>流动度/mm</w:t>
            </w: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初始</w:t>
            </w: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≥300</w:t>
            </w:r>
          </w:p>
        </w:tc>
      </w:tr>
      <w:tr>
        <w:trPr/>
        <w:tc>
          <w:tcPr>
            <w:vMerge/>
            <w:tcBorders>
              <w:top w:val="single" w:color="EEEEEE" w:sz="6"/>
              <w:left w:val="single" w:color="EEEEEE" w:sz="6"/>
              <w:bottom w:val="single" w:color="EEEEEE" w:sz="6"/>
              <w:right w:val="single" w:color="EEEEEE" w:sz="6"/>
            </w:tcBorders>
          </w:tcP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30mm</w:t>
            </w: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≥260</w:t>
            </w:r>
          </w:p>
        </w:tc>
      </w:tr>
      <w:tr>
        <w:trPr/>
        <w:tc>
          <w:tcPr>
            <w:vMerge w:val="restart"/>
            <w:tcBorders>
              <w:top w:val="single" w:color="EEEEEE" w:sz="6"/>
              <w:left w:val="single" w:color="EEEEEE" w:sz="6"/>
              <w:bottom w:val="single" w:color="EEEEEE" w:sz="6"/>
              <w:right w:val="single" w:color="EEEEEE" w:sz="6"/>
            </w:tcBorders>
          </w:tcPr>
          <w:p>
            <w:pPr>
              <w:spacing w:line="240" w:lineRule="auto"/>
            </w:pPr>
            <w:r>
              <w:rPr>
                <w:rFonts w:hint="eastAsia"/>
                <w:noProof/>
                <w:sz w:val="24"/>
              </w:rPr>
              <w:t>抗压强度/Mpa</w:t>
            </w: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1d</w:t>
            </w: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≥35</w:t>
            </w:r>
          </w:p>
        </w:tc>
      </w:tr>
      <w:tr>
        <w:trPr/>
        <w:tc>
          <w:tcPr>
            <w:vMerge/>
            <w:tcBorders>
              <w:top w:val="single" w:color="EEEEEE" w:sz="6"/>
              <w:left w:val="single" w:color="EEEEEE" w:sz="6"/>
              <w:bottom w:val="single" w:color="EEEEEE" w:sz="6"/>
              <w:right w:val="single" w:color="EEEEEE" w:sz="6"/>
            </w:tcBorders>
          </w:tcP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3d</w:t>
            </w: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≥60</w:t>
            </w:r>
          </w:p>
        </w:tc>
      </w:tr>
      <w:tr>
        <w:trPr/>
        <w:tc>
          <w:tcPr>
            <w:vMerge/>
            <w:tcBorders>
              <w:top w:val="single" w:color="EEEEEE" w:sz="6"/>
              <w:left w:val="single" w:color="EEEEEE" w:sz="6"/>
              <w:bottom w:val="single" w:color="EEEEEE" w:sz="6"/>
              <w:right w:val="single" w:color="EEEEEE" w:sz="6"/>
            </w:tcBorders>
          </w:tcP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28d</w:t>
            </w: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≥85</w:t>
            </w:r>
          </w:p>
        </w:tc>
      </w:tr>
      <w:tr>
        <w:trPr/>
        <w:tc>
          <w:tcPr>
            <w:vMerge w:val="restart"/>
            <w:tcBorders>
              <w:top w:val="single" w:color="EEEEEE" w:sz="6"/>
              <w:left w:val="single" w:color="EEEEEE" w:sz="6"/>
              <w:bottom w:val="single" w:color="EEEEEE" w:sz="6"/>
              <w:right w:val="single" w:color="EEEEEE" w:sz="6"/>
            </w:tcBorders>
          </w:tcPr>
          <w:p>
            <w:pPr>
              <w:spacing w:line="240" w:lineRule="auto"/>
            </w:pPr>
            <w:r>
              <w:rPr>
                <w:rFonts w:hint="eastAsia"/>
                <w:noProof/>
                <w:sz w:val="24"/>
              </w:rPr>
              <w:t>竖向膨胀率/%</w:t>
            </w: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3h</w:t>
            </w: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≥0.02</w:t>
            </w:r>
          </w:p>
        </w:tc>
      </w:tr>
      <w:tr>
        <w:trPr/>
        <w:tc>
          <w:tcPr>
            <w:vMerge/>
            <w:tcBorders>
              <w:top w:val="single" w:color="EEEEEE" w:sz="6"/>
              <w:left w:val="single" w:color="EEEEEE" w:sz="6"/>
              <w:bottom w:val="single" w:color="EEEEEE" w:sz="6"/>
              <w:right w:val="single" w:color="EEEEEE" w:sz="6"/>
            </w:tcBorders>
          </w:tcP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24h与3h差值</w:t>
            </w: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0.02～0.5</w:t>
            </w:r>
          </w:p>
        </w:tc>
      </w:tr>
      <w:tr>
        <w:trPr/>
        <w:tc>
          <w:tcPr>
            <w:gridSpan w:val="2"/>
            <w:tcBorders>
              <w:top w:val="single" w:color="EEEEEE" w:sz="6"/>
              <w:left w:val="single" w:color="EEEEEE" w:sz="6"/>
              <w:bottom w:val="single" w:color="EEEEEE" w:sz="6"/>
              <w:right w:val="single" w:color="EEEEEE" w:sz="6"/>
            </w:tcBorders>
          </w:tcPr>
          <w:p>
            <w:pPr>
              <w:spacing w:line="240" w:lineRule="auto"/>
            </w:pPr>
            <w:r>
              <w:rPr>
                <w:rFonts w:hint="eastAsia"/>
                <w:noProof/>
                <w:sz w:val="24"/>
              </w:rPr>
              <w:t>氯离子含量/%</w:t>
            </w: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≤0.03</w:t>
            </w:r>
          </w:p>
        </w:tc>
      </w:tr>
      <w:tr>
        <w:trPr/>
        <w:tc>
          <w:tcPr>
            <w:gridSpan w:val="2"/>
            <w:tcBorders>
              <w:top w:val="single" w:color="EEEEEE" w:sz="6"/>
              <w:left w:val="single" w:color="EEEEEE" w:sz="6"/>
              <w:bottom w:val="single" w:color="EEEEEE" w:sz="6"/>
              <w:right w:val="single" w:color="EEEEEE" w:sz="6"/>
            </w:tcBorders>
          </w:tcPr>
          <w:p>
            <w:pPr>
              <w:spacing w:line="240" w:lineRule="auto"/>
            </w:pPr>
            <w:r>
              <w:rPr>
                <w:rFonts w:hint="eastAsia"/>
                <w:noProof/>
                <w:sz w:val="24"/>
              </w:rPr>
              <w:t>泌水率/%</w:t>
            </w: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0</w:t>
            </w:r>
          </w:p>
        </w:tc>
      </w:tr>
    </w:tbl>
    <w:p>
      <w:pPr>
        <w:spacing w:before="135" w:line="360" w:lineRule="auto"/>
        <w:ind w:firstLineChars="200"/>
        <w:jc w:val="both"/>
      </w:pPr>
      <w:r>
        <w:rPr>
          <w:rFonts w:hint="eastAsia"/>
          <w:noProof/>
          <w:sz w:val="24"/>
        </w:rPr>
        <w:t>灌浆料进场时要提供产品合格证、使用说明书和产品质量检测报告。</w:t>
      </w:r>
    </w:p>
    <w:p>
      <w:pPr>
        <w:spacing w:line="360" w:lineRule="auto"/>
        <w:ind w:firstLineChars="200"/>
        <w:jc w:val="both"/>
      </w:pPr>
      <w:r>
        <w:rPr>
          <w:rFonts w:hint="eastAsia"/>
          <w:noProof/>
          <w:sz w:val="24"/>
        </w:rPr>
        <w:t>2灌浆前,同一规格的灌浆套筒按现场灌浆工艺制作3个灌浆套筒连接接头进行工艺检验,抗拉强度检验结果应符合Ⅰ级接头要求；灌浆过程中,同一规格每500个灌浆套筒连接接头,采用预制构件生产企业提供的灌浆端未进行连接的套筒灌浆连接接头,制作3个相同灌浆工艺的平行试件进行抗拉强度检验,检验结果符合Ⅰ级接头要求。</w:t>
      </w:r>
    </w:p>
    <w:p>
      <w:pPr>
        <w:spacing w:line="360" w:lineRule="auto"/>
        <w:ind w:firstLineChars="200"/>
        <w:jc w:val="both"/>
      </w:pPr>
      <w:r>
        <w:rPr>
          <w:rFonts w:hint="eastAsia"/>
          <w:noProof/>
          <w:sz w:val="24"/>
        </w:rPr>
        <w:t>3灌浆施工过程留存影像资料,及时形成施工质量检查记录表,见下表。实际灌入量不得小于理论计算值,灌浆料28d标养试块抗压强度应符合要求。检验数量：每工作班留置1组,每组3块40mm×40mm×160mm试件。</w:t>
      </w:r>
    </w:p>
    <w:tbl>
      <w:tblPr>
        <w:tblW w:w="0" w:type="dxa"/>
      </w:tblPr>
      <w:tblGrid/>
      <w:tr>
        <w:trPr/>
        <w:tc>
          <w:tcPr>
            <w:gridSpan w:val="10"/>
            <w:tcBorders>
              <w:top w:val="single" w:color="EEEEEE" w:sz="6"/>
              <w:left w:val="single" w:color="EEEEEE" w:sz="6"/>
              <w:bottom w:val="single" w:color="EEEEEE" w:sz="6"/>
              <w:right w:val="single" w:color="EEEEEE" w:sz="6"/>
            </w:tcBorders>
          </w:tcPr>
          <w:p>
            <w:pPr>
              <w:spacing w:line="240" w:lineRule="auto"/>
            </w:pPr>
            <w:r>
              <w:rPr>
                <w:rFonts w:hint="eastAsia"/>
                <w:noProof/>
                <w:sz w:val="24"/>
                <w:shd w:val="pct15" w:color="auto" w:fill="FFFFFF"/>
              </w:rPr>
              <w:t>灌浆内控表格</w:t>
            </w:r>
          </w:p>
        </w:tc>
      </w:tr>
      <w:tr>
        <w:trPr/>
        <w:tc>
          <w:tcPr>
            <w:vMerge w:val="restart"/>
            <w:tcBorders>
              <w:top w:val="single" w:color="EEEEEE" w:sz="6"/>
              <w:left w:val="single" w:color="EEEEEE" w:sz="6"/>
              <w:bottom w:val="single" w:color="EEEEEE" w:sz="6"/>
              <w:right w:val="single" w:color="EEEEEE" w:sz="6"/>
            </w:tcBorders>
          </w:tcPr>
          <w:p>
            <w:pPr>
              <w:spacing w:line="240" w:lineRule="auto"/>
            </w:pPr>
            <w:r>
              <w:rPr>
                <w:rFonts w:hint="eastAsia"/>
                <w:noProof/>
                <w:sz w:val="24"/>
              </w:rPr>
              <w:t>序号</w:t>
            </w:r>
          </w:p>
        </w:tc>
        <w:tc>
          <w:tcPr>
            <w:gridSpan w:val="2"/>
            <w:tcBorders>
              <w:top w:val="single" w:color="EEEEEE" w:sz="6"/>
              <w:left w:val="single" w:color="EEEEEE" w:sz="6"/>
              <w:bottom w:val="single" w:color="EEEEEE" w:sz="6"/>
              <w:right w:val="single" w:color="EEEEEE" w:sz="6"/>
            </w:tcBorders>
          </w:tcPr>
          <w:p>
            <w:pPr>
              <w:spacing w:line="240" w:lineRule="auto"/>
            </w:pPr>
            <w:r>
              <w:rPr>
                <w:rFonts w:hint="eastAsia"/>
                <w:noProof/>
                <w:sz w:val="24"/>
              </w:rPr>
              <w:t>材料</w:t>
            </w:r>
          </w:p>
        </w:tc>
        <w:tc>
          <w:tcPr>
            <w:vMerge w:val="restart"/>
            <w:tcBorders>
              <w:top w:val="single" w:color="EEEEEE" w:sz="6"/>
              <w:left w:val="single" w:color="EEEEEE" w:sz="6"/>
              <w:bottom w:val="single" w:color="EEEEEE" w:sz="6"/>
              <w:right w:val="single" w:color="EEEEEE" w:sz="6"/>
            </w:tcBorders>
          </w:tcPr>
          <w:p>
            <w:pPr>
              <w:spacing w:line="240" w:lineRule="auto"/>
            </w:pPr>
            <w:r>
              <w:rPr>
                <w:rFonts w:hint="eastAsia"/>
                <w:noProof/>
                <w:sz w:val="24"/>
              </w:rPr>
              <w:t>配比</w:t>
            </w:r>
          </w:p>
        </w:tc>
        <w:tc>
          <w:tcPr>
            <w:vMerge w:val="restart"/>
            <w:tcBorders>
              <w:top w:val="single" w:color="EEEEEE" w:sz="6"/>
              <w:left w:val="single" w:color="EEEEEE" w:sz="6"/>
              <w:bottom w:val="single" w:color="EEEEEE" w:sz="6"/>
              <w:right w:val="single" w:color="EEEEEE" w:sz="6"/>
            </w:tcBorders>
          </w:tcPr>
          <w:p>
            <w:pPr>
              <w:spacing w:line="240" w:lineRule="auto"/>
            </w:pPr>
            <w:r>
              <w:rPr>
                <w:rFonts w:hint="eastAsia"/>
                <w:noProof/>
                <w:sz w:val="24"/>
              </w:rPr>
              <w:t>搅拌</w:t>
            </w:r>
          </w:p>
          <w:p>
            <w:pPr>
              <w:spacing w:line="240" w:lineRule="auto"/>
            </w:pPr>
            <w:r>
              <w:rPr>
                <w:rFonts w:hint="eastAsia"/>
                <w:noProof/>
                <w:sz w:val="24"/>
              </w:rPr>
              <w:t>时间</w:t>
            </w:r>
          </w:p>
        </w:tc>
        <w:tc>
          <w:tcPr>
            <w:vMerge w:val="restart"/>
            <w:tcBorders>
              <w:top w:val="single" w:color="EEEEEE" w:sz="6"/>
              <w:left w:val="single" w:color="EEEEEE" w:sz="6"/>
              <w:bottom w:val="single" w:color="EEEEEE" w:sz="6"/>
              <w:right w:val="single" w:color="EEEEEE" w:sz="6"/>
            </w:tcBorders>
          </w:tcPr>
          <w:p>
            <w:pPr>
              <w:spacing w:line="240" w:lineRule="auto"/>
            </w:pPr>
            <w:r>
              <w:rPr>
                <w:rFonts w:hint="eastAsia"/>
                <w:noProof/>
                <w:sz w:val="24"/>
              </w:rPr>
              <w:t>使用</w:t>
            </w:r>
          </w:p>
          <w:p>
            <w:pPr>
              <w:spacing w:line="240" w:lineRule="auto"/>
            </w:pPr>
            <w:r>
              <w:rPr>
                <w:rFonts w:hint="eastAsia"/>
                <w:noProof/>
                <w:sz w:val="24"/>
              </w:rPr>
              <w:t>时间</w:t>
            </w:r>
          </w:p>
        </w:tc>
        <w:tc>
          <w:tcPr>
            <w:vMerge w:val="restart"/>
            <w:tcBorders>
              <w:top w:val="single" w:color="EEEEEE" w:sz="6"/>
              <w:left w:val="single" w:color="EEEEEE" w:sz="6"/>
              <w:bottom w:val="single" w:color="EEEEEE" w:sz="6"/>
              <w:right w:val="single" w:color="EEEEEE" w:sz="6"/>
            </w:tcBorders>
          </w:tcPr>
          <w:p>
            <w:pPr>
              <w:spacing w:line="240" w:lineRule="auto"/>
            </w:pPr>
            <w:r>
              <w:rPr>
                <w:rFonts w:hint="eastAsia"/>
                <w:noProof/>
                <w:sz w:val="24"/>
              </w:rPr>
              <w:t>使用部位</w:t>
            </w:r>
          </w:p>
        </w:tc>
        <w:tc>
          <w:tcPr>
            <w:vMerge w:val="restart"/>
            <w:tcBorders>
              <w:top w:val="single" w:color="EEEEEE" w:sz="6"/>
              <w:left w:val="single" w:color="EEEEEE" w:sz="6"/>
              <w:bottom w:val="single" w:color="EEEEEE" w:sz="6"/>
              <w:right w:val="single" w:color="EEEEEE" w:sz="6"/>
            </w:tcBorders>
          </w:tcPr>
          <w:p>
            <w:pPr>
              <w:spacing w:line="240" w:lineRule="auto"/>
            </w:pPr>
            <w:r>
              <w:rPr>
                <w:rFonts w:hint="eastAsia"/>
                <w:noProof/>
                <w:sz w:val="24"/>
              </w:rPr>
              <w:t>操作员</w:t>
            </w:r>
          </w:p>
        </w:tc>
        <w:tc>
          <w:tcPr>
            <w:vMerge w:val="restart"/>
            <w:tcBorders>
              <w:top w:val="single" w:color="EEEEEE" w:sz="6"/>
              <w:left w:val="single" w:color="EEEEEE" w:sz="6"/>
              <w:bottom w:val="single" w:color="EEEEEE" w:sz="6"/>
              <w:right w:val="single" w:color="EEEEEE" w:sz="6"/>
            </w:tcBorders>
          </w:tcPr>
          <w:p>
            <w:pPr>
              <w:spacing w:line="240" w:lineRule="auto"/>
            </w:pPr>
            <w:r>
              <w:rPr>
                <w:rFonts w:hint="eastAsia"/>
                <w:noProof/>
                <w:sz w:val="24"/>
              </w:rPr>
              <w:t>施工员</w:t>
            </w:r>
          </w:p>
        </w:tc>
        <w:tc>
          <w:tcPr>
            <w:vMerge w:val="restart"/>
            <w:tcBorders>
              <w:top w:val="single" w:color="EEEEEE" w:sz="6"/>
              <w:left w:val="single" w:color="EEEEEE" w:sz="6"/>
              <w:bottom w:val="single" w:color="EEEEEE" w:sz="6"/>
              <w:right w:val="single" w:color="EEEEEE" w:sz="6"/>
            </w:tcBorders>
          </w:tcPr>
          <w:p>
            <w:pPr>
              <w:spacing w:line="240" w:lineRule="auto"/>
            </w:pPr>
            <w:r>
              <w:rPr>
                <w:rFonts w:hint="eastAsia"/>
                <w:noProof/>
                <w:sz w:val="24"/>
              </w:rPr>
              <w:t>质检员</w:t>
            </w:r>
          </w:p>
        </w:tc>
      </w:tr>
      <w:tr>
        <w:trPr/>
        <w:tc>
          <w:tcPr>
            <w:vMerge/>
            <w:tcBorders>
              <w:top w:val="single" w:color="EEEEEE" w:sz="6"/>
              <w:left w:val="single" w:color="EEEEEE" w:sz="6"/>
              <w:bottom w:val="single" w:color="EEEEEE" w:sz="6"/>
              <w:right w:val="single" w:color="EEEEEE" w:sz="6"/>
            </w:tcBorders>
          </w:tcP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灌浆料</w:t>
            </w:r>
          </w:p>
          <w:p>
            <w:pPr>
              <w:spacing w:line="240" w:lineRule="auto"/>
            </w:pPr>
            <w:r>
              <w:rPr>
                <w:rFonts w:hint="eastAsia"/>
                <w:noProof/>
                <w:sz w:val="24"/>
              </w:rPr>
              <w:t>〔Kg</w:t>
            </w:r>
          </w:p>
        </w:tc>
        <w:tc>
          <w:tcPr>
            <w:vMerge/>
            <w:tcBorders>
              <w:top w:val="single" w:color="EEEEEE" w:sz="6"/>
              <w:left w:val="single" w:color="EEEEEE" w:sz="6"/>
              <w:bottom w:val="single" w:color="EEEEEE" w:sz="6"/>
              <w:right w:val="single" w:color="EEEEEE" w:sz="6"/>
            </w:tcBorders>
          </w:tcPr>
          <w:p/>
        </w:tc>
        <w:tc>
          <w:tcPr>
            <w:vMerge/>
            <w:tcBorders>
              <w:top w:val="single" w:color="EEEEEE" w:sz="6"/>
              <w:left w:val="single" w:color="EEEEEE" w:sz="6"/>
              <w:bottom w:val="single" w:color="EEEEEE" w:sz="6"/>
              <w:right w:val="single" w:color="EEEEEE" w:sz="6"/>
            </w:tcBorders>
          </w:tcPr>
          <w:p/>
        </w:tc>
        <w:tc>
          <w:tcPr>
            <w:vMerge/>
            <w:tcBorders>
              <w:top w:val="single" w:color="EEEEEE" w:sz="6"/>
              <w:left w:val="single" w:color="EEEEEE" w:sz="6"/>
              <w:bottom w:val="single" w:color="EEEEEE" w:sz="6"/>
              <w:right w:val="single" w:color="EEEEEE" w:sz="6"/>
            </w:tcBorders>
          </w:tcPr>
          <w:p/>
        </w:tc>
        <w:tc>
          <w:tcPr>
            <w:vMerge/>
            <w:tcBorders>
              <w:top w:val="single" w:color="EEEEEE" w:sz="6"/>
              <w:left w:val="single" w:color="EEEEEE" w:sz="6"/>
              <w:bottom w:val="single" w:color="EEEEEE" w:sz="6"/>
              <w:right w:val="single" w:color="EEEEEE" w:sz="6"/>
            </w:tcBorders>
          </w:tcPr>
          <w:p/>
        </w:tc>
        <w:tc>
          <w:tcPr>
            <w:vMerge/>
            <w:tcBorders>
              <w:top w:val="single" w:color="EEEEEE" w:sz="6"/>
              <w:left w:val="single" w:color="EEEEEE" w:sz="6"/>
              <w:bottom w:val="single" w:color="EEEEEE" w:sz="6"/>
              <w:right w:val="single" w:color="EEEEEE" w:sz="6"/>
            </w:tcBorders>
          </w:tcPr>
          <w:p/>
        </w:tc>
        <w:tc>
          <w:tcPr>
            <w:vMerge/>
            <w:tcBorders>
              <w:top w:val="single" w:color="EEEEEE" w:sz="6"/>
              <w:left w:val="single" w:color="EEEEEE" w:sz="6"/>
              <w:bottom w:val="single" w:color="EEEEEE" w:sz="6"/>
              <w:right w:val="single" w:color="EEEEEE" w:sz="6"/>
            </w:tcBorders>
          </w:tcPr>
          <w:p/>
        </w:tc>
        <w:tc>
          <w:tcPr>
            <w:vMerge/>
            <w:tcBorders>
              <w:top w:val="single" w:color="EEEEEE" w:sz="6"/>
              <w:left w:val="single" w:color="EEEEEE" w:sz="6"/>
              <w:bottom w:val="single" w:color="EEEEEE" w:sz="6"/>
              <w:right w:val="single" w:color="EEEEEE" w:sz="6"/>
            </w:tcBorders>
          </w:tcPr>
          <w:p/>
        </w:tc>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水〔Kg</w:t>
            </w:r>
          </w:p>
        </w:tc>
      </w:tr>
      <w:tr>
        <w:trPr/>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1</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r>
      <w:tr>
        <w:trPr/>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2</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r>
      <w:tr>
        <w:trPr/>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3</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r>
      <w:tr>
        <w:trPr/>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4</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r>
      <w:tr>
        <w:trPr/>
        <w:tc>
          <w:tcPr>
            <w:tcBorders>
              <w:top w:val="single" w:color="EEEEEE" w:sz="6"/>
              <w:left w:val="single" w:color="EEEEEE" w:sz="6"/>
              <w:bottom w:val="single" w:color="EEEEEE" w:sz="6"/>
              <w:right w:val="single" w:color="EEEEEE" w:sz="6"/>
            </w:tcBorders>
          </w:tcPr>
          <w:p>
            <w:pPr>
              <w:spacing w:line="240" w:lineRule="auto"/>
            </w:pPr>
            <w:r>
              <w:rPr>
                <w:rFonts w:hint="eastAsia"/>
                <w:noProof/>
                <w:sz w:val="24"/>
              </w:rPr>
              <w:t>5</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c>
          <w:tcPr>
            <w:tcBorders>
              <w:top w:val="single" w:color="EEEEEE" w:sz="6"/>
              <w:left w:val="single" w:color="EEEEEE" w:sz="6"/>
              <w:bottom w:val="single" w:color="EEEEEE" w:sz="6"/>
              <w:right w:val="single" w:color="EEEEEE" w:sz="6"/>
            </w:tcBorders>
          </w:tcPr>
          <w:p>
            <w:pPr>
              <w:spacing w:line="240" w:lineRule="auto"/>
            </w:pPr>
            <w:r>
              <w:rPr>
                <w:rFonts w:hint="eastAsia"/>
                <w:noProof/>
              </w:rPr>
              <w:t/>
            </w:r>
          </w:p>
        </w:tc>
      </w:tr>
      <w:tr>
        <w:trPr/>
        <w:tc>
          <w:tcPr>
            <w:gridSpan w:val="10"/>
            <w:tcBorders>
              <w:top w:val="single" w:color="EEEEEE" w:sz="6"/>
              <w:left w:val="single" w:color="EEEEEE" w:sz="6"/>
              <w:bottom w:val="single" w:color="EEEEEE" w:sz="6"/>
              <w:right w:val="single" w:color="EEEEEE" w:sz="6"/>
            </w:tcBorders>
          </w:tcPr>
          <w:p>
            <w:pPr>
              <w:spacing w:line="240" w:lineRule="auto"/>
            </w:pPr>
            <w:r>
              <w:rPr>
                <w:rFonts w:hint="eastAsia"/>
                <w:noProof/>
                <w:sz w:val="21"/>
              </w:rPr>
              <w:t>注：材料调配时严格执行材料包装上所注明配比。</w:t>
            </w:r>
          </w:p>
        </w:tc>
      </w:tr>
    </w:tbl>
    <w:p>
      <w:pPr>
        <w:spacing w:line="240" w:lineRule="auto"/>
      </w:pPr>
      <w:r>
        <w:rPr>
          <w:rFonts w:hint="eastAsia"/>
          <w:noProof/>
        </w:rPr>
        <w:t/>
      </w:r>
    </w:p>
    <w:sectPr>
      <w:pgSz w:w="11906" w:h="16838"/>
      <w:pgMar w:top="1440" w:right="1800" w:bottom="1440" w:left="1800" w:header="851" w:footer="992" w:gutter="0"/>
    </w:sectPr>
  </w:body>
</w:document>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gif" Type="http://schemas.openxmlformats.org/officeDocument/2006/relationships/image" Id="rId3"/>
    <Relationship Target="media/document_image_rId4.gif" Type="http://schemas.openxmlformats.org/officeDocument/2006/relationships/image" Id="rId4"/>
    <Relationship Target="media/document_image_rId5.gif" Type="http://schemas.openxmlformats.org/officeDocument/2006/relationships/image" Id="rId5"/>
    <Relationship Target="media/document_image_rId6.jpeg" Type="http://schemas.openxmlformats.org/officeDocument/2006/relationships/image" Id="rId6"/>
    <Relationship Target="media/document_image_rId7.gif" Type="http://schemas.openxmlformats.org/officeDocument/2006/relationships/image" Id="rId7"/>
    <Relationship Target="media/document_image_rId8.jpeg" Type="http://schemas.openxmlformats.org/officeDocument/2006/relationships/image" Id="rId8"/>
</Relationships>

</file>

<file path=docProps/app.xml><?xml version="1.0" encoding="utf-8"?>
<properties:Properties xmlns:properties="http://schemas.openxmlformats.org/officeDocument/2006/extended-properties" xmlns:vt="http://schemas.openxmlformats.org/officeDocument/2006/docPropsVTypes">
  <properties:Company/>
  <properties:Application/>
  <properties:AppVersion>1.1</properties:AppVersion>
</properties:Properties>
</file>

<file path=docProps/core.xml><?xml version="1.0" encoding="utf-8"?>
<cp:coreProperties xmlns:cp="http://schemas.openxmlformats.org/package/2006/metadata/core-properties" xmlns:dcterms="http://purl.org/dc/terms/" xmlns:dc="http://purl.org/dc/elements/1.1/">
  <dc:creator/>
  <cp:lastModifiedBy/>
</cp:coreProperties>
</file>