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Rule="auto"/>
        <w:jc w:val="left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POLICY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color w:val="43205b"/>
          <w:sz w:val="44"/>
          <w:szCs w:val="44"/>
          <w:rtl w:val="0"/>
        </w:rPr>
        <w:t xml:space="preserve">[Policy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Rule="auto"/>
        <w:jc w:val="left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[Short, one-line description of what this policy governs]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808"/>
        <w:gridCol w:w="1872"/>
        <w:gridCol w:w="2808"/>
        <w:tblGridChange w:id="0">
          <w:tblGrid>
            <w:gridCol w:w="1872"/>
            <w:gridCol w:w="2808"/>
            <w:gridCol w:w="1872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POLICY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POL-CLIN-001]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Clinical Operations]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[MM/DD/YYYY]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REVISION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1.0]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LAST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[MM/DD/YYYY]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NEXT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[MM/DD/YYYY]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[Name, 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[Prior policy # or “None”]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1.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[State, in 1–3 sentences, why this policy exists and what outcome it is intended to achieve. Example: “This policy establishes the standard for…”]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2.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[Define who and what the policy applies to — positions, departments, facilities, vehicles, or patient populations covered. Note any exclusions.]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3. 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[Define any terms, abbreviations, or acronyms used in this policy that are not common knowledge.]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Term</w:t>
      </w: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  —  [definition]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Abbreviation</w:t>
      </w: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  —  [what it stands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4.  Policy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[The core policy language — the rule or standard itself, written in clear, directive language. This is the “what” (not the “how”).]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[Key requirement or principle #1]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[Key requirement or principle #2]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[Key requirement or principle #3]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5. 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The following steps describe how this policy is operationalized. Follow each step in order unless clinical judgment or another approved protocol dictates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[Step 1 — describe the action, who performs it, and any required documentation.]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[Step 2 — describe the action, who performs it, and any required documentation.]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[Step 3 — describe the action, who performs it, and any required documentation.]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[Step 4 — describe the action, who performs it, and any required documentation.]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5.1 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[Document any circumstances under which the procedure may be modified, and who must approve such modification.]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5.2  Documentation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[Required form(s), ePCR fields, or reports associated with this procedure.]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[Retention requirements and where records are stored.]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6. 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The following roles are accountable for the implementation, execution, and oversight of this policy: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20"/>
                <w:szCs w:val="20"/>
                <w:rtl w:val="0"/>
              </w:rPr>
              <w:t xml:space="preserve">ROLE /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5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43205b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Field Supervisor]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[Key responsibilities for this policy]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EMT / Paramedic]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[Key responsibilities for this policy]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Billing / Compliance]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[Key responsibilities for this policy]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7.  References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This policy aligns with, and where applicable is required by, the following authorities and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[California Code of Regulations, Title 22 — Division 9 (EMS)]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[Local EMS Agency (LEMSA) policies and protocols]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[California EMS Authority (EMSA) guidelines]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[Health Insurance Portability and Accountability Act (HIPAA), 45 CFR Parts 160 &amp; 164]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[Occupational Safety and Health Administration (OSHA) standards]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540" w:right="0" w:hanging="27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5a5a5a"/>
          <w:sz w:val="22"/>
          <w:szCs w:val="22"/>
          <w:u w:val="none"/>
          <w:shd w:fill="auto" w:val="clear"/>
          <w:vertAlign w:val="baseline"/>
          <w:rtl w:val="0"/>
        </w:rPr>
        <w:t xml:space="preserve">[Royal Ambulance — [related internal policy #]]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43205b" w:space="4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43205b"/>
          <w:sz w:val="28"/>
          <w:szCs w:val="28"/>
          <w:rtl w:val="0"/>
        </w:rPr>
        <w:t xml:space="preserve">8. 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60" w:line="300" w:lineRule="auto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All revisions to this policy are tracked below. Minor edits (typos, formatting) do not require a new revision number; material changes do.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260"/>
        <w:gridCol w:w="2340"/>
        <w:gridCol w:w="2320"/>
        <w:gridCol w:w="2000"/>
        <w:tblGridChange w:id="0">
          <w:tblGrid>
            <w:gridCol w:w="1440"/>
            <w:gridCol w:w="1260"/>
            <w:gridCol w:w="2340"/>
            <w:gridCol w:w="232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3205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3205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3205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3205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AUTHOR /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3205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600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—  End of Policy 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2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color="43205b" w:space="1" w:sz="6" w:val="single"/>
      </w:pBdr>
      <w:spacing w:after="60"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tabs>
        <w:tab w:val="right" w:leader="none" w:pos="9360"/>
      </w:tabs>
      <w:jc w:val="left"/>
      <w:rPr/>
    </w:pPr>
    <w:r w:rsidDel="00000000" w:rsidR="00000000" w:rsidRPr="00000000">
      <w:rPr>
        <w:color w:val="5a5a5a"/>
        <w:sz w:val="18"/>
        <w:szCs w:val="18"/>
        <w:rtl w:val="0"/>
      </w:rPr>
      <w:t xml:space="preserve">Royal Ambulance  —  ConfidentialPage </w:t>
    </w:r>
    <w:r w:rsidDel="00000000" w:rsidR="00000000" w:rsidRPr="00000000"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5a5a"/>
        <w:sz w:val="18"/>
        <w:szCs w:val="18"/>
        <w:rtl w:val="0"/>
      </w:rPr>
      <w:t xml:space="preserve"> of </w:t>
    </w:r>
    <w:r w:rsidDel="00000000" w:rsidR="00000000" w:rsidRPr="00000000">
      <w:rPr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6">
          <w:pPr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714500" cy="419100"/>
                <wp:effectExtent b="0" l="0" r="0" t="0"/>
                <wp:docPr descr="Royal Ambulance logo" id="1" name="image1.png"/>
                <a:graphic>
                  <a:graphicData uri="http://schemas.openxmlformats.org/drawingml/2006/picture">
                    <pic:pic>
                      <pic:nvPicPr>
                        <pic:cNvPr descr="Royal Ambulance 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7">
          <w:pPr>
            <w:spacing w:after="0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43205b"/>
              <w:sz w:val="22"/>
              <w:szCs w:val="22"/>
              <w:rtl w:val="0"/>
            </w:rPr>
            <w:t xml:space="preserve">POLICY &amp; PROCEDURE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spacing w:after="0" w:before="20" w:lineRule="auto"/>
            <w:jc w:val="right"/>
            <w:rPr/>
          </w:pPr>
          <w:r w:rsidDel="00000000" w:rsidR="00000000" w:rsidRPr="00000000">
            <w:rPr>
              <w:i w:val="1"/>
              <w:iCs w:val="1"/>
              <w:color w:val="5a5a5a"/>
              <w:sz w:val="18"/>
              <w:szCs w:val="18"/>
              <w:rtl w:val="0"/>
            </w:rPr>
            <w:t xml:space="preserve">Royal Ambulance, Inc.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Bdr>
        <w:bottom w:color="43205b" w:space="1" w:sz="12" w:val="single"/>
      </w:pBd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43205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1"/>
      <w:strike w:val="0"/>
      <w:color w:val="5a5a5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