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CB" w:rsidRPr="00C87BCB" w:rsidRDefault="00C87BCB" w:rsidP="00C87BCB">
      <w:pPr>
        <w:spacing w:before="150" w:after="15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it-IT"/>
        </w:rPr>
      </w:pPr>
      <w:r w:rsidRPr="00C87BC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it-IT"/>
        </w:rPr>
        <w:t>Programma</w:t>
      </w:r>
    </w:p>
    <w:p w:rsidR="00C87BCB" w:rsidRPr="00C87BCB" w:rsidRDefault="00C87BCB" w:rsidP="00C87BCB">
      <w:pPr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</w:pPr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Le basi del calcolo delle probabilità: Spazi di probabilità, eventi, funzioni di massa. Probabilità condizionata. Formula delle probabilità totali. Formula delle probabilità composte. Alberi di probabilità. Formula di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Bayes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. Indipendenza e probabilità condizionate. Calcolo combinatorio di base.</w:t>
      </w:r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br/>
        <w:t xml:space="preserve">Il linguaggio delle variabili aleatorie: Funzione di massa e di densità. Funzione di ripartizione. Media e varianza. Mediana, quartili e differenza interquartile. Funzioni di massa e densità congiunte, marginali e condizionate. Funzioni di una variabile aleatoria. Combinazioni lineari di variabili aleatorie: medie, varianze e covarianze. Disuguaglianza di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Chebyshev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. Applicazione alle medie campionarie: la legge dei grandi numeri.</w:t>
      </w:r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br/>
        <w:t xml:space="preserve">Il "bestiario" delle distribuzioni: Binomiale, geometrica e binomiale negativa.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Poisson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 come limite della binomiale.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Ipergeometrica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 e confronto con la binomiale (estrazioni con e senza rimpiazzo). Multinomiale. Uniforme, esponenziale e gamma (con riferimento al processo di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Poisson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). Distribuzione normale e sue proprietà "lineari". Distribuzioni chi quadrato e t di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Student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. Approssimazione normale e teorema del limite centrale.</w:t>
      </w:r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br/>
        <w:t>Applicazioni alla statistica: Statistica descrittiva. Distribuzioni campionarie e teoria della stima. Inferenza su di una media o sulla differenza tra due medie e intervalli di confidenza. Analisi di dati discreti: stima di una proporzione o di una differenza tra proporzioni, di bontà dell'adattamento e di indipendenza in tabelle a doppia entrata.</w:t>
      </w:r>
    </w:p>
    <w:p w:rsidR="00C87BCB" w:rsidRPr="00C87BCB" w:rsidRDefault="00C87BCB" w:rsidP="00C87BCB">
      <w:pPr>
        <w:spacing w:before="150" w:after="15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it-IT"/>
        </w:rPr>
      </w:pPr>
      <w:r w:rsidRPr="00C87BC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it-IT"/>
        </w:rPr>
        <w:t>Testi adottati</w:t>
      </w:r>
    </w:p>
    <w:p w:rsidR="00C87BCB" w:rsidRPr="00C87BCB" w:rsidRDefault="00C87BCB" w:rsidP="00C87BCB">
      <w:pPr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</w:pPr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A.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Hayter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,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Probability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 for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engineers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 and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scientists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, Brooks-Cole (disponibile in rete).</w:t>
      </w:r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br/>
        <w:t xml:space="preserve">S. M.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Ross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, Probabilità e statistica per l'ingegneria e le scienze, Apogeo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Education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 (disponibile in rete in inglese).</w:t>
      </w:r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br/>
        <w:t xml:space="preserve">J.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Blitzstein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, J.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Hwang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,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Introduction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 to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probability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, Taylor and Francis (disponibile in rete con materiale aggiuntivo sul sito Stat 110: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Probability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).</w:t>
      </w:r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br/>
        <w:t>Materiale sul sito e-learning del corso.</w:t>
      </w:r>
    </w:p>
    <w:p w:rsidR="00C87BCB" w:rsidRPr="00C87BCB" w:rsidRDefault="00C87BCB" w:rsidP="00C87BCB">
      <w:pPr>
        <w:spacing w:before="150" w:after="15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it-IT"/>
        </w:rPr>
      </w:pPr>
      <w:r w:rsidRPr="00C87BC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it-IT"/>
        </w:rPr>
        <w:t>Bibliografia di riferimento</w:t>
      </w:r>
    </w:p>
    <w:p w:rsidR="00C87BCB" w:rsidRPr="00C87BCB" w:rsidRDefault="00C87BCB" w:rsidP="00C87BCB">
      <w:pPr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</w:pPr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Per eventuali approfondimenti: M. Piccioni, Probabilità di base, </w:t>
      </w:r>
      <w:proofErr w:type="spellStart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Aracne</w:t>
      </w:r>
      <w:proofErr w:type="spellEnd"/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 xml:space="preserve"> Editrice.</w:t>
      </w:r>
    </w:p>
    <w:p w:rsidR="00C87BCB" w:rsidRPr="00C87BCB" w:rsidRDefault="00C87BCB" w:rsidP="00C87BCB">
      <w:pPr>
        <w:spacing w:before="150" w:after="15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it-IT"/>
        </w:rPr>
      </w:pPr>
      <w:r w:rsidRPr="00C87BC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it-IT"/>
        </w:rPr>
        <w:t>Prerequisiti</w:t>
      </w:r>
    </w:p>
    <w:p w:rsidR="00C87BCB" w:rsidRPr="00C87BCB" w:rsidRDefault="00C87BCB" w:rsidP="00C87BCB">
      <w:pPr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</w:pPr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Teoria elementare degli insiemi (importante); serie di uso comune (utile); calcolo di base in una e più variabili (indispensabile).</w:t>
      </w:r>
    </w:p>
    <w:p w:rsidR="00C87BCB" w:rsidRPr="00C87BCB" w:rsidRDefault="00C87BCB" w:rsidP="00C87BCB">
      <w:pPr>
        <w:spacing w:before="150" w:after="15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it-IT"/>
        </w:rPr>
      </w:pPr>
      <w:r w:rsidRPr="00C87BC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it-IT"/>
        </w:rPr>
        <w:t>Modalità di svolgimento</w:t>
      </w:r>
    </w:p>
    <w:p w:rsidR="00C87BCB" w:rsidRPr="00C87BCB" w:rsidRDefault="00C87BCB" w:rsidP="00C87BCB">
      <w:pPr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</w:pPr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Lezioni frontali ed esercitazioni. La frequenza è fortemente consigliata ma non indispensabile. A seconda della situazione sanitaria verranno attivate modalità a distanza.</w:t>
      </w:r>
    </w:p>
    <w:p w:rsidR="00C87BCB" w:rsidRPr="00C87BCB" w:rsidRDefault="00C87BCB" w:rsidP="00C87BCB">
      <w:pPr>
        <w:spacing w:before="150" w:after="150" w:line="240" w:lineRule="auto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it-IT"/>
        </w:rPr>
      </w:pPr>
      <w:r w:rsidRPr="00C87BCB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it-IT"/>
        </w:rPr>
        <w:t>Modalità di valutazione</w:t>
      </w:r>
    </w:p>
    <w:p w:rsidR="00C87BCB" w:rsidRPr="00C87BCB" w:rsidRDefault="00C87BCB" w:rsidP="00C87BCB">
      <w:pPr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</w:pPr>
      <w:r w:rsidRPr="00C87BCB">
        <w:rPr>
          <w:rFonts w:ascii="Verdana" w:eastAsia="Times New Roman" w:hAnsi="Verdana" w:cs="Times New Roman"/>
          <w:color w:val="333333"/>
          <w:sz w:val="21"/>
          <w:szCs w:val="21"/>
          <w:lang w:eastAsia="it-IT"/>
        </w:rPr>
        <w:t>La prova scritta consta di una prima parte con domande a stimolo chiuso e risposta chiusa, il cui superamento è necessario per essere valutati sulla seconda parte con domande a stimolo chiuso e risposta aperta. La prova orale può essere richiesta a discrezione sia da parte dello studente (per incrementare la sua valutazione rispetto alla prova scritta) o da parte del docente (per chiarire dubbi e omissioni riguardo alla prova scritta). A seconda della situazione sanitaria generale saranno attivate modalità alternative, limitando la prova scritta ai quesiti a risposta multipla ed estendendo a tutti gli studenti la prova orale.</w:t>
      </w:r>
    </w:p>
    <w:p w:rsidR="00C94179" w:rsidRDefault="00C87BCB">
      <w:bookmarkStart w:id="0" w:name="_GoBack"/>
      <w:bookmarkEnd w:id="0"/>
    </w:p>
    <w:sectPr w:rsidR="00C941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CB"/>
    <w:rsid w:val="004A5883"/>
    <w:rsid w:val="00C87BCB"/>
    <w:rsid w:val="00E5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6DF31-131A-42B8-BC5D-B20F32B5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C87B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87BCB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8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1</cp:revision>
  <dcterms:created xsi:type="dcterms:W3CDTF">2021-02-22T10:34:00Z</dcterms:created>
  <dcterms:modified xsi:type="dcterms:W3CDTF">2021-02-22T10:34:00Z</dcterms:modified>
</cp:coreProperties>
</file>