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BE2" w:rsidRPr="000B4F31" w:rsidRDefault="00FB7BE2" w:rsidP="00FB7BE2">
      <w:pPr>
        <w:spacing w:line="276" w:lineRule="auto"/>
        <w:jc w:val="both"/>
        <w:rPr>
          <w:rFonts w:ascii="Times New Roman" w:hAnsi="Times New Roman" w:cs="Times New Roman"/>
          <w:sz w:val="24"/>
          <w:szCs w:val="24"/>
        </w:rPr>
      </w:pPr>
      <w:bookmarkStart w:id="0" w:name="_GoBack"/>
      <w:bookmarkEnd w:id="0"/>
      <w:proofErr w:type="spellStart"/>
      <w:r w:rsidRPr="000B4F31">
        <w:rPr>
          <w:rFonts w:ascii="Times New Roman" w:hAnsi="Times New Roman" w:cs="Times New Roman"/>
          <w:sz w:val="24"/>
          <w:szCs w:val="24"/>
        </w:rPr>
        <w:t>Calavi</w:t>
      </w:r>
      <w:proofErr w:type="spellEnd"/>
      <w:r w:rsidRPr="000B4F31">
        <w:rPr>
          <w:rFonts w:ascii="Times New Roman" w:hAnsi="Times New Roman" w:cs="Times New Roman"/>
          <w:sz w:val="24"/>
          <w:szCs w:val="24"/>
        </w:rPr>
        <w:t xml:space="preserve"> (arrondissements de </w:t>
      </w:r>
      <w:proofErr w:type="spellStart"/>
      <w:r w:rsidRPr="000B4F31">
        <w:rPr>
          <w:rFonts w:ascii="Times New Roman" w:hAnsi="Times New Roman" w:cs="Times New Roman"/>
          <w:sz w:val="24"/>
          <w:szCs w:val="24"/>
        </w:rPr>
        <w:t>Hêvié</w:t>
      </w:r>
      <w:proofErr w:type="spellEnd"/>
      <w:r w:rsidRPr="000B4F31">
        <w:rPr>
          <w:rFonts w:ascii="Times New Roman" w:hAnsi="Times New Roman" w:cs="Times New Roman"/>
          <w:sz w:val="24"/>
          <w:szCs w:val="24"/>
        </w:rPr>
        <w:t xml:space="preserve">, </w:t>
      </w:r>
      <w:proofErr w:type="spellStart"/>
      <w:r w:rsidRPr="000B4F31">
        <w:rPr>
          <w:rFonts w:ascii="Times New Roman" w:hAnsi="Times New Roman" w:cs="Times New Roman"/>
          <w:sz w:val="24"/>
          <w:szCs w:val="24"/>
        </w:rPr>
        <w:t>Akassato</w:t>
      </w:r>
      <w:proofErr w:type="spellEnd"/>
      <w:r w:rsidRPr="000B4F31">
        <w:rPr>
          <w:rFonts w:ascii="Times New Roman" w:hAnsi="Times New Roman" w:cs="Times New Roman"/>
          <w:sz w:val="24"/>
          <w:szCs w:val="24"/>
        </w:rPr>
        <w:t xml:space="preserve">, </w:t>
      </w:r>
      <w:proofErr w:type="spellStart"/>
      <w:r w:rsidRPr="000B4F31">
        <w:rPr>
          <w:rFonts w:ascii="Times New Roman" w:hAnsi="Times New Roman" w:cs="Times New Roman"/>
          <w:sz w:val="24"/>
          <w:szCs w:val="24"/>
        </w:rPr>
        <w:t>Togba</w:t>
      </w:r>
      <w:proofErr w:type="spellEnd"/>
      <w:r w:rsidRPr="000B4F31">
        <w:rPr>
          <w:rFonts w:ascii="Times New Roman" w:hAnsi="Times New Roman" w:cs="Times New Roman"/>
          <w:sz w:val="24"/>
          <w:szCs w:val="24"/>
        </w:rPr>
        <w:t xml:space="preserve">, </w:t>
      </w:r>
      <w:proofErr w:type="spellStart"/>
      <w:r w:rsidRPr="000B4F31">
        <w:rPr>
          <w:rFonts w:ascii="Times New Roman" w:hAnsi="Times New Roman" w:cs="Times New Roman"/>
          <w:sz w:val="24"/>
          <w:szCs w:val="24"/>
        </w:rPr>
        <w:t>Ouèdo</w:t>
      </w:r>
      <w:proofErr w:type="spellEnd"/>
      <w:r w:rsidRPr="000B4F31">
        <w:rPr>
          <w:rFonts w:ascii="Times New Roman" w:hAnsi="Times New Roman" w:cs="Times New Roman"/>
          <w:sz w:val="24"/>
          <w:szCs w:val="24"/>
        </w:rPr>
        <w:t xml:space="preserve"> et </w:t>
      </w:r>
      <w:proofErr w:type="spellStart"/>
      <w:r w:rsidRPr="000B4F31">
        <w:rPr>
          <w:rFonts w:ascii="Times New Roman" w:hAnsi="Times New Roman" w:cs="Times New Roman"/>
          <w:sz w:val="24"/>
          <w:szCs w:val="24"/>
        </w:rPr>
        <w:t>Glo-Djigbé</w:t>
      </w:r>
      <w:proofErr w:type="spellEnd"/>
      <w:r w:rsidRPr="000B4F31">
        <w:rPr>
          <w:rFonts w:ascii="Times New Roman" w:hAnsi="Times New Roman" w:cs="Times New Roman"/>
          <w:sz w:val="24"/>
          <w:szCs w:val="24"/>
        </w:rPr>
        <w:t xml:space="preserve">), et Ouidah (arrondissement de </w:t>
      </w:r>
      <w:proofErr w:type="spellStart"/>
      <w:r w:rsidRPr="000B4F31">
        <w:rPr>
          <w:rFonts w:ascii="Times New Roman" w:hAnsi="Times New Roman" w:cs="Times New Roman"/>
          <w:sz w:val="24"/>
          <w:szCs w:val="24"/>
        </w:rPr>
        <w:t>Pahou</w:t>
      </w:r>
      <w:proofErr w:type="spellEnd"/>
      <w:r w:rsidRPr="000B4F31">
        <w:rPr>
          <w:rFonts w:ascii="Times New Roman" w:hAnsi="Times New Roman" w:cs="Times New Roman"/>
          <w:sz w:val="24"/>
          <w:szCs w:val="24"/>
        </w:rPr>
        <w:t xml:space="preserve">), de Parakou, et Tchaourou (arrondissements de Kika, </w:t>
      </w:r>
      <w:proofErr w:type="spellStart"/>
      <w:r w:rsidRPr="000B4F31">
        <w:rPr>
          <w:rFonts w:ascii="Times New Roman" w:hAnsi="Times New Roman" w:cs="Times New Roman"/>
          <w:sz w:val="24"/>
          <w:szCs w:val="24"/>
        </w:rPr>
        <w:t>Alafiarou</w:t>
      </w:r>
      <w:proofErr w:type="spellEnd"/>
      <w:r w:rsidRPr="000B4F31">
        <w:rPr>
          <w:rFonts w:ascii="Times New Roman" w:hAnsi="Times New Roman" w:cs="Times New Roman"/>
          <w:sz w:val="24"/>
          <w:szCs w:val="24"/>
        </w:rPr>
        <w:t xml:space="preserve"> et </w:t>
      </w:r>
      <w:proofErr w:type="spellStart"/>
      <w:r w:rsidRPr="000B4F31">
        <w:rPr>
          <w:rFonts w:ascii="Times New Roman" w:hAnsi="Times New Roman" w:cs="Times New Roman"/>
          <w:sz w:val="24"/>
          <w:szCs w:val="24"/>
        </w:rPr>
        <w:t>Bétérou</w:t>
      </w:r>
      <w:proofErr w:type="spellEnd"/>
      <w:r w:rsidRPr="000B4F31">
        <w:rPr>
          <w:rFonts w:ascii="Times New Roman" w:hAnsi="Times New Roman" w:cs="Times New Roman"/>
          <w:sz w:val="24"/>
          <w:szCs w:val="24"/>
        </w:rPr>
        <w:t xml:space="preserve">) et de Kandi (arrondissements de </w:t>
      </w:r>
      <w:proofErr w:type="spellStart"/>
      <w:r w:rsidRPr="000B4F31">
        <w:rPr>
          <w:rFonts w:ascii="Times New Roman" w:hAnsi="Times New Roman" w:cs="Times New Roman"/>
          <w:sz w:val="24"/>
          <w:szCs w:val="24"/>
        </w:rPr>
        <w:t>Sonsoro</w:t>
      </w:r>
      <w:proofErr w:type="spellEnd"/>
      <w:r w:rsidRPr="000B4F31">
        <w:rPr>
          <w:rFonts w:ascii="Times New Roman" w:hAnsi="Times New Roman" w:cs="Times New Roman"/>
          <w:sz w:val="24"/>
          <w:szCs w:val="24"/>
        </w:rPr>
        <w:t>, Kandi I et Kandi II).</w:t>
      </w:r>
    </w:p>
    <w:p w:rsidR="00FB7BE2" w:rsidRDefault="00FB7BE2" w:rsidP="00FB7BE2">
      <w:pPr>
        <w:numPr>
          <w:ilvl w:val="0"/>
          <w:numId w:val="3"/>
        </w:numPr>
        <w:spacing w:after="0" w:line="240" w:lineRule="auto"/>
        <w:jc w:val="both"/>
        <w:rPr>
          <w:rFonts w:ascii="Bradley Hand ITC" w:hAnsi="Bradley Hand ITC"/>
          <w:b/>
          <w:i/>
          <w:color w:val="00B050"/>
          <w:sz w:val="32"/>
        </w:rPr>
      </w:pPr>
      <w:bookmarkStart w:id="1" w:name="_Toc359956021"/>
      <w:r>
        <w:rPr>
          <w:rFonts w:ascii="Bradley Hand ITC" w:hAnsi="Bradley Hand ITC"/>
          <w:b/>
          <w:i/>
          <w:color w:val="00B050"/>
          <w:sz w:val="32"/>
        </w:rPr>
        <w:t>S</w:t>
      </w:r>
      <w:r w:rsidRPr="006C6B6C">
        <w:rPr>
          <w:rFonts w:ascii="Bradley Hand ITC" w:hAnsi="Bradley Hand ITC"/>
          <w:b/>
          <w:i/>
          <w:color w:val="00B050"/>
          <w:sz w:val="32"/>
        </w:rPr>
        <w:t>ituation des</w:t>
      </w:r>
      <w:r>
        <w:rPr>
          <w:rFonts w:ascii="Bradley Hand ITC" w:hAnsi="Bradley Hand ITC"/>
          <w:b/>
          <w:i/>
          <w:color w:val="00B050"/>
          <w:sz w:val="32"/>
        </w:rPr>
        <w:t xml:space="preserve"> villes à statut particulier : Cotonou, Parakou et Porto-N</w:t>
      </w:r>
      <w:r w:rsidRPr="006C6B6C">
        <w:rPr>
          <w:rFonts w:ascii="Bradley Hand ITC" w:hAnsi="Bradley Hand ITC"/>
          <w:b/>
          <w:i/>
          <w:color w:val="00B050"/>
          <w:sz w:val="32"/>
        </w:rPr>
        <w:t>ovo.</w:t>
      </w:r>
      <w:bookmarkEnd w:id="1"/>
    </w:p>
    <w:p w:rsidR="00FB7BE2" w:rsidRPr="005A468F" w:rsidRDefault="00FB7BE2" w:rsidP="00FB7BE2">
      <w:pPr>
        <w:numPr>
          <w:ilvl w:val="0"/>
          <w:numId w:val="4"/>
        </w:numPr>
        <w:spacing w:after="0" w:line="240" w:lineRule="auto"/>
        <w:jc w:val="both"/>
        <w:rPr>
          <w:rFonts w:ascii="Bradley Hand ITC" w:hAnsi="Bradley Hand ITC"/>
          <w:b/>
          <w:color w:val="C45911"/>
          <w:sz w:val="32"/>
        </w:rPr>
      </w:pPr>
      <w:r w:rsidRPr="005A468F">
        <w:rPr>
          <w:rFonts w:ascii="Bradley Hand ITC" w:hAnsi="Bradley Hand ITC"/>
          <w:b/>
          <w:color w:val="C45911"/>
          <w:sz w:val="32"/>
        </w:rPr>
        <w:t>Cotonou, toujours première ville du Bénin</w:t>
      </w:r>
    </w:p>
    <w:p w:rsidR="00FB7BE2" w:rsidRPr="000B4F31" w:rsidRDefault="00FB7BE2" w:rsidP="00FB7BE2">
      <w:pPr>
        <w:pStyle w:val="Corpsdetexte21"/>
        <w:overflowPunct/>
        <w:autoSpaceDE/>
        <w:autoSpaceDN/>
        <w:adjustRightInd/>
        <w:spacing w:line="276" w:lineRule="auto"/>
        <w:ind w:firstLine="0"/>
        <w:textAlignment w:val="auto"/>
        <w:rPr>
          <w:rFonts w:eastAsiaTheme="minorHAnsi"/>
          <w:szCs w:val="24"/>
          <w:lang w:eastAsia="en-US"/>
        </w:rPr>
      </w:pPr>
      <w:r w:rsidRPr="000B4F31">
        <w:rPr>
          <w:rFonts w:eastAsiaTheme="minorHAnsi"/>
          <w:szCs w:val="24"/>
          <w:lang w:eastAsia="en-US"/>
        </w:rPr>
        <w:t xml:space="preserve">Cotonou demeure toujours la première ville du Bénin avec 679 012 habitants en 2013 contre 665 100 en 2002, soit une légère hausse, 2,09% sur la période 2002-2013, après un accroissement de 2,17% sur la décennie 1992-2002.  </w:t>
      </w:r>
    </w:p>
    <w:p w:rsidR="00FB7BE2" w:rsidRDefault="00FB7BE2" w:rsidP="00FB7BE2">
      <w:pPr>
        <w:pStyle w:val="Corpsdetexte21"/>
        <w:overflowPunct/>
        <w:autoSpaceDE/>
        <w:autoSpaceDN/>
        <w:adjustRightInd/>
        <w:spacing w:line="276" w:lineRule="auto"/>
        <w:ind w:firstLine="0"/>
        <w:textAlignment w:val="auto"/>
        <w:rPr>
          <w:rFonts w:eastAsiaTheme="minorHAnsi"/>
          <w:szCs w:val="24"/>
          <w:lang w:eastAsia="en-US"/>
        </w:rPr>
      </w:pPr>
      <w:r w:rsidRPr="000B4F31">
        <w:rPr>
          <w:rFonts w:eastAsiaTheme="minorHAnsi"/>
          <w:szCs w:val="24"/>
          <w:lang w:eastAsia="en-US"/>
        </w:rPr>
        <w:t>Quant aux deux autres communes à statut particul</w:t>
      </w:r>
      <w:r>
        <w:rPr>
          <w:rFonts w:eastAsiaTheme="minorHAnsi"/>
          <w:szCs w:val="24"/>
          <w:lang w:eastAsia="en-US"/>
        </w:rPr>
        <w:t>ier, Porto-Novo (264 320 hb</w:t>
      </w:r>
      <w:r w:rsidRPr="000B4F31">
        <w:rPr>
          <w:rFonts w:eastAsiaTheme="minorHAnsi"/>
          <w:szCs w:val="24"/>
          <w:lang w:eastAsia="en-US"/>
        </w:rPr>
        <w:t>ts en 2013 contre 223 552 en 2002)</w:t>
      </w:r>
      <w:r>
        <w:rPr>
          <w:rFonts w:eastAsiaTheme="minorHAnsi"/>
          <w:szCs w:val="24"/>
          <w:lang w:eastAsia="en-US"/>
        </w:rPr>
        <w:t xml:space="preserve"> et Parakou (255 478 hb</w:t>
      </w:r>
      <w:r w:rsidRPr="000B4F31">
        <w:rPr>
          <w:rFonts w:eastAsiaTheme="minorHAnsi"/>
          <w:szCs w:val="24"/>
          <w:lang w:eastAsia="en-US"/>
        </w:rPr>
        <w:t xml:space="preserve">ts en 2013 contre 149 819 habitants en 2002), elles s’illustrent par des taux respectifs de croissance annuel inter censitaire de 1,5% et 4,9%. </w:t>
      </w:r>
    </w:p>
    <w:p w:rsidR="00FB7BE2" w:rsidRDefault="00FB7BE2" w:rsidP="00FB7BE2">
      <w:pPr>
        <w:pStyle w:val="Corpsdetexte21"/>
        <w:overflowPunct/>
        <w:autoSpaceDE/>
        <w:autoSpaceDN/>
        <w:adjustRightInd/>
        <w:spacing w:line="276" w:lineRule="auto"/>
        <w:ind w:firstLine="0"/>
        <w:textAlignment w:val="auto"/>
        <w:rPr>
          <w:szCs w:val="24"/>
        </w:rPr>
      </w:pPr>
    </w:p>
    <w:p w:rsidR="00FB7BE2" w:rsidRPr="005A468F" w:rsidRDefault="00FB7BE2" w:rsidP="00FB7BE2">
      <w:pPr>
        <w:numPr>
          <w:ilvl w:val="0"/>
          <w:numId w:val="4"/>
        </w:numPr>
        <w:spacing w:after="0" w:line="240" w:lineRule="auto"/>
        <w:jc w:val="both"/>
        <w:rPr>
          <w:rFonts w:ascii="Bradley Hand ITC" w:hAnsi="Bradley Hand ITC"/>
          <w:b/>
          <w:color w:val="C45911"/>
          <w:sz w:val="32"/>
        </w:rPr>
      </w:pPr>
      <w:r w:rsidRPr="005A468F">
        <w:rPr>
          <w:rFonts w:ascii="Bradley Hand ITC" w:hAnsi="Bradley Hand ITC"/>
          <w:b/>
          <w:color w:val="C45911"/>
          <w:sz w:val="32"/>
        </w:rPr>
        <w:t xml:space="preserve">Cotonou "dépeuplée" au profit de </w:t>
      </w:r>
      <w:proofErr w:type="spellStart"/>
      <w:r w:rsidRPr="005A468F">
        <w:rPr>
          <w:rFonts w:ascii="Bradley Hand ITC" w:hAnsi="Bradley Hand ITC"/>
          <w:b/>
          <w:color w:val="C45911"/>
          <w:sz w:val="32"/>
        </w:rPr>
        <w:t>Sèmè-Kpodji</w:t>
      </w:r>
      <w:proofErr w:type="spellEnd"/>
      <w:r w:rsidRPr="005A468F">
        <w:rPr>
          <w:rFonts w:ascii="Bradley Hand ITC" w:hAnsi="Bradley Hand ITC"/>
          <w:b/>
          <w:color w:val="C45911"/>
          <w:sz w:val="32"/>
        </w:rPr>
        <w:t xml:space="preserve"> et Abomey-</w:t>
      </w:r>
      <w:proofErr w:type="spellStart"/>
      <w:r w:rsidRPr="005A468F">
        <w:rPr>
          <w:rFonts w:ascii="Bradley Hand ITC" w:hAnsi="Bradley Hand ITC"/>
          <w:b/>
          <w:color w:val="C45911"/>
          <w:sz w:val="32"/>
        </w:rPr>
        <w:t>Calavi</w:t>
      </w:r>
      <w:proofErr w:type="spellEnd"/>
    </w:p>
    <w:p w:rsidR="00FB7BE2" w:rsidRDefault="00FB7BE2" w:rsidP="00FB7BE2">
      <w:pPr>
        <w:pStyle w:val="Corpsdetexte21"/>
        <w:overflowPunct/>
        <w:autoSpaceDE/>
        <w:autoSpaceDN/>
        <w:adjustRightInd/>
        <w:spacing w:before="240" w:after="240" w:line="276" w:lineRule="auto"/>
        <w:ind w:firstLine="0"/>
        <w:textAlignment w:val="auto"/>
        <w:rPr>
          <w:rFonts w:eastAsiaTheme="minorHAnsi"/>
          <w:szCs w:val="24"/>
          <w:lang w:eastAsia="en-US"/>
        </w:rPr>
      </w:pPr>
      <w:r w:rsidRPr="000B4F31">
        <w:rPr>
          <w:rFonts w:eastAsiaTheme="minorHAnsi"/>
          <w:szCs w:val="24"/>
          <w:lang w:eastAsia="en-US"/>
        </w:rPr>
        <w:t xml:space="preserve">La population de Cotonou demeure toujours en deçà de la barre de 700 000 habitants. Cette ville dont le rythme de croissance se trouve freiné, </w:t>
      </w:r>
      <w:r w:rsidRPr="000B4F31">
        <w:rPr>
          <w:rFonts w:eastAsiaTheme="minorHAnsi"/>
          <w:szCs w:val="24"/>
          <w:lang w:eastAsia="en-US"/>
        </w:rPr>
        <w:lastRenderedPageBreak/>
        <w:t>devient petit à petit une ville simplement administrative, industrielle et commerciale. Les populations d’Abomey-</w:t>
      </w:r>
      <w:proofErr w:type="spellStart"/>
      <w:r w:rsidRPr="000B4F31">
        <w:rPr>
          <w:rFonts w:eastAsiaTheme="minorHAnsi"/>
          <w:szCs w:val="24"/>
          <w:lang w:eastAsia="en-US"/>
        </w:rPr>
        <w:t>Calavi</w:t>
      </w:r>
      <w:proofErr w:type="spellEnd"/>
      <w:r w:rsidRPr="000B4F31">
        <w:rPr>
          <w:rFonts w:eastAsiaTheme="minorHAnsi"/>
          <w:szCs w:val="24"/>
          <w:lang w:eastAsia="en-US"/>
        </w:rPr>
        <w:t xml:space="preserve"> et de </w:t>
      </w:r>
      <w:proofErr w:type="spellStart"/>
      <w:r w:rsidRPr="000B4F31">
        <w:rPr>
          <w:rFonts w:eastAsiaTheme="minorHAnsi"/>
          <w:szCs w:val="24"/>
          <w:lang w:eastAsia="en-US"/>
        </w:rPr>
        <w:t>Sèmè-Kpodji</w:t>
      </w:r>
      <w:proofErr w:type="spellEnd"/>
      <w:r w:rsidRPr="000B4F31">
        <w:rPr>
          <w:rFonts w:eastAsiaTheme="minorHAnsi"/>
          <w:szCs w:val="24"/>
          <w:lang w:eastAsia="en-US"/>
        </w:rPr>
        <w:t xml:space="preserve"> par contre s’accroissent continuellement du fait des immigrants en provenance de Cotonou et des</w:t>
      </w:r>
      <w:r>
        <w:rPr>
          <w:szCs w:val="24"/>
        </w:rPr>
        <w:t xml:space="preserve"> </w:t>
      </w:r>
      <w:r w:rsidRPr="000B4F31">
        <w:rPr>
          <w:rFonts w:eastAsiaTheme="minorHAnsi"/>
          <w:szCs w:val="24"/>
          <w:lang w:eastAsia="en-US"/>
        </w:rPr>
        <w:t xml:space="preserve">autres départements du Bénin. </w:t>
      </w:r>
    </w:p>
    <w:p w:rsidR="00FB7BE2" w:rsidRPr="000B4F31" w:rsidRDefault="00FB7BE2" w:rsidP="00FB7BE2">
      <w:pPr>
        <w:pStyle w:val="Corpsdetexte21"/>
        <w:pBdr>
          <w:top w:val="dotDotDash" w:sz="12" w:space="1" w:color="806000" w:themeColor="accent4" w:themeShade="80"/>
          <w:left w:val="dotDotDash" w:sz="12" w:space="4" w:color="806000" w:themeColor="accent4" w:themeShade="80"/>
          <w:bottom w:val="dotDotDash" w:sz="12" w:space="1" w:color="806000" w:themeColor="accent4" w:themeShade="80"/>
          <w:right w:val="dotDotDash" w:sz="12" w:space="4" w:color="806000" w:themeColor="accent4" w:themeShade="80"/>
        </w:pBdr>
        <w:overflowPunct/>
        <w:autoSpaceDE/>
        <w:autoSpaceDN/>
        <w:adjustRightInd/>
        <w:spacing w:before="240" w:after="240" w:line="276" w:lineRule="auto"/>
        <w:ind w:firstLine="0"/>
        <w:textAlignment w:val="auto"/>
        <w:rPr>
          <w:rFonts w:eastAsiaTheme="minorHAnsi"/>
          <w:szCs w:val="24"/>
          <w:lang w:eastAsia="en-US"/>
        </w:rPr>
      </w:pPr>
      <w:r w:rsidRPr="000B4F31">
        <w:rPr>
          <w:rFonts w:eastAsiaTheme="minorHAnsi"/>
          <w:szCs w:val="24"/>
          <w:lang w:eastAsia="en-US"/>
        </w:rPr>
        <w:t xml:space="preserve">En 10 ans, la population de </w:t>
      </w:r>
      <w:proofErr w:type="spellStart"/>
      <w:r w:rsidRPr="000B4F31">
        <w:rPr>
          <w:rFonts w:eastAsiaTheme="minorHAnsi"/>
          <w:szCs w:val="24"/>
          <w:lang w:eastAsia="en-US"/>
        </w:rPr>
        <w:t>Sèmè-Kpodji</w:t>
      </w:r>
      <w:proofErr w:type="spellEnd"/>
      <w:r w:rsidRPr="000B4F31">
        <w:rPr>
          <w:rFonts w:eastAsiaTheme="minorHAnsi"/>
          <w:szCs w:val="24"/>
          <w:lang w:eastAsia="en-US"/>
        </w:rPr>
        <w:t xml:space="preserve"> </w:t>
      </w:r>
      <w:r w:rsidR="00CE4349">
        <w:rPr>
          <w:rFonts w:eastAsiaTheme="minorHAnsi"/>
          <w:szCs w:val="24"/>
          <w:lang w:eastAsia="en-US"/>
        </w:rPr>
        <w:t>a quasiment doublé</w:t>
      </w:r>
      <w:r w:rsidRPr="000B4F31">
        <w:rPr>
          <w:rFonts w:eastAsiaTheme="minorHAnsi"/>
          <w:szCs w:val="24"/>
          <w:lang w:eastAsia="en-US"/>
        </w:rPr>
        <w:t xml:space="preserve"> passant de 115 238 habitants en 2002 à 224 207 habitants en 2013, soit un taux annuel d’accroissement inter censitaire de 6,24%. Au cours de la même période, la population d’Abomey-</w:t>
      </w:r>
      <w:proofErr w:type="spellStart"/>
      <w:r w:rsidRPr="000B4F31">
        <w:rPr>
          <w:rFonts w:eastAsiaTheme="minorHAnsi"/>
          <w:szCs w:val="24"/>
          <w:lang w:eastAsia="en-US"/>
        </w:rPr>
        <w:t>Calavi</w:t>
      </w:r>
      <w:proofErr w:type="spellEnd"/>
      <w:r w:rsidRPr="000B4F31">
        <w:rPr>
          <w:rFonts w:eastAsiaTheme="minorHAnsi"/>
          <w:szCs w:val="24"/>
          <w:lang w:eastAsia="en-US"/>
        </w:rPr>
        <w:t xml:space="preserve"> </w:t>
      </w:r>
      <w:r w:rsidR="00CE4349">
        <w:rPr>
          <w:rFonts w:eastAsiaTheme="minorHAnsi"/>
          <w:szCs w:val="24"/>
          <w:lang w:eastAsia="en-US"/>
        </w:rPr>
        <w:t>a été</w:t>
      </w:r>
      <w:r w:rsidRPr="000B4F31">
        <w:rPr>
          <w:rFonts w:eastAsiaTheme="minorHAnsi"/>
          <w:szCs w:val="24"/>
          <w:lang w:eastAsia="en-US"/>
        </w:rPr>
        <w:t xml:space="preserve"> multipliée par 2 avec un taux annuel d’accroissement inter censitaire de 6,7% contre un taux d’accroissement de 9,43% entre 1992 et 2002. </w:t>
      </w:r>
      <w:r>
        <w:rPr>
          <w:rFonts w:eastAsiaTheme="minorHAnsi"/>
          <w:szCs w:val="24"/>
          <w:lang w:eastAsia="en-US"/>
        </w:rPr>
        <w:t xml:space="preserve"> </w:t>
      </w:r>
    </w:p>
    <w:p w:rsidR="00FB7BE2" w:rsidRPr="006C6B6C" w:rsidRDefault="00FB7BE2" w:rsidP="00FB7BE2">
      <w:pPr>
        <w:numPr>
          <w:ilvl w:val="0"/>
          <w:numId w:val="3"/>
        </w:numPr>
        <w:spacing w:after="0" w:line="240" w:lineRule="auto"/>
        <w:jc w:val="both"/>
        <w:rPr>
          <w:rFonts w:ascii="Bradley Hand ITC" w:hAnsi="Bradley Hand ITC"/>
          <w:b/>
          <w:i/>
          <w:color w:val="00B050"/>
          <w:sz w:val="32"/>
        </w:rPr>
      </w:pPr>
      <w:r w:rsidRPr="006C6B6C">
        <w:rPr>
          <w:rFonts w:ascii="Bradley Hand ITC" w:hAnsi="Bradley Hand ITC"/>
          <w:b/>
          <w:i/>
          <w:color w:val="00B050"/>
          <w:sz w:val="32"/>
        </w:rPr>
        <w:t xml:space="preserve">Une implication en </w:t>
      </w:r>
      <w:r>
        <w:rPr>
          <w:rFonts w:ascii="Bradley Hand ITC" w:hAnsi="Bradley Hand ITC"/>
          <w:b/>
          <w:i/>
          <w:color w:val="00B050"/>
          <w:sz w:val="32"/>
        </w:rPr>
        <w:t>termes</w:t>
      </w:r>
      <w:r w:rsidRPr="006C6B6C">
        <w:rPr>
          <w:rFonts w:ascii="Bradley Hand ITC" w:hAnsi="Bradley Hand ITC"/>
          <w:b/>
          <w:i/>
          <w:color w:val="00B050"/>
          <w:sz w:val="32"/>
        </w:rPr>
        <w:t xml:space="preserve"> de </w:t>
      </w:r>
      <w:r>
        <w:rPr>
          <w:rFonts w:ascii="Bradley Hand ITC" w:hAnsi="Bradley Hand ITC"/>
          <w:b/>
          <w:i/>
          <w:color w:val="00B050"/>
          <w:sz w:val="32"/>
        </w:rPr>
        <w:t>Zone sanitaire au Bénin</w:t>
      </w:r>
    </w:p>
    <w:p w:rsidR="00FB7BE2" w:rsidRPr="000B4F31" w:rsidRDefault="00FB7BE2" w:rsidP="00FB7BE2">
      <w:pPr>
        <w:spacing w:line="276" w:lineRule="auto"/>
        <w:jc w:val="both"/>
        <w:rPr>
          <w:rFonts w:ascii="Times New Roman" w:hAnsi="Times New Roman" w:cs="Times New Roman"/>
          <w:sz w:val="24"/>
          <w:szCs w:val="24"/>
        </w:rPr>
      </w:pPr>
      <w:r w:rsidRPr="000B4F31">
        <w:rPr>
          <w:rFonts w:ascii="Times New Roman" w:hAnsi="Times New Roman" w:cs="Times New Roman"/>
          <w:sz w:val="24"/>
          <w:szCs w:val="24"/>
        </w:rPr>
        <w:t xml:space="preserve">Le nombre de communes d’au moins 200.000 hbts passe de 3 en 2002 (Abomey-Calavi, Cotonou et Porto-Novo) à 8 en 2013 (Cotonou, Abomey-Calavi, Djougou, Porto-Novo, Parakou, </w:t>
      </w:r>
      <w:proofErr w:type="spellStart"/>
      <w:r w:rsidRPr="000B4F31">
        <w:rPr>
          <w:rFonts w:ascii="Times New Roman" w:hAnsi="Times New Roman" w:cs="Times New Roman"/>
          <w:sz w:val="24"/>
          <w:szCs w:val="24"/>
        </w:rPr>
        <w:t>Banikoara</w:t>
      </w:r>
      <w:proofErr w:type="spellEnd"/>
      <w:r w:rsidRPr="000B4F31">
        <w:rPr>
          <w:rFonts w:ascii="Times New Roman" w:hAnsi="Times New Roman" w:cs="Times New Roman"/>
          <w:sz w:val="24"/>
          <w:szCs w:val="24"/>
        </w:rPr>
        <w:t xml:space="preserve">, </w:t>
      </w:r>
      <w:proofErr w:type="spellStart"/>
      <w:r w:rsidRPr="000B4F31">
        <w:rPr>
          <w:rFonts w:ascii="Times New Roman" w:hAnsi="Times New Roman" w:cs="Times New Roman"/>
          <w:sz w:val="24"/>
          <w:szCs w:val="24"/>
        </w:rPr>
        <w:t>Semè-Kpodji</w:t>
      </w:r>
      <w:proofErr w:type="spellEnd"/>
      <w:r w:rsidRPr="000B4F31">
        <w:rPr>
          <w:rFonts w:ascii="Times New Roman" w:hAnsi="Times New Roman" w:cs="Times New Roman"/>
          <w:sz w:val="24"/>
          <w:szCs w:val="24"/>
        </w:rPr>
        <w:t xml:space="preserve">, </w:t>
      </w:r>
      <w:proofErr w:type="spellStart"/>
      <w:r w:rsidRPr="000B4F31">
        <w:rPr>
          <w:rFonts w:ascii="Times New Roman" w:hAnsi="Times New Roman" w:cs="Times New Roman"/>
          <w:sz w:val="24"/>
          <w:szCs w:val="24"/>
        </w:rPr>
        <w:t>Tchaourou</w:t>
      </w:r>
      <w:proofErr w:type="spellEnd"/>
      <w:r w:rsidRPr="000B4F31">
        <w:rPr>
          <w:rFonts w:ascii="Times New Roman" w:hAnsi="Times New Roman" w:cs="Times New Roman"/>
          <w:sz w:val="24"/>
          <w:szCs w:val="24"/>
        </w:rPr>
        <w:t xml:space="preserve">). </w:t>
      </w:r>
      <w:r w:rsidR="004675C0">
        <w:rPr>
          <w:rFonts w:ascii="Times New Roman" w:hAnsi="Times New Roman" w:cs="Times New Roman"/>
          <w:sz w:val="24"/>
          <w:szCs w:val="24"/>
        </w:rPr>
        <w:t xml:space="preserve">Une nouvelle planification </w:t>
      </w:r>
      <w:r w:rsidRPr="000B4F31">
        <w:rPr>
          <w:rFonts w:ascii="Times New Roman" w:hAnsi="Times New Roman" w:cs="Times New Roman"/>
          <w:sz w:val="24"/>
          <w:szCs w:val="24"/>
        </w:rPr>
        <w:t>de</w:t>
      </w:r>
      <w:r w:rsidR="004675C0">
        <w:rPr>
          <w:rFonts w:ascii="Times New Roman" w:hAnsi="Times New Roman" w:cs="Times New Roman"/>
          <w:sz w:val="24"/>
          <w:szCs w:val="24"/>
        </w:rPr>
        <w:t>s</w:t>
      </w:r>
      <w:r w:rsidRPr="000B4F31">
        <w:rPr>
          <w:rFonts w:ascii="Times New Roman" w:hAnsi="Times New Roman" w:cs="Times New Roman"/>
          <w:sz w:val="24"/>
          <w:szCs w:val="24"/>
        </w:rPr>
        <w:t xml:space="preserve"> zone</w:t>
      </w:r>
      <w:r w:rsidR="004675C0">
        <w:rPr>
          <w:rFonts w:ascii="Times New Roman" w:hAnsi="Times New Roman" w:cs="Times New Roman"/>
          <w:sz w:val="24"/>
          <w:szCs w:val="24"/>
        </w:rPr>
        <w:t>s</w:t>
      </w:r>
      <w:r w:rsidRPr="000B4F31">
        <w:rPr>
          <w:rFonts w:ascii="Times New Roman" w:hAnsi="Times New Roman" w:cs="Times New Roman"/>
          <w:sz w:val="24"/>
          <w:szCs w:val="24"/>
        </w:rPr>
        <w:t xml:space="preserve"> sanitaire</w:t>
      </w:r>
      <w:r w:rsidR="004675C0">
        <w:rPr>
          <w:rFonts w:ascii="Times New Roman" w:hAnsi="Times New Roman" w:cs="Times New Roman"/>
          <w:sz w:val="24"/>
          <w:szCs w:val="24"/>
        </w:rPr>
        <w:t>s</w:t>
      </w:r>
      <w:r w:rsidRPr="000B4F31">
        <w:rPr>
          <w:rFonts w:ascii="Times New Roman" w:hAnsi="Times New Roman" w:cs="Times New Roman"/>
          <w:sz w:val="24"/>
          <w:szCs w:val="24"/>
        </w:rPr>
        <w:t xml:space="preserve"> </w:t>
      </w:r>
      <w:r w:rsidR="004675C0">
        <w:rPr>
          <w:rFonts w:ascii="Times New Roman" w:hAnsi="Times New Roman" w:cs="Times New Roman"/>
          <w:sz w:val="24"/>
          <w:szCs w:val="24"/>
        </w:rPr>
        <w:t xml:space="preserve">devient indispensable </w:t>
      </w:r>
      <w:r w:rsidRPr="000B4F31">
        <w:rPr>
          <w:rFonts w:ascii="Times New Roman" w:hAnsi="Times New Roman" w:cs="Times New Roman"/>
          <w:sz w:val="24"/>
          <w:szCs w:val="24"/>
        </w:rPr>
        <w:t>pour des services de santé plus proches de la population.</w:t>
      </w:r>
    </w:p>
    <w:p w:rsidR="00FB7BE2" w:rsidRDefault="00FB7BE2" w:rsidP="00FB7BE2">
      <w:pPr>
        <w:jc w:val="both"/>
      </w:pPr>
      <w:r>
        <w:rPr>
          <w:noProof/>
          <w:lang w:eastAsia="fr-FR"/>
        </w:rPr>
        <mc:AlternateContent>
          <mc:Choice Requires="wps">
            <w:drawing>
              <wp:anchor distT="0" distB="0" distL="114300" distR="114300" simplePos="0" relativeHeight="251663360" behindDoc="0" locked="0" layoutInCell="1" allowOverlap="1" wp14:anchorId="6E89FAB9" wp14:editId="3E648185">
                <wp:simplePos x="0" y="0"/>
                <wp:positionH relativeFrom="column">
                  <wp:posOffset>-40093</wp:posOffset>
                </wp:positionH>
                <wp:positionV relativeFrom="paragraph">
                  <wp:posOffset>66813</wp:posOffset>
                </wp:positionV>
                <wp:extent cx="3195194" cy="1264920"/>
                <wp:effectExtent l="0" t="0" r="24765" b="11430"/>
                <wp:wrapNone/>
                <wp:docPr id="17" name="Rectangle 17"/>
                <wp:cNvGraphicFramePr/>
                <a:graphic xmlns:a="http://schemas.openxmlformats.org/drawingml/2006/main">
                  <a:graphicData uri="http://schemas.microsoft.com/office/word/2010/wordprocessingShape">
                    <wps:wsp>
                      <wps:cNvSpPr/>
                      <wps:spPr>
                        <a:xfrm>
                          <a:off x="0" y="0"/>
                          <a:ext cx="3195194" cy="1264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7BE2" w:rsidRPr="004870BC" w:rsidRDefault="00FB7BE2" w:rsidP="00FB7BE2">
                            <w:pPr>
                              <w:spacing w:after="120"/>
                              <w:jc w:val="center"/>
                              <w:rPr>
                                <w:rFonts w:ascii="Times New Roman" w:hAnsi="Times New Roman" w:cs="Times New Roman"/>
                                <w:b/>
                              </w:rPr>
                            </w:pPr>
                            <w:r w:rsidRPr="004870BC">
                              <w:rPr>
                                <w:rFonts w:ascii="Times New Roman" w:hAnsi="Times New Roman" w:cs="Times New Roman"/>
                                <w:b/>
                                <w:u w:val="single"/>
                              </w:rPr>
                              <w:t>Adresse</w:t>
                            </w:r>
                            <w:r w:rsidRPr="004870BC">
                              <w:rPr>
                                <w:rFonts w:ascii="Times New Roman" w:hAnsi="Times New Roman" w:cs="Times New Roman"/>
                                <w:b/>
                              </w:rPr>
                              <w:t> :</w:t>
                            </w:r>
                          </w:p>
                          <w:p w:rsidR="00FB7BE2" w:rsidRPr="004870BC" w:rsidRDefault="00FB7BE2" w:rsidP="004870BC">
                            <w:pPr>
                              <w:spacing w:after="0"/>
                              <w:jc w:val="center"/>
                              <w:rPr>
                                <w:rFonts w:ascii="Times New Roman" w:hAnsi="Times New Roman" w:cs="Times New Roman"/>
                                <w:sz w:val="20"/>
                              </w:rPr>
                            </w:pPr>
                            <w:r w:rsidRPr="004870BC">
                              <w:rPr>
                                <w:rFonts w:ascii="Times New Roman" w:hAnsi="Times New Roman" w:cs="Times New Roman"/>
                                <w:sz w:val="20"/>
                                <w:lang w:val="fr-CA"/>
                              </w:rPr>
                              <w:t>Institut National de la Statistique et de l’Analyse Économique (INSAE)</w:t>
                            </w:r>
                          </w:p>
                          <w:p w:rsidR="00FB7BE2" w:rsidRPr="004870BC" w:rsidRDefault="00FB7BE2" w:rsidP="00FB7BE2">
                            <w:pPr>
                              <w:spacing w:after="0" w:line="240" w:lineRule="auto"/>
                              <w:rPr>
                                <w:rFonts w:ascii="Times New Roman" w:hAnsi="Times New Roman" w:cs="Times New Roman"/>
                                <w:sz w:val="20"/>
                              </w:rPr>
                            </w:pPr>
                            <w:r w:rsidRPr="004870BC">
                              <w:rPr>
                                <w:rFonts w:ascii="Times New Roman" w:hAnsi="Times New Roman" w:cs="Times New Roman"/>
                                <w:sz w:val="20"/>
                                <w:lang w:val="fr-CA"/>
                              </w:rPr>
                              <w:t xml:space="preserve">01 B.P. : 323 Cotonou Bénin  Tél. (229) 21-30-82-44/45  Télécopieur : (229) 21-30-82-46 </w:t>
                            </w:r>
                          </w:p>
                          <w:p w:rsidR="00FB7BE2" w:rsidRPr="004870BC" w:rsidRDefault="00FB7BE2" w:rsidP="00D83731">
                            <w:pPr>
                              <w:spacing w:after="0" w:line="240" w:lineRule="auto"/>
                              <w:rPr>
                                <w:rFonts w:ascii="Times New Roman" w:hAnsi="Times New Roman" w:cs="Times New Roman"/>
                                <w:sz w:val="18"/>
                              </w:rPr>
                            </w:pPr>
                            <w:r w:rsidRPr="004870BC">
                              <w:rPr>
                                <w:rFonts w:ascii="Times New Roman" w:hAnsi="Times New Roman" w:cs="Times New Roman"/>
                                <w:sz w:val="20"/>
                                <w:lang w:val="fr-CA"/>
                              </w:rPr>
                              <w:t xml:space="preserve">E-mail : </w:t>
                            </w:r>
                            <w:hyperlink r:id="rId5" w:history="1">
                              <w:r w:rsidRPr="004870BC">
                                <w:rPr>
                                  <w:rStyle w:val="Lienhypertexte"/>
                                  <w:rFonts w:ascii="Times New Roman" w:hAnsi="Times New Roman" w:cs="Times New Roman"/>
                                  <w:sz w:val="20"/>
                                  <w:lang w:val="fr-CA"/>
                                </w:rPr>
                                <w:t>insae@insae-bj.org</w:t>
                              </w:r>
                            </w:hyperlink>
                            <w:r w:rsidRPr="004870BC">
                              <w:rPr>
                                <w:rFonts w:ascii="Times New Roman" w:hAnsi="Times New Roman" w:cs="Times New Roman"/>
                                <w:sz w:val="20"/>
                                <w:lang w:val="fr-CA"/>
                              </w:rPr>
                              <w:t xml:space="preserve">  Site Web : </w:t>
                            </w:r>
                            <w:hyperlink r:id="rId6" w:history="1">
                              <w:r w:rsidR="00D83731" w:rsidRPr="00C64802">
                                <w:rPr>
                                  <w:rStyle w:val="Lienhypertexte"/>
                                  <w:rFonts w:ascii="Times New Roman" w:hAnsi="Times New Roman" w:cs="Times New Roman"/>
                                  <w:sz w:val="20"/>
                                  <w:lang w:val="fr-CA"/>
                                </w:rPr>
                                <w:t>www.insae-bj.org</w:t>
                              </w:r>
                            </w:hyperlink>
                            <w:r w:rsidRPr="004870BC">
                              <w:rPr>
                                <w:rFonts w:ascii="Times New Roman" w:hAnsi="Times New Roman" w:cs="Times New Roman"/>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9FAB9" id="Rectangle 17" o:spid="_x0000_s1026" style="position:absolute;left:0;text-align:left;margin-left:-3.15pt;margin-top:5.25pt;width:251.6pt;height:9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" fillcolor="white [3201]" strokecolor="#70ad47 [3209]" strokeweight="1pt">
                <v:textbox>
                  <w:txbxContent>
                    <w:p w:rsidR="00FB7BE2" w:rsidRPr="004870BC" w:rsidRDefault="00FB7BE2" w:rsidP="00FB7BE2">
                      <w:pPr>
                        <w:spacing w:after="120"/>
                        <w:jc w:val="center"/>
                        <w:rPr>
                          <w:rFonts w:ascii="Times New Roman" w:hAnsi="Times New Roman" w:cs="Times New Roman"/>
                          <w:b/>
                        </w:rPr>
                      </w:pPr>
                      <w:r w:rsidRPr="004870BC">
                        <w:rPr>
                          <w:rFonts w:ascii="Times New Roman" w:hAnsi="Times New Roman" w:cs="Times New Roman"/>
                          <w:b/>
                          <w:u w:val="single"/>
                        </w:rPr>
                        <w:t>Adresse</w:t>
                      </w:r>
                      <w:r w:rsidRPr="004870BC">
                        <w:rPr>
                          <w:rFonts w:ascii="Times New Roman" w:hAnsi="Times New Roman" w:cs="Times New Roman"/>
                          <w:b/>
                        </w:rPr>
                        <w:t> :</w:t>
                      </w:r>
                    </w:p>
                    <w:p w:rsidR="00FB7BE2" w:rsidRPr="004870BC" w:rsidRDefault="00FB7BE2" w:rsidP="004870BC">
                      <w:pPr>
                        <w:spacing w:after="0"/>
                        <w:jc w:val="center"/>
                        <w:rPr>
                          <w:rFonts w:ascii="Times New Roman" w:hAnsi="Times New Roman" w:cs="Times New Roman"/>
                          <w:sz w:val="20"/>
                        </w:rPr>
                      </w:pPr>
                      <w:r w:rsidRPr="004870BC">
                        <w:rPr>
                          <w:rFonts w:ascii="Times New Roman" w:hAnsi="Times New Roman" w:cs="Times New Roman"/>
                          <w:sz w:val="20"/>
                          <w:lang w:val="fr-CA"/>
                        </w:rPr>
                        <w:t>Institut National de la Statistique et de l’Analyse Économique (INSAE)</w:t>
                      </w:r>
                    </w:p>
                    <w:p w:rsidR="00FB7BE2" w:rsidRPr="004870BC" w:rsidRDefault="00FB7BE2" w:rsidP="00FB7BE2">
                      <w:pPr>
                        <w:spacing w:after="0" w:line="240" w:lineRule="auto"/>
                        <w:rPr>
                          <w:rFonts w:ascii="Times New Roman" w:hAnsi="Times New Roman" w:cs="Times New Roman"/>
                          <w:sz w:val="20"/>
                        </w:rPr>
                      </w:pPr>
                      <w:r w:rsidRPr="004870BC">
                        <w:rPr>
                          <w:rFonts w:ascii="Times New Roman" w:hAnsi="Times New Roman" w:cs="Times New Roman"/>
                          <w:sz w:val="20"/>
                          <w:lang w:val="fr-CA"/>
                        </w:rPr>
                        <w:t xml:space="preserve">01 B.P. : 323 Cotonou Bénin  Tél. (229) 21-30-82-44/45  Télécopieur : (229) 21-30-82-46 </w:t>
                      </w:r>
                    </w:p>
                    <w:p w:rsidR="00FB7BE2" w:rsidRPr="004870BC" w:rsidRDefault="00FB7BE2" w:rsidP="00D83731">
                      <w:pPr>
                        <w:spacing w:after="0" w:line="240" w:lineRule="auto"/>
                        <w:rPr>
                          <w:rFonts w:ascii="Times New Roman" w:hAnsi="Times New Roman" w:cs="Times New Roman"/>
                          <w:sz w:val="18"/>
                        </w:rPr>
                      </w:pPr>
                      <w:r w:rsidRPr="004870BC">
                        <w:rPr>
                          <w:rFonts w:ascii="Times New Roman" w:hAnsi="Times New Roman" w:cs="Times New Roman"/>
                          <w:sz w:val="20"/>
                          <w:lang w:val="fr-CA"/>
                        </w:rPr>
                        <w:t xml:space="preserve">E-mail : </w:t>
                      </w:r>
                      <w:hyperlink r:id="rId7" w:history="1">
                        <w:r w:rsidRPr="004870BC">
                          <w:rPr>
                            <w:rStyle w:val="Lienhypertexte"/>
                            <w:rFonts w:ascii="Times New Roman" w:hAnsi="Times New Roman" w:cs="Times New Roman"/>
                            <w:sz w:val="20"/>
                            <w:lang w:val="fr-CA"/>
                          </w:rPr>
                          <w:t>insae@insae-bj.org</w:t>
                        </w:r>
                      </w:hyperlink>
                      <w:r w:rsidRPr="004870BC">
                        <w:rPr>
                          <w:rFonts w:ascii="Times New Roman" w:hAnsi="Times New Roman" w:cs="Times New Roman"/>
                          <w:sz w:val="20"/>
                          <w:lang w:val="fr-CA"/>
                        </w:rPr>
                        <w:t xml:space="preserve">  Site Web : </w:t>
                      </w:r>
                      <w:hyperlink r:id="rId8" w:history="1">
                        <w:r w:rsidR="00D83731" w:rsidRPr="00C64802">
                          <w:rPr>
                            <w:rStyle w:val="Lienhypertexte"/>
                            <w:rFonts w:ascii="Times New Roman" w:hAnsi="Times New Roman" w:cs="Times New Roman"/>
                            <w:sz w:val="20"/>
                            <w:lang w:val="fr-CA"/>
                          </w:rPr>
                          <w:t>www.insae-bj.org</w:t>
                        </w:r>
                      </w:hyperlink>
                      <w:r w:rsidRPr="004870BC">
                        <w:rPr>
                          <w:rFonts w:ascii="Times New Roman" w:hAnsi="Times New Roman" w:cs="Times New Roman"/>
                          <w:sz w:val="18"/>
                        </w:rPr>
                        <w:t xml:space="preserve"> </w:t>
                      </w:r>
                    </w:p>
                  </w:txbxContent>
                </v:textbox>
              </v:rect>
            </w:pict>
          </mc:Fallback>
        </mc:AlternateContent>
      </w:r>
    </w:p>
    <w:p w:rsidR="00FB7BE2" w:rsidRDefault="00FB7BE2" w:rsidP="00FB7BE2"/>
    <w:p w:rsidR="00FB7BE2" w:rsidRPr="00BC5A88" w:rsidRDefault="00FB7BE2" w:rsidP="00FB7BE2">
      <w:pPr>
        <w:spacing w:after="0" w:line="240" w:lineRule="auto"/>
        <w:jc w:val="center"/>
        <w:rPr>
          <w:rFonts w:ascii="Bodoni MT" w:hAnsi="Bodoni MT" w:cs="Arial"/>
          <w:b/>
        </w:rPr>
      </w:pPr>
      <w:r w:rsidRPr="00FB7BE2">
        <w:rPr>
          <w:rFonts w:ascii="Bodoni MT" w:hAnsi="Bodoni MT" w:cs="Arial"/>
          <w:b/>
        </w:rPr>
        <w:t xml:space="preserve"> </w:t>
      </w:r>
      <w:r w:rsidRPr="00BC5A88">
        <w:rPr>
          <w:rFonts w:ascii="Bodoni MT" w:hAnsi="Bodoni MT" w:cs="Arial"/>
          <w:b/>
        </w:rPr>
        <w:t>REPUBLIQUE DU BENIN</w:t>
      </w:r>
    </w:p>
    <w:p w:rsidR="00FB7BE2" w:rsidRPr="007D4D72" w:rsidRDefault="00FB7BE2" w:rsidP="00FB7BE2">
      <w:pPr>
        <w:jc w:val="center"/>
        <w:rPr>
          <w:rFonts w:ascii="Bodoni MT" w:hAnsi="Bodoni MT" w:cs="Arial"/>
          <w:sz w:val="12"/>
        </w:rPr>
      </w:pPr>
      <w:r w:rsidRPr="007D4D72">
        <w:rPr>
          <w:rFonts w:ascii="Bodoni MT" w:hAnsi="Bodoni MT" w:cs="Arial"/>
          <w:sz w:val="12"/>
        </w:rPr>
        <w:t>&amp;&amp;&amp;&amp;&amp;&amp;&amp;&amp;&amp;&amp;</w:t>
      </w:r>
    </w:p>
    <w:p w:rsidR="008313A0" w:rsidRDefault="008313A0" w:rsidP="00FB7BE2">
      <w:pPr>
        <w:spacing w:after="0" w:line="240" w:lineRule="auto"/>
        <w:jc w:val="center"/>
        <w:rPr>
          <w:rFonts w:ascii="Bodoni MT" w:hAnsi="Bodoni MT" w:cs="Arial"/>
          <w:b/>
        </w:rPr>
      </w:pPr>
    </w:p>
    <w:p w:rsidR="00FB7BE2" w:rsidRPr="00BC5A88" w:rsidRDefault="00FB7BE2" w:rsidP="00FB7BE2">
      <w:pPr>
        <w:spacing w:after="0" w:line="240" w:lineRule="auto"/>
        <w:jc w:val="center"/>
        <w:rPr>
          <w:rFonts w:ascii="Bodoni MT" w:hAnsi="Bodoni MT" w:cs="Arial"/>
          <w:b/>
        </w:rPr>
      </w:pPr>
      <w:r w:rsidRPr="00BC5A88">
        <w:rPr>
          <w:rFonts w:ascii="Bodoni MT" w:hAnsi="Bodoni MT" w:cs="Arial"/>
          <w:b/>
        </w:rPr>
        <w:lastRenderedPageBreak/>
        <w:t xml:space="preserve">MINISTERE </w:t>
      </w:r>
      <w:r w:rsidR="004675C0">
        <w:rPr>
          <w:rFonts w:ascii="Bodoni MT" w:hAnsi="Bodoni MT" w:cs="Arial"/>
          <w:b/>
        </w:rPr>
        <w:t xml:space="preserve">DU DEVELOPPEMENT, </w:t>
      </w:r>
      <w:r w:rsidRPr="00BC5A88">
        <w:rPr>
          <w:rFonts w:ascii="Bodoni MT" w:hAnsi="Bodoni MT" w:cs="Arial"/>
          <w:b/>
        </w:rPr>
        <w:t>DE L’ANALYSE ECONOMIQUE</w:t>
      </w:r>
      <w:r w:rsidR="004675C0" w:rsidRPr="004675C0">
        <w:rPr>
          <w:rFonts w:ascii="Bodoni MT" w:hAnsi="Bodoni MT" w:cs="Arial"/>
          <w:b/>
        </w:rPr>
        <w:t xml:space="preserve"> </w:t>
      </w:r>
      <w:r w:rsidR="004675C0">
        <w:rPr>
          <w:rFonts w:ascii="Bodoni MT" w:hAnsi="Bodoni MT" w:cs="Arial"/>
          <w:b/>
        </w:rPr>
        <w:t>ET DE LA PROSPECTIVE</w:t>
      </w:r>
    </w:p>
    <w:p w:rsidR="00FB7BE2" w:rsidRPr="007D4D72" w:rsidRDefault="00FB7BE2" w:rsidP="00FB7BE2">
      <w:pPr>
        <w:jc w:val="center"/>
        <w:rPr>
          <w:rFonts w:ascii="Bodoni MT" w:hAnsi="Bodoni MT" w:cs="Arial"/>
          <w:sz w:val="12"/>
        </w:rPr>
      </w:pPr>
      <w:r w:rsidRPr="007D4D72">
        <w:rPr>
          <w:rFonts w:ascii="Bodoni MT" w:hAnsi="Bodoni MT" w:cs="Arial"/>
          <w:sz w:val="12"/>
        </w:rPr>
        <w:t>&amp;&amp;&amp;&amp;&amp;&amp;&amp;&amp;&amp;&amp;</w:t>
      </w:r>
    </w:p>
    <w:p w:rsidR="00FB7BE2" w:rsidRPr="00BC5A88" w:rsidRDefault="00FB7BE2" w:rsidP="00FB7BE2">
      <w:pPr>
        <w:spacing w:after="0" w:line="240" w:lineRule="auto"/>
        <w:jc w:val="center"/>
        <w:rPr>
          <w:rFonts w:ascii="Bodoni MT" w:hAnsi="Bodoni MT" w:cs="Arial"/>
          <w:b/>
        </w:rPr>
      </w:pPr>
      <w:r w:rsidRPr="00BC5A88">
        <w:rPr>
          <w:rFonts w:ascii="Bodoni MT" w:hAnsi="Bodoni MT" w:cs="Arial"/>
          <w:b/>
        </w:rPr>
        <w:t>INSTITUT NATIONAL DE LA STATISTIQUE ET DE L’ANALYSE ECONOMIQUE</w:t>
      </w:r>
    </w:p>
    <w:p w:rsidR="00FB7BE2" w:rsidRPr="00BC5A88" w:rsidRDefault="00FB7BE2" w:rsidP="00FB7BE2">
      <w:pPr>
        <w:spacing w:after="0" w:line="240" w:lineRule="auto"/>
        <w:jc w:val="center"/>
        <w:rPr>
          <w:rFonts w:ascii="Bodoni MT" w:hAnsi="Bodoni MT" w:cs="Arial"/>
          <w:b/>
        </w:rPr>
      </w:pPr>
      <w:r w:rsidRPr="00BC5A88">
        <w:rPr>
          <w:rFonts w:ascii="Bodoni MT" w:hAnsi="Bodoni MT" w:cs="Arial"/>
          <w:b/>
        </w:rPr>
        <w:t>(INSAE)</w:t>
      </w:r>
    </w:p>
    <w:p w:rsidR="00FB7BE2" w:rsidRPr="007D4D72" w:rsidRDefault="00FB7BE2" w:rsidP="00FB7BE2">
      <w:pPr>
        <w:jc w:val="center"/>
        <w:rPr>
          <w:rFonts w:ascii="Bodoni MT" w:hAnsi="Bodoni MT" w:cs="Arial"/>
          <w:sz w:val="12"/>
        </w:rPr>
      </w:pPr>
      <w:r w:rsidRPr="007D4D72">
        <w:rPr>
          <w:rFonts w:ascii="Bodoni MT" w:hAnsi="Bodoni MT" w:cs="Arial"/>
          <w:sz w:val="12"/>
        </w:rPr>
        <w:t>&amp;&amp;&amp;&amp;&amp;&amp;&amp;&amp;&amp;&amp;&amp;&amp;&amp;&amp;&amp;</w:t>
      </w:r>
    </w:p>
    <w:p w:rsidR="00FB7BE2" w:rsidRDefault="00FB7BE2" w:rsidP="00FB7BE2">
      <w:pPr>
        <w:pStyle w:val="Titre2"/>
      </w:pPr>
      <w:r w:rsidRPr="008B775E">
        <w:rPr>
          <w:noProof/>
        </w:rPr>
        <w:drawing>
          <wp:inline distT="0" distB="0" distL="0" distR="0" wp14:anchorId="663C1DE0" wp14:editId="2B52FE2E">
            <wp:extent cx="1620000" cy="1230838"/>
            <wp:effectExtent l="0" t="0" r="0" b="7620"/>
            <wp:docPr id="11" name="Image 11" descr="Logo-INSA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INSA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0000" cy="1230838"/>
                    </a:xfrm>
                    <a:prstGeom prst="rect">
                      <a:avLst/>
                    </a:prstGeom>
                    <a:noFill/>
                    <a:ln>
                      <a:noFill/>
                    </a:ln>
                  </pic:spPr>
                </pic:pic>
              </a:graphicData>
            </a:graphic>
          </wp:inline>
        </w:drawing>
      </w:r>
      <w:r w:rsidRPr="00F93170">
        <w:t xml:space="preserve"> </w:t>
      </w:r>
    </w:p>
    <w:p w:rsidR="00D3380C" w:rsidRDefault="00D3380C" w:rsidP="00FB7BE2">
      <w:pPr>
        <w:pStyle w:val="Titre2"/>
      </w:pPr>
    </w:p>
    <w:p w:rsidR="00FB7BE2" w:rsidRDefault="00FB7BE2" w:rsidP="00FB7BE2">
      <w:pPr>
        <w:pStyle w:val="Titre2"/>
      </w:pPr>
      <w:r>
        <w:rPr>
          <w:noProof/>
          <w:sz w:val="24"/>
        </w:rPr>
        <mc:AlternateContent>
          <mc:Choice Requires="wps">
            <w:drawing>
              <wp:anchor distT="0" distB="0" distL="114300" distR="114300" simplePos="0" relativeHeight="251660288" behindDoc="0" locked="0" layoutInCell="1" allowOverlap="1" wp14:anchorId="4ED9FB07" wp14:editId="1B800BF2">
                <wp:simplePos x="0" y="0"/>
                <wp:positionH relativeFrom="column">
                  <wp:posOffset>146594</wp:posOffset>
                </wp:positionH>
                <wp:positionV relativeFrom="paragraph">
                  <wp:posOffset>213995</wp:posOffset>
                </wp:positionV>
                <wp:extent cx="2914650" cy="904875"/>
                <wp:effectExtent l="133350" t="133350" r="133350" b="161925"/>
                <wp:wrapNone/>
                <wp:docPr id="12" name="Rectangle à coins arrondis 12"/>
                <wp:cNvGraphicFramePr/>
                <a:graphic xmlns:a="http://schemas.openxmlformats.org/drawingml/2006/main">
                  <a:graphicData uri="http://schemas.microsoft.com/office/word/2010/wordprocessingShape">
                    <wps:wsp>
                      <wps:cNvSpPr/>
                      <wps:spPr>
                        <a:xfrm>
                          <a:off x="0" y="0"/>
                          <a:ext cx="2914650" cy="904875"/>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rsidR="00BC5A88" w:rsidRPr="002679E3" w:rsidRDefault="00BC5A88" w:rsidP="00BC5A88">
                            <w:pPr>
                              <w:tabs>
                                <w:tab w:val="left" w:pos="2854"/>
                              </w:tabs>
                              <w:spacing w:line="276" w:lineRule="auto"/>
                              <w:jc w:val="center"/>
                              <w:rPr>
                                <w:rFonts w:ascii="Castellar" w:hAnsi="Castellar"/>
                                <w:b/>
                                <w:sz w:val="28"/>
                                <w:szCs w:val="40"/>
                              </w:rPr>
                            </w:pPr>
                            <w:r w:rsidRPr="002679E3">
                              <w:rPr>
                                <w:rFonts w:ascii="Castellar" w:hAnsi="Castellar"/>
                                <w:b/>
                                <w:sz w:val="28"/>
                                <w:szCs w:val="40"/>
                              </w:rPr>
                              <w:t>RGPH4 : QUE RETENIR DES EFFECTIFS DE POPULATION EN 2013 ?</w:t>
                            </w:r>
                          </w:p>
                          <w:p w:rsidR="00BC5A88" w:rsidRDefault="00BC5A88" w:rsidP="00BC5A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D9FB07" id="Rectangle à coins arrondis 12" o:spid="_x0000_s1027" style="position:absolute;left:0;text-align:left;margin-left:11.55pt;margin-top:16.85pt;width:229.5pt;height:7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" fillcolor="white [3201]" stroked="f" strokeweight="1pt">
                <v:stroke joinstyle="miter"/>
                <v:shadow on="t" color="black" offset="0,1pt"/>
                <v:textbox>
                  <w:txbxContent>
                    <w:p w:rsidR="00BC5A88" w:rsidRPr="002679E3" w:rsidRDefault="00BC5A88" w:rsidP="00BC5A88">
                      <w:pPr>
                        <w:tabs>
                          <w:tab w:val="left" w:pos="2854"/>
                        </w:tabs>
                        <w:spacing w:line="276" w:lineRule="auto"/>
                        <w:jc w:val="center"/>
                        <w:rPr>
                          <w:rFonts w:ascii="Castellar" w:hAnsi="Castellar"/>
                          <w:b/>
                          <w:sz w:val="28"/>
                          <w:szCs w:val="40"/>
                        </w:rPr>
                      </w:pPr>
                      <w:r w:rsidRPr="002679E3">
                        <w:rPr>
                          <w:rFonts w:ascii="Castellar" w:hAnsi="Castellar"/>
                          <w:b/>
                          <w:sz w:val="28"/>
                          <w:szCs w:val="40"/>
                        </w:rPr>
                        <w:t>RGPH4 : QUE RETENIR DES EFFECTIFS DE POPULATION EN 2013 ?</w:t>
                      </w:r>
                    </w:p>
                    <w:p w:rsidR="00BC5A88" w:rsidRDefault="00BC5A88" w:rsidP="00BC5A88">
                      <w:pPr>
                        <w:jc w:val="center"/>
                      </w:pPr>
                    </w:p>
                  </w:txbxContent>
                </v:textbox>
              </v:roundrect>
            </w:pict>
          </mc:Fallback>
        </mc:AlternateContent>
      </w:r>
    </w:p>
    <w:p w:rsidR="00FB7BE2" w:rsidRDefault="00FB7BE2" w:rsidP="00FB7BE2">
      <w:pPr>
        <w:pStyle w:val="Titre2"/>
      </w:pPr>
    </w:p>
    <w:p w:rsidR="00FB7BE2" w:rsidRDefault="00FB7BE2" w:rsidP="00FB7BE2">
      <w:pPr>
        <w:pStyle w:val="Titre2"/>
      </w:pPr>
    </w:p>
    <w:p w:rsidR="00FB7BE2" w:rsidRDefault="00FB7BE2" w:rsidP="00FB7BE2">
      <w:pPr>
        <w:pStyle w:val="Titre2"/>
      </w:pPr>
    </w:p>
    <w:p w:rsidR="00FB7BE2" w:rsidRDefault="00FB7BE2" w:rsidP="00FB7BE2">
      <w:pPr>
        <w:rPr>
          <w:lang w:eastAsia="fr-FR"/>
        </w:rPr>
      </w:pPr>
    </w:p>
    <w:p w:rsidR="00D3380C" w:rsidRDefault="00D3380C" w:rsidP="00FB7BE2">
      <w:pPr>
        <w:rPr>
          <w:lang w:eastAsia="fr-FR"/>
        </w:rPr>
      </w:pPr>
    </w:p>
    <w:p w:rsidR="00D3380C" w:rsidRPr="00BC5A88" w:rsidRDefault="00D3380C" w:rsidP="00FB7BE2">
      <w:pPr>
        <w:rPr>
          <w:lang w:eastAsia="fr-FR"/>
        </w:rPr>
      </w:pPr>
    </w:p>
    <w:p w:rsidR="00FB7BE2" w:rsidRPr="00BC5A88" w:rsidRDefault="00FB7BE2" w:rsidP="00FB7BE2">
      <w:pPr>
        <w:pStyle w:val="Titre2"/>
        <w:rPr>
          <w:b/>
        </w:rPr>
      </w:pPr>
      <w:r w:rsidRPr="00BC5A88">
        <w:t>DIRECTION DES ETUDES DEMOGRAPHIQUES</w:t>
      </w:r>
    </w:p>
    <w:p w:rsidR="00FB7BE2" w:rsidRDefault="00FB7BE2" w:rsidP="00FB7BE2">
      <w:pPr>
        <w:rPr>
          <w:lang w:eastAsia="fr-FR"/>
        </w:rPr>
      </w:pPr>
    </w:p>
    <w:p w:rsidR="00D3380C" w:rsidRDefault="00D3380C" w:rsidP="00FB7BE2">
      <w:pPr>
        <w:rPr>
          <w:lang w:eastAsia="fr-FR"/>
        </w:rPr>
      </w:pPr>
    </w:p>
    <w:p w:rsidR="00FB7BE2" w:rsidRPr="00F93170" w:rsidRDefault="00FB7BE2" w:rsidP="00FB7BE2">
      <w:pPr>
        <w:rPr>
          <w:lang w:eastAsia="fr-FR"/>
        </w:rPr>
      </w:pPr>
    </w:p>
    <w:p w:rsidR="00FB7BE2" w:rsidRDefault="00FB7BE2" w:rsidP="00FB7BE2">
      <w:pPr>
        <w:jc w:val="center"/>
        <w:rPr>
          <w:i/>
          <w:lang w:eastAsia="fr-FR"/>
        </w:rPr>
      </w:pPr>
      <w:r w:rsidRPr="007D4D72">
        <w:rPr>
          <w:i/>
          <w:lang w:eastAsia="fr-FR"/>
        </w:rPr>
        <w:t>Juin 2015</w:t>
      </w:r>
    </w:p>
    <w:p w:rsidR="00730C17" w:rsidRDefault="008313A0" w:rsidP="00D3380C">
      <w:pPr>
        <w:jc w:val="both"/>
        <w:rPr>
          <w:b/>
          <w:sz w:val="25"/>
          <w:szCs w:val="25"/>
        </w:rPr>
      </w:pPr>
      <w:r>
        <w:rPr>
          <w:i/>
          <w:lang w:eastAsia="fr-FR"/>
        </w:rPr>
        <w:br w:type="column"/>
      </w:r>
      <w:r w:rsidR="00730C17" w:rsidRPr="00F93170">
        <w:rPr>
          <w:rFonts w:ascii="Times New Roman" w:hAnsi="Times New Roman" w:cs="Times New Roman"/>
          <w:sz w:val="24"/>
          <w:szCs w:val="24"/>
        </w:rPr>
        <w:lastRenderedPageBreak/>
        <w:t xml:space="preserve">La nécessité de disposer de données pertinentes, fiables diversifiées, désagrégées jusqu’au niveau géographique le plus fin et à jour, </w:t>
      </w:r>
      <w:r w:rsidR="004675C0">
        <w:rPr>
          <w:rFonts w:ascii="Times New Roman" w:hAnsi="Times New Roman" w:cs="Times New Roman"/>
          <w:sz w:val="24"/>
          <w:szCs w:val="24"/>
        </w:rPr>
        <w:t>est</w:t>
      </w:r>
      <w:r w:rsidR="00730C17" w:rsidRPr="00F93170">
        <w:rPr>
          <w:rFonts w:ascii="Times New Roman" w:hAnsi="Times New Roman" w:cs="Times New Roman"/>
          <w:sz w:val="24"/>
          <w:szCs w:val="24"/>
        </w:rPr>
        <w:t xml:space="preserve"> unanimement reconnue par la communauté internationale. Appréciant ce besoin d’information, de nombreuses opérations statistiques se réalisent dans le but de disposer de</w:t>
      </w:r>
      <w:r w:rsidR="004675C0">
        <w:rPr>
          <w:rFonts w:ascii="Times New Roman" w:hAnsi="Times New Roman" w:cs="Times New Roman"/>
          <w:sz w:val="24"/>
          <w:szCs w:val="24"/>
        </w:rPr>
        <w:t xml:space="preserve"> données fiable</w:t>
      </w:r>
      <w:r w:rsidR="00730C17" w:rsidRPr="00F93170">
        <w:rPr>
          <w:rFonts w:ascii="Times New Roman" w:hAnsi="Times New Roman" w:cs="Times New Roman"/>
          <w:sz w:val="24"/>
          <w:szCs w:val="24"/>
        </w:rPr>
        <w:t>s en vue d’une prise de décision éclairée, tant au niveau des décideurs politiques, qu’au niveau de la communauté scientifique et économique. Au titre de ces opérations, le Recensement Général de la Population et de l’Habitation est la source qui permet de disposer de façon exhaustive des données jusqu’aux plus petites unités administratives. Les travaux du RGPH4 se sont déroulés du 11 au 31 Mai 2013 sur toute l’étendue du territoire national. Cette grosse opération a mobilisé près de 17.500 agents de terrain : agents recenseurs, chefs d’équipes, contrôleurs et superviseurs. En dehors des ressources du Budget National, elle a bénéficié de l’appui des partenaires au développement du Bénin, notamment la Coopération Suisse, la Banque</w:t>
      </w:r>
      <w:r w:rsidR="00730C17" w:rsidRPr="006E1673">
        <w:rPr>
          <w:b/>
          <w:sz w:val="25"/>
          <w:szCs w:val="25"/>
        </w:rPr>
        <w:t xml:space="preserve"> </w:t>
      </w:r>
      <w:r w:rsidR="00730C17" w:rsidRPr="00F93170">
        <w:rPr>
          <w:rFonts w:ascii="Times New Roman" w:hAnsi="Times New Roman" w:cs="Times New Roman"/>
          <w:sz w:val="24"/>
          <w:szCs w:val="24"/>
        </w:rPr>
        <w:t>Mondiale, l’UNICEF et l’UNFPA.</w:t>
      </w:r>
    </w:p>
    <w:p w:rsidR="00730C17" w:rsidRPr="00F93170" w:rsidRDefault="00730C17" w:rsidP="00730C17">
      <w:pPr>
        <w:spacing w:line="276" w:lineRule="auto"/>
        <w:jc w:val="both"/>
        <w:rPr>
          <w:rFonts w:ascii="Times New Roman" w:hAnsi="Times New Roman" w:cs="Times New Roman"/>
          <w:sz w:val="24"/>
          <w:szCs w:val="24"/>
        </w:rPr>
      </w:pPr>
      <w:r w:rsidRPr="00F93170">
        <w:rPr>
          <w:rFonts w:ascii="Times New Roman" w:hAnsi="Times New Roman" w:cs="Times New Roman"/>
          <w:sz w:val="24"/>
          <w:szCs w:val="24"/>
        </w:rPr>
        <w:t xml:space="preserve">A la suite de la collecte, les travaux de traitement se sont poursuivis à travers l’archivage des questionnaires, </w:t>
      </w:r>
      <w:r w:rsidR="004675C0" w:rsidRPr="00F93170">
        <w:rPr>
          <w:rFonts w:ascii="Times New Roman" w:hAnsi="Times New Roman" w:cs="Times New Roman"/>
          <w:sz w:val="24"/>
          <w:szCs w:val="24"/>
        </w:rPr>
        <w:t xml:space="preserve">la vérification, </w:t>
      </w:r>
      <w:r w:rsidRPr="00F93170">
        <w:rPr>
          <w:rFonts w:ascii="Times New Roman" w:hAnsi="Times New Roman" w:cs="Times New Roman"/>
          <w:sz w:val="24"/>
          <w:szCs w:val="24"/>
        </w:rPr>
        <w:t xml:space="preserve">la codification, la saisie et l’apurement des données. Ceux-ci ont connu plusieurs étapes de validation par le Conseil Scientifique de l’INSAE puis le Conseil des Ministres du </w:t>
      </w:r>
      <w:r w:rsidR="0072519A">
        <w:rPr>
          <w:rFonts w:ascii="Times New Roman" w:hAnsi="Times New Roman" w:cs="Times New Roman"/>
          <w:sz w:val="24"/>
          <w:szCs w:val="24"/>
        </w:rPr>
        <w:t xml:space="preserve">21 mai 201 </w:t>
      </w:r>
      <w:r w:rsidRPr="00F93170">
        <w:rPr>
          <w:rFonts w:ascii="Times New Roman" w:hAnsi="Times New Roman" w:cs="Times New Roman"/>
          <w:sz w:val="24"/>
          <w:szCs w:val="24"/>
        </w:rPr>
        <w:t xml:space="preserve">a adopté les résultats </w:t>
      </w:r>
      <w:r w:rsidR="004675C0">
        <w:rPr>
          <w:rFonts w:ascii="Times New Roman" w:hAnsi="Times New Roman" w:cs="Times New Roman"/>
          <w:sz w:val="24"/>
          <w:szCs w:val="24"/>
        </w:rPr>
        <w:t xml:space="preserve">définitifs </w:t>
      </w:r>
      <w:r w:rsidRPr="00F93170">
        <w:rPr>
          <w:rFonts w:ascii="Times New Roman" w:hAnsi="Times New Roman" w:cs="Times New Roman"/>
          <w:sz w:val="24"/>
          <w:szCs w:val="24"/>
        </w:rPr>
        <w:t xml:space="preserve">du RGPH4. </w:t>
      </w:r>
    </w:p>
    <w:p w:rsidR="00730C17" w:rsidRDefault="00730C17" w:rsidP="00730C17">
      <w:pPr>
        <w:tabs>
          <w:tab w:val="left" w:pos="1905"/>
        </w:tabs>
        <w:spacing w:line="276" w:lineRule="auto"/>
        <w:jc w:val="both"/>
      </w:pPr>
      <w:r>
        <w:tab/>
      </w:r>
    </w:p>
    <w:p w:rsidR="00730C17" w:rsidRPr="006E075B" w:rsidRDefault="00730C17" w:rsidP="00730C17">
      <w:pPr>
        <w:numPr>
          <w:ilvl w:val="0"/>
          <w:numId w:val="2"/>
        </w:numPr>
        <w:spacing w:after="0" w:line="240" w:lineRule="auto"/>
        <w:rPr>
          <w:rFonts w:ascii="Bradley Hand ITC" w:hAnsi="Bradley Hand ITC"/>
          <w:b/>
          <w:i/>
          <w:color w:val="00B050"/>
          <w:sz w:val="32"/>
        </w:rPr>
      </w:pPr>
      <w:r w:rsidRPr="006E075B">
        <w:rPr>
          <w:rFonts w:ascii="Bradley Hand ITC" w:hAnsi="Bradley Hand ITC"/>
          <w:b/>
          <w:i/>
          <w:color w:val="00B050"/>
          <w:sz w:val="32"/>
        </w:rPr>
        <w:lastRenderedPageBreak/>
        <w:t>Effectif global de la population en 2013</w:t>
      </w:r>
    </w:p>
    <w:p w:rsidR="00730C17" w:rsidRPr="006E1673" w:rsidRDefault="00730C17" w:rsidP="00730C17"/>
    <w:p w:rsidR="00730C17" w:rsidRPr="000B4F31" w:rsidRDefault="00730C17" w:rsidP="00730C17">
      <w:pPr>
        <w:spacing w:line="276" w:lineRule="auto"/>
        <w:jc w:val="both"/>
        <w:rPr>
          <w:rFonts w:ascii="Times New Roman" w:hAnsi="Times New Roman" w:cs="Times New Roman"/>
          <w:sz w:val="24"/>
          <w:szCs w:val="24"/>
        </w:rPr>
      </w:pPr>
      <w:r w:rsidRPr="000B4F31">
        <w:rPr>
          <w:rFonts w:ascii="Times New Roman" w:hAnsi="Times New Roman" w:cs="Times New Roman"/>
          <w:sz w:val="24"/>
          <w:szCs w:val="24"/>
        </w:rPr>
        <w:t xml:space="preserve">Le quatrième Recensement Général de la Population et de l’Habitation (RGPH4) a permis de dénombrer </w:t>
      </w:r>
      <w:r w:rsidRPr="006C4C87">
        <w:rPr>
          <w:rFonts w:ascii="Times New Roman" w:hAnsi="Times New Roman" w:cs="Times New Roman"/>
          <w:i/>
          <w:color w:val="C00000"/>
          <w:sz w:val="24"/>
          <w:szCs w:val="24"/>
        </w:rPr>
        <w:t>10 008 749 habitants résidents des deux sexes dont 5 120 929 personnes de sexe féminin, soit 51,2% de la population totale</w:t>
      </w:r>
      <w:r w:rsidRPr="000B4F31">
        <w:rPr>
          <w:rFonts w:ascii="Times New Roman" w:hAnsi="Times New Roman" w:cs="Times New Roman"/>
          <w:sz w:val="24"/>
          <w:szCs w:val="24"/>
        </w:rPr>
        <w:t xml:space="preserve">.  </w:t>
      </w:r>
    </w:p>
    <w:p w:rsidR="00233F70" w:rsidRDefault="00913482" w:rsidP="00730C17">
      <w:pPr>
        <w:spacing w:line="276" w:lineRule="auto"/>
        <w:jc w:val="both"/>
      </w:pPr>
      <w:r>
        <w:rPr>
          <w:noProof/>
          <w:lang w:eastAsia="fr-FR"/>
        </w:rPr>
        <mc:AlternateContent>
          <mc:Choice Requires="wps">
            <w:drawing>
              <wp:anchor distT="0" distB="0" distL="114300" distR="114300" simplePos="0" relativeHeight="251659264" behindDoc="0" locked="0" layoutInCell="1" allowOverlap="1" wp14:anchorId="35C85348" wp14:editId="612FBFFB">
                <wp:simplePos x="0" y="0"/>
                <wp:positionH relativeFrom="column">
                  <wp:posOffset>-1270</wp:posOffset>
                </wp:positionH>
                <wp:positionV relativeFrom="paragraph">
                  <wp:posOffset>201930</wp:posOffset>
                </wp:positionV>
                <wp:extent cx="2914650" cy="1581150"/>
                <wp:effectExtent l="19050" t="57150" r="114300" b="76200"/>
                <wp:wrapNone/>
                <wp:docPr id="3" name="Rectangle à coins arrondis 3"/>
                <wp:cNvGraphicFramePr/>
                <a:graphic xmlns:a="http://schemas.openxmlformats.org/drawingml/2006/main">
                  <a:graphicData uri="http://schemas.microsoft.com/office/word/2010/wordprocessingShape">
                    <wps:wsp>
                      <wps:cNvSpPr/>
                      <wps:spPr>
                        <a:xfrm>
                          <a:off x="0" y="0"/>
                          <a:ext cx="2914650" cy="1581150"/>
                        </a:xfrm>
                        <a:prstGeom prst="roundRect">
                          <a:avLst/>
                        </a:prstGeom>
                        <a:effectLst>
                          <a:outerShdw blurRad="50800" dist="38100" algn="l" rotWithShape="0">
                            <a:prstClr val="black">
                              <a:alpha val="40000"/>
                            </a:prstClr>
                          </a:outerShdw>
                        </a:effectLst>
                      </wps:spPr>
                      <wps:style>
                        <a:lnRef idx="1">
                          <a:schemeClr val="accent4"/>
                        </a:lnRef>
                        <a:fillRef idx="2">
                          <a:schemeClr val="accent4"/>
                        </a:fillRef>
                        <a:effectRef idx="1">
                          <a:schemeClr val="accent4"/>
                        </a:effectRef>
                        <a:fontRef idx="minor">
                          <a:schemeClr val="dk1"/>
                        </a:fontRef>
                      </wps:style>
                      <wps:txbx>
                        <w:txbxContent>
                          <w:p w:rsidR="00233F70" w:rsidRPr="006C4C87" w:rsidRDefault="00233F70" w:rsidP="00233F70">
                            <w:pPr>
                              <w:spacing w:before="240" w:line="360" w:lineRule="auto"/>
                              <w:jc w:val="both"/>
                              <w:rPr>
                                <w:sz w:val="24"/>
                                <w:szCs w:val="28"/>
                              </w:rPr>
                            </w:pPr>
                            <w:r w:rsidRPr="006C4C87">
                              <w:rPr>
                                <w:rFonts w:ascii="Trebuchet MS" w:hAnsi="Trebuchet MS"/>
                                <w:b/>
                                <w:i/>
                                <w:sz w:val="24"/>
                                <w:szCs w:val="28"/>
                              </w:rPr>
                              <w:t>La proportion de femmes au s</w:t>
                            </w:r>
                            <w:r w:rsidR="00CE4349">
                              <w:rPr>
                                <w:rFonts w:ascii="Trebuchet MS" w:hAnsi="Trebuchet MS"/>
                                <w:b/>
                                <w:i/>
                                <w:sz w:val="24"/>
                                <w:szCs w:val="28"/>
                              </w:rPr>
                              <w:t>ein de la population béninoise re</w:t>
                            </w:r>
                            <w:r w:rsidRPr="006C4C87">
                              <w:rPr>
                                <w:rFonts w:ascii="Trebuchet MS" w:hAnsi="Trebuchet MS"/>
                                <w:b/>
                                <w:i/>
                                <w:sz w:val="24"/>
                                <w:szCs w:val="28"/>
                              </w:rPr>
                              <w:t>st</w:t>
                            </w:r>
                            <w:r w:rsidR="00CE4349">
                              <w:rPr>
                                <w:rFonts w:ascii="Trebuchet MS" w:hAnsi="Trebuchet MS"/>
                                <w:b/>
                                <w:i/>
                                <w:sz w:val="24"/>
                                <w:szCs w:val="28"/>
                              </w:rPr>
                              <w:t>e</w:t>
                            </w:r>
                            <w:r w:rsidRPr="006C4C87">
                              <w:rPr>
                                <w:rFonts w:ascii="Trebuchet MS" w:hAnsi="Trebuchet MS"/>
                                <w:b/>
                                <w:i/>
                                <w:sz w:val="24"/>
                                <w:szCs w:val="28"/>
                              </w:rPr>
                              <w:t xml:space="preserve"> pratiquement stable : 51,</w:t>
                            </w:r>
                            <w:r w:rsidR="004675C0">
                              <w:rPr>
                                <w:rFonts w:ascii="Trebuchet MS" w:hAnsi="Trebuchet MS"/>
                                <w:b/>
                                <w:i/>
                                <w:sz w:val="24"/>
                                <w:szCs w:val="28"/>
                              </w:rPr>
                              <w:t>2% en 2013 contre 51,5% en 2002</w:t>
                            </w:r>
                            <w:r w:rsidRPr="006C4C87">
                              <w:rPr>
                                <w:rFonts w:ascii="Trebuchet MS" w:hAnsi="Trebuchet MS"/>
                                <w:b/>
                                <w:i/>
                                <w:sz w:val="24"/>
                                <w:szCs w:val="28"/>
                              </w:rPr>
                              <w:t>.</w:t>
                            </w:r>
                          </w:p>
                          <w:p w:rsidR="00233F70" w:rsidRDefault="00233F70" w:rsidP="00233F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C85348" id="Rectangle à coins arrondis 3" o:spid="_x0000_s1028" style="position:absolute;left:0;text-align:left;margin-left:-.1pt;margin-top:15.9pt;width:229.5pt;height:12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" fillcolor="#ffd555 [2167]" strokecolor="#ffc000 [3207]" strokeweight=".5pt">
                <v:fill color2="#ffcc31 [2615]" rotate="t" colors="0 #ffdd9c;.5 #ffd78e;1 #ffd479" focus="100%" type="gradient">
                  <o:fill v:ext="view" type="gradientUnscaled"/>
                </v:fill>
                <v:stroke joinstyle="miter"/>
                <v:shadow on="t" color="black" opacity="26214f" origin="-.5" offset="3pt,0"/>
                <v:textbox>
                  <w:txbxContent>
                    <w:p w:rsidR="00233F70" w:rsidRPr="006C4C87" w:rsidRDefault="00233F70" w:rsidP="00233F70">
                      <w:pPr>
                        <w:spacing w:before="240" w:line="360" w:lineRule="auto"/>
                        <w:jc w:val="both"/>
                        <w:rPr>
                          <w:sz w:val="24"/>
                          <w:szCs w:val="28"/>
                        </w:rPr>
                      </w:pPr>
                      <w:r w:rsidRPr="006C4C87">
                        <w:rPr>
                          <w:rFonts w:ascii="Trebuchet MS" w:hAnsi="Trebuchet MS"/>
                          <w:b/>
                          <w:i/>
                          <w:sz w:val="24"/>
                          <w:szCs w:val="28"/>
                        </w:rPr>
                        <w:t>La proportion de femmes au s</w:t>
                      </w:r>
                      <w:r w:rsidR="00CE4349">
                        <w:rPr>
                          <w:rFonts w:ascii="Trebuchet MS" w:hAnsi="Trebuchet MS"/>
                          <w:b/>
                          <w:i/>
                          <w:sz w:val="24"/>
                          <w:szCs w:val="28"/>
                        </w:rPr>
                        <w:t>ein de la population béninoise re</w:t>
                      </w:r>
                      <w:r w:rsidRPr="006C4C87">
                        <w:rPr>
                          <w:rFonts w:ascii="Trebuchet MS" w:hAnsi="Trebuchet MS"/>
                          <w:b/>
                          <w:i/>
                          <w:sz w:val="24"/>
                          <w:szCs w:val="28"/>
                        </w:rPr>
                        <w:t>st</w:t>
                      </w:r>
                      <w:r w:rsidR="00CE4349">
                        <w:rPr>
                          <w:rFonts w:ascii="Trebuchet MS" w:hAnsi="Trebuchet MS"/>
                          <w:b/>
                          <w:i/>
                          <w:sz w:val="24"/>
                          <w:szCs w:val="28"/>
                        </w:rPr>
                        <w:t>e</w:t>
                      </w:r>
                      <w:r w:rsidRPr="006C4C87">
                        <w:rPr>
                          <w:rFonts w:ascii="Trebuchet MS" w:hAnsi="Trebuchet MS"/>
                          <w:b/>
                          <w:i/>
                          <w:sz w:val="24"/>
                          <w:szCs w:val="28"/>
                        </w:rPr>
                        <w:t xml:space="preserve"> pratiquement stable : 51,</w:t>
                      </w:r>
                      <w:r w:rsidR="004675C0">
                        <w:rPr>
                          <w:rFonts w:ascii="Trebuchet MS" w:hAnsi="Trebuchet MS"/>
                          <w:b/>
                          <w:i/>
                          <w:sz w:val="24"/>
                          <w:szCs w:val="28"/>
                        </w:rPr>
                        <w:t>2% en 2013 contre 51,5% en 2002</w:t>
                      </w:r>
                      <w:r w:rsidRPr="006C4C87">
                        <w:rPr>
                          <w:rFonts w:ascii="Trebuchet MS" w:hAnsi="Trebuchet MS"/>
                          <w:b/>
                          <w:i/>
                          <w:sz w:val="24"/>
                          <w:szCs w:val="28"/>
                        </w:rPr>
                        <w:t>.</w:t>
                      </w:r>
                    </w:p>
                    <w:p w:rsidR="00233F70" w:rsidRDefault="00233F70" w:rsidP="00233F70">
                      <w:pPr>
                        <w:jc w:val="center"/>
                      </w:pPr>
                    </w:p>
                  </w:txbxContent>
                </v:textbox>
              </v:roundrect>
            </w:pict>
          </mc:Fallback>
        </mc:AlternateContent>
      </w:r>
    </w:p>
    <w:p w:rsidR="00233F70" w:rsidRDefault="00233F70" w:rsidP="00730C17">
      <w:pPr>
        <w:spacing w:line="276" w:lineRule="auto"/>
        <w:jc w:val="both"/>
      </w:pPr>
    </w:p>
    <w:p w:rsidR="00233F70" w:rsidRDefault="00233F70" w:rsidP="00730C17">
      <w:pPr>
        <w:spacing w:line="276" w:lineRule="auto"/>
        <w:jc w:val="both"/>
      </w:pPr>
    </w:p>
    <w:p w:rsidR="00233F70" w:rsidRDefault="00233F70" w:rsidP="00730C17">
      <w:pPr>
        <w:spacing w:line="276" w:lineRule="auto"/>
        <w:jc w:val="both"/>
      </w:pPr>
    </w:p>
    <w:p w:rsidR="00233F70" w:rsidRDefault="00233F70" w:rsidP="00730C17">
      <w:pPr>
        <w:spacing w:line="276" w:lineRule="auto"/>
        <w:jc w:val="both"/>
      </w:pPr>
    </w:p>
    <w:p w:rsidR="00233F70" w:rsidRDefault="006C4C87" w:rsidP="00730C17">
      <w:pPr>
        <w:spacing w:line="276" w:lineRule="auto"/>
        <w:jc w:val="both"/>
      </w:pPr>
      <w:r>
        <w:t xml:space="preserve"> </w:t>
      </w:r>
    </w:p>
    <w:p w:rsidR="00B54F70" w:rsidRDefault="00233F70">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842010</wp:posOffset>
                </wp:positionH>
                <wp:positionV relativeFrom="paragraph">
                  <wp:posOffset>5937885</wp:posOffset>
                </wp:positionV>
                <wp:extent cx="5801360" cy="1992630"/>
                <wp:effectExtent l="76200" t="38100" r="104140" b="45720"/>
                <wp:wrapNone/>
                <wp:docPr id="2" name="Ruban courbé vers le ba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1360" cy="1992630"/>
                        </a:xfrm>
                        <a:prstGeom prst="ellipseRibbon">
                          <a:avLst>
                            <a:gd name="adj1" fmla="val 25000"/>
                            <a:gd name="adj2" fmla="val 50000"/>
                            <a:gd name="adj3" fmla="val 12500"/>
                          </a:avLst>
                        </a:prstGeom>
                        <a:solidFill>
                          <a:srgbClr val="FFFFFF"/>
                        </a:solidFill>
                        <a:ln w="63500">
                          <a:solidFill>
                            <a:srgbClr val="FFC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3F70" w:rsidRPr="008C34E9" w:rsidRDefault="00233F70" w:rsidP="00233F70">
                            <w:pPr>
                              <w:spacing w:before="240" w:line="360" w:lineRule="auto"/>
                              <w:jc w:val="both"/>
                              <w:rPr>
                                <w:sz w:val="28"/>
                                <w:szCs w:val="28"/>
                              </w:rPr>
                            </w:pPr>
                            <w:r w:rsidRPr="008C34E9">
                              <w:rPr>
                                <w:rFonts w:ascii="Trebuchet MS" w:hAnsi="Trebuchet MS"/>
                                <w:b/>
                                <w:i/>
                                <w:sz w:val="28"/>
                                <w:szCs w:val="28"/>
                              </w:rPr>
                              <w:t>La proportion de femmes au sein de la population béninoise est pratiquement stable : 51,2% en 2013 contre 51,5% en 2002).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2" o:spid="_x0000_s1029" type="#_x0000_t107" style="position:absolute;margin-left:66.3pt;margin-top:467.55pt;width:456.8pt;height:15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" strokecolor="#ffc000" strokeweight="5pt">
                <v:shadow color="#868686"/>
                <v:textbox>
                  <w:txbxContent>
                    <w:p w:rsidR="00233F70" w:rsidRPr="008C34E9" w:rsidRDefault="00233F70" w:rsidP="00233F70">
                      <w:pPr>
                        <w:spacing w:before="240" w:line="360" w:lineRule="auto"/>
                        <w:jc w:val="both"/>
                        <w:rPr>
                          <w:sz w:val="28"/>
                          <w:szCs w:val="28"/>
                        </w:rPr>
                      </w:pPr>
                      <w:r w:rsidRPr="008C34E9">
                        <w:rPr>
                          <w:rFonts w:ascii="Trebuchet MS" w:hAnsi="Trebuchet MS"/>
                          <w:b/>
                          <w:i/>
                          <w:sz w:val="28"/>
                          <w:szCs w:val="28"/>
                        </w:rPr>
                        <w:t>La proportion de femmes au sein de la population béninoise est pratiquement stable : 51,2% en 2013 contre 51,5% en 2002).</w:t>
                      </w:r>
                    </w:p>
                  </w:txbxContent>
                </v:textbox>
              </v:shape>
            </w:pict>
          </mc:Fallback>
        </mc:AlternateContent>
      </w:r>
    </w:p>
    <w:p w:rsidR="00EC0275" w:rsidRPr="00D651E7" w:rsidRDefault="00EC0275" w:rsidP="00EC0275">
      <w:pPr>
        <w:numPr>
          <w:ilvl w:val="0"/>
          <w:numId w:val="2"/>
        </w:numPr>
        <w:spacing w:after="0" w:line="240" w:lineRule="auto"/>
        <w:ind w:left="360"/>
        <w:rPr>
          <w:rFonts w:ascii="Bradley Hand ITC" w:hAnsi="Bradley Hand ITC"/>
          <w:b/>
          <w:i/>
          <w:color w:val="00B050"/>
          <w:sz w:val="32"/>
        </w:rPr>
      </w:pPr>
      <w:r w:rsidRPr="00D651E7">
        <w:rPr>
          <w:rFonts w:ascii="Bradley Hand ITC" w:hAnsi="Bradley Hand ITC"/>
          <w:b/>
          <w:i/>
          <w:color w:val="00B050"/>
          <w:sz w:val="32"/>
        </w:rPr>
        <w:t>Une population en forte croissance démographique, reflétant</w:t>
      </w:r>
      <w:r>
        <w:rPr>
          <w:rFonts w:ascii="Bradley Hand ITC" w:hAnsi="Bradley Hand ITC"/>
          <w:b/>
          <w:i/>
          <w:color w:val="00B050"/>
          <w:sz w:val="32"/>
        </w:rPr>
        <w:t xml:space="preserve"> </w:t>
      </w:r>
      <w:r w:rsidRPr="00D651E7">
        <w:rPr>
          <w:rFonts w:ascii="Bradley Hand ITC" w:hAnsi="Bradley Hand ITC"/>
          <w:b/>
          <w:i/>
          <w:color w:val="00B050"/>
          <w:sz w:val="32"/>
        </w:rPr>
        <w:t>une stabilité socio-économique et politique relative</w:t>
      </w:r>
      <w:r>
        <w:rPr>
          <w:rFonts w:ascii="Bradley Hand ITC" w:hAnsi="Bradley Hand ITC"/>
          <w:b/>
          <w:i/>
          <w:color w:val="00B050"/>
          <w:sz w:val="32"/>
        </w:rPr>
        <w:t xml:space="preserve"> …</w:t>
      </w:r>
      <w:r w:rsidRPr="00D651E7">
        <w:rPr>
          <w:rFonts w:ascii="Bradley Hand ITC" w:hAnsi="Bradley Hand ITC"/>
          <w:b/>
          <w:i/>
          <w:color w:val="00B050"/>
          <w:sz w:val="32"/>
        </w:rPr>
        <w:t xml:space="preserve"> </w:t>
      </w:r>
    </w:p>
    <w:p w:rsidR="00EC0275" w:rsidRDefault="004E7163" w:rsidP="00D1268B">
      <w:pPr>
        <w:pStyle w:val="Corpsdetexte"/>
        <w:autoSpaceDE w:val="0"/>
        <w:autoSpaceDN w:val="0"/>
        <w:spacing w:before="240" w:after="240" w:line="276" w:lineRule="auto"/>
        <w:rPr>
          <w:rFonts w:eastAsia="Calibri"/>
          <w:lang w:val="fr-FR" w:eastAsia="en-US"/>
        </w:rPr>
      </w:pPr>
      <w:r>
        <w:rPr>
          <w:rFonts w:eastAsia="Calibri"/>
          <w:noProof/>
          <w:lang w:val="fr-FR"/>
        </w:rPr>
        <mc:AlternateContent>
          <mc:Choice Requires="wps">
            <w:drawing>
              <wp:anchor distT="0" distB="0" distL="114300" distR="114300" simplePos="0" relativeHeight="251661312" behindDoc="0" locked="0" layoutInCell="1" allowOverlap="1" wp14:anchorId="4F00EB47" wp14:editId="714EE459">
                <wp:simplePos x="0" y="0"/>
                <wp:positionH relativeFrom="column">
                  <wp:posOffset>3674745</wp:posOffset>
                </wp:positionH>
                <wp:positionV relativeFrom="paragraph">
                  <wp:posOffset>-4791710</wp:posOffset>
                </wp:positionV>
                <wp:extent cx="2895600" cy="4362450"/>
                <wp:effectExtent l="0" t="0" r="19050" b="19050"/>
                <wp:wrapNone/>
                <wp:docPr id="16" name="Parchemin horizont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4362450"/>
                        </a:xfrm>
                        <a:prstGeom prst="horizontalScroll">
                          <a:avLst>
                            <a:gd name="adj" fmla="val 12500"/>
                          </a:avLst>
                        </a:prstGeom>
                        <a:ln>
                          <a:headEnd/>
                          <a:tailEnd/>
                        </a:ln>
                      </wps:spPr>
                      <wps:style>
                        <a:lnRef idx="2">
                          <a:schemeClr val="dk1"/>
                        </a:lnRef>
                        <a:fillRef idx="1">
                          <a:schemeClr val="lt1"/>
                        </a:fillRef>
                        <a:effectRef idx="0">
                          <a:schemeClr val="dk1"/>
                        </a:effectRef>
                        <a:fontRef idx="minor">
                          <a:schemeClr val="dk1"/>
                        </a:fontRef>
                      </wps:style>
                      <wps:txbx>
                        <w:txbxContent>
                          <w:p w:rsidR="00D1268B" w:rsidRPr="00D1268B" w:rsidRDefault="00D1268B" w:rsidP="00D1268B">
                            <w:pPr>
                              <w:spacing w:line="360" w:lineRule="auto"/>
                              <w:jc w:val="both"/>
                              <w:rPr>
                                <w:b/>
                                <w:i/>
                                <w:color w:val="002060"/>
                                <w:sz w:val="24"/>
                                <w:szCs w:val="24"/>
                              </w:rPr>
                            </w:pPr>
                            <w:r w:rsidRPr="00D1268B">
                              <w:rPr>
                                <w:rFonts w:eastAsia="Calibri"/>
                                <w:b/>
                                <w:i/>
                                <w:color w:val="FFC000" w:themeColor="accent4"/>
                                <w:sz w:val="24"/>
                                <w:szCs w:val="24"/>
                              </w:rPr>
                              <w:t xml:space="preserve">Depuis 1992, le taux d’accroissement du Littoral (Cotonou) a amorcé une baisse, passant de 3,76% entre 1979 et 1992, à 2,17% entre 1992 et 2002, puis 0,18% entre 2002 et 2013 en raison </w:t>
                            </w:r>
                            <w:r w:rsidRPr="00D1268B">
                              <w:rPr>
                                <w:b/>
                                <w:i/>
                                <w:color w:val="FFC000" w:themeColor="accent4"/>
                                <w:sz w:val="24"/>
                                <w:szCs w:val="24"/>
                              </w:rPr>
                              <w:t xml:space="preserve">de son caractère de ville économique. Cette situation s’associe à une densité de 8595,1 habitants au kilomètre carré, </w:t>
                            </w:r>
                            <w:r w:rsidRPr="00D1268B">
                              <w:rPr>
                                <w:b/>
                                <w:i/>
                                <w:color w:val="FFC000" w:themeColor="accent4"/>
                                <w:sz w:val="24"/>
                                <w:szCs w:val="24"/>
                              </w:rPr>
                              <w:sym w:font="Wingdings" w:char="F0E8"/>
                            </w:r>
                            <w:r w:rsidRPr="00D1268B">
                              <w:rPr>
                                <w:b/>
                                <w:i/>
                                <w:color w:val="FFC000" w:themeColor="accent4"/>
                                <w:sz w:val="24"/>
                                <w:szCs w:val="24"/>
                              </w:rPr>
                              <w:t xml:space="preserve"> </w:t>
                            </w:r>
                            <w:r w:rsidRPr="00D1268B">
                              <w:rPr>
                                <w:b/>
                                <w:i/>
                                <w:color w:val="FFC000"/>
                                <w:sz w:val="24"/>
                                <w:szCs w:val="24"/>
                              </w:rPr>
                              <w:t xml:space="preserve"> </w:t>
                            </w:r>
                            <w:r w:rsidRPr="00D1268B">
                              <w:rPr>
                                <w:b/>
                                <w:i/>
                                <w:color w:val="002060"/>
                                <w:sz w:val="24"/>
                                <w:szCs w:val="24"/>
                              </w:rPr>
                              <w:t>Un début probable de saturation</w:t>
                            </w:r>
                            <w:r w:rsidR="004675C0" w:rsidRPr="004675C0">
                              <w:rPr>
                                <w:b/>
                                <w:i/>
                                <w:color w:val="002060"/>
                                <w:sz w:val="24"/>
                                <w:szCs w:val="24"/>
                              </w:rPr>
                              <w:t xml:space="preserve"> </w:t>
                            </w:r>
                            <w:r w:rsidR="004675C0" w:rsidRPr="00D1268B">
                              <w:rPr>
                                <w:b/>
                                <w:i/>
                                <w:color w:val="002060"/>
                                <w:sz w:val="24"/>
                                <w:szCs w:val="24"/>
                              </w:rPr>
                              <w:t>de la ville de Cotonou</w:t>
                            </w:r>
                            <w:r w:rsidR="004675C0">
                              <w:rPr>
                                <w:b/>
                                <w:i/>
                                <w:color w:val="002060"/>
                                <w:sz w:val="24"/>
                                <w:szCs w:val="24"/>
                              </w:rPr>
                              <w:t>, en termes de densité</w:t>
                            </w:r>
                            <w:r w:rsidRPr="00D1268B">
                              <w:rPr>
                                <w:b/>
                                <w:i/>
                                <w:color w:val="002060"/>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0EB4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6" o:spid="_x0000_s1030" type="#_x0000_t98" style="position:absolute;left:0;text-align:left;margin-left:289.35pt;margin-top:-377.3pt;width:228pt;height:3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" fillcolor="white [3201]" strokecolor="black [3200]" strokeweight="1pt">
                <v:stroke joinstyle="miter"/>
                <v:textbox>
                  <w:txbxContent>
                    <w:p w:rsidR="00D1268B" w:rsidRPr="00D1268B" w:rsidRDefault="00D1268B" w:rsidP="00D1268B">
                      <w:pPr>
                        <w:spacing w:line="360" w:lineRule="auto"/>
                        <w:jc w:val="both"/>
                        <w:rPr>
                          <w:b/>
                          <w:i/>
                          <w:color w:val="002060"/>
                          <w:sz w:val="24"/>
                          <w:szCs w:val="24"/>
                        </w:rPr>
                      </w:pPr>
                      <w:r w:rsidRPr="00D1268B">
                        <w:rPr>
                          <w:rFonts w:eastAsia="Calibri"/>
                          <w:b/>
                          <w:i/>
                          <w:color w:val="FFC000" w:themeColor="accent4"/>
                          <w:sz w:val="24"/>
                          <w:szCs w:val="24"/>
                        </w:rPr>
                        <w:t xml:space="preserve">Depuis 1992, le taux d’accroissement du Littoral (Cotonou) a amorcé une baisse, passant de 3,76% entre 1979 et 1992, à 2,17% entre 1992 et 2002, puis 0,18% entre 2002 et 2013 en raison </w:t>
                      </w:r>
                      <w:r w:rsidRPr="00D1268B">
                        <w:rPr>
                          <w:b/>
                          <w:i/>
                          <w:color w:val="FFC000" w:themeColor="accent4"/>
                          <w:sz w:val="24"/>
                          <w:szCs w:val="24"/>
                        </w:rPr>
                        <w:t xml:space="preserve">de son caractère de ville économique. Cette situation s’associe à une densité de 8595,1 habitants au kilomètre carré, </w:t>
                      </w:r>
                      <w:r w:rsidRPr="00D1268B">
                        <w:rPr>
                          <w:b/>
                          <w:i/>
                          <w:color w:val="FFC000" w:themeColor="accent4"/>
                          <w:sz w:val="24"/>
                          <w:szCs w:val="24"/>
                        </w:rPr>
                        <w:sym w:font="Wingdings" w:char="F0E8"/>
                      </w:r>
                      <w:r w:rsidRPr="00D1268B">
                        <w:rPr>
                          <w:b/>
                          <w:i/>
                          <w:color w:val="FFC000" w:themeColor="accent4"/>
                          <w:sz w:val="24"/>
                          <w:szCs w:val="24"/>
                        </w:rPr>
                        <w:t xml:space="preserve"> </w:t>
                      </w:r>
                      <w:r w:rsidRPr="00D1268B">
                        <w:rPr>
                          <w:b/>
                          <w:i/>
                          <w:color w:val="FFC000"/>
                          <w:sz w:val="24"/>
                          <w:szCs w:val="24"/>
                        </w:rPr>
                        <w:t xml:space="preserve"> </w:t>
                      </w:r>
                      <w:r w:rsidRPr="00D1268B">
                        <w:rPr>
                          <w:b/>
                          <w:i/>
                          <w:color w:val="002060"/>
                          <w:sz w:val="24"/>
                          <w:szCs w:val="24"/>
                        </w:rPr>
                        <w:t>Un début probable de saturation</w:t>
                      </w:r>
                      <w:r w:rsidR="004675C0" w:rsidRPr="004675C0">
                        <w:rPr>
                          <w:b/>
                          <w:i/>
                          <w:color w:val="002060"/>
                          <w:sz w:val="24"/>
                          <w:szCs w:val="24"/>
                        </w:rPr>
                        <w:t xml:space="preserve"> </w:t>
                      </w:r>
                      <w:r w:rsidR="004675C0" w:rsidRPr="00D1268B">
                        <w:rPr>
                          <w:b/>
                          <w:i/>
                          <w:color w:val="002060"/>
                          <w:sz w:val="24"/>
                          <w:szCs w:val="24"/>
                        </w:rPr>
                        <w:t>de la ville de Cotonou</w:t>
                      </w:r>
                      <w:r w:rsidR="004675C0">
                        <w:rPr>
                          <w:b/>
                          <w:i/>
                          <w:color w:val="002060"/>
                          <w:sz w:val="24"/>
                          <w:szCs w:val="24"/>
                        </w:rPr>
                        <w:t>, en termes de densité</w:t>
                      </w:r>
                      <w:r w:rsidRPr="00D1268B">
                        <w:rPr>
                          <w:b/>
                          <w:i/>
                          <w:color w:val="002060"/>
                          <w:sz w:val="24"/>
                          <w:szCs w:val="24"/>
                        </w:rPr>
                        <w:t>.</w:t>
                      </w:r>
                    </w:p>
                  </w:txbxContent>
                </v:textbox>
              </v:shape>
            </w:pict>
          </mc:Fallback>
        </mc:AlternateContent>
      </w:r>
      <w:r w:rsidR="00D1268B" w:rsidRPr="00781170">
        <w:t xml:space="preserve">La population dénombrée au troisième recensement de février 2002 étant de 6 769 914 habitants, il ressort </w:t>
      </w:r>
      <w:r w:rsidR="00D1268B">
        <w:t xml:space="preserve">sur la période 2002-2013, </w:t>
      </w:r>
      <w:r w:rsidR="00D1268B" w:rsidRPr="00781170">
        <w:t>un taux annuel d’accroissement inter censitaire de 3,5%, légèrement supérieur à celui obtenu entre 1992-2002 (3,25%).</w:t>
      </w:r>
      <w:r w:rsidR="00D1268B">
        <w:t xml:space="preserve"> </w:t>
      </w:r>
      <w:r w:rsidR="00D1268B" w:rsidRPr="00B31244">
        <w:rPr>
          <w:rFonts w:eastAsia="Calibri"/>
          <w:lang w:val="fr-FR" w:eastAsia="en-US"/>
        </w:rPr>
        <w:t xml:space="preserve">Le département du Littoral a </w:t>
      </w:r>
      <w:r w:rsidR="00D1268B" w:rsidRPr="00B31244">
        <w:rPr>
          <w:rFonts w:eastAsia="Calibri"/>
          <w:lang w:val="fr-FR" w:eastAsia="en-US"/>
        </w:rPr>
        <w:lastRenderedPageBreak/>
        <w:t xml:space="preserve">connu le taux d’accroissement intercensitaire le plus faible (0,18%). </w:t>
      </w:r>
    </w:p>
    <w:p w:rsidR="00D1268B" w:rsidRDefault="00D1268B" w:rsidP="00D1268B">
      <w:pPr>
        <w:pStyle w:val="Corpsdetexte"/>
        <w:autoSpaceDE w:val="0"/>
        <w:autoSpaceDN w:val="0"/>
        <w:spacing w:before="240" w:after="240" w:line="276" w:lineRule="auto"/>
        <w:rPr>
          <w:rFonts w:eastAsia="Calibri"/>
          <w:lang w:val="fr-FR" w:eastAsia="en-US"/>
        </w:rPr>
      </w:pPr>
    </w:p>
    <w:p w:rsidR="00D1268B" w:rsidRDefault="00D1268B" w:rsidP="00D1268B">
      <w:pPr>
        <w:pStyle w:val="Corpsdetexte"/>
        <w:autoSpaceDE w:val="0"/>
        <w:autoSpaceDN w:val="0"/>
        <w:spacing w:before="240" w:after="240" w:line="276" w:lineRule="auto"/>
        <w:rPr>
          <w:rFonts w:eastAsia="Calibri"/>
          <w:lang w:val="fr-FR" w:eastAsia="en-US"/>
        </w:rPr>
      </w:pPr>
    </w:p>
    <w:p w:rsidR="00D1268B" w:rsidRDefault="00D1268B" w:rsidP="00D1268B">
      <w:pPr>
        <w:pStyle w:val="Corpsdetexte"/>
        <w:autoSpaceDE w:val="0"/>
        <w:autoSpaceDN w:val="0"/>
        <w:spacing w:before="240" w:after="240" w:line="276" w:lineRule="auto"/>
        <w:rPr>
          <w:rFonts w:eastAsia="Calibri"/>
          <w:lang w:val="fr-FR" w:eastAsia="en-US"/>
        </w:rPr>
      </w:pPr>
    </w:p>
    <w:p w:rsidR="00D1268B" w:rsidRDefault="00D1268B" w:rsidP="00D1268B">
      <w:pPr>
        <w:pStyle w:val="Corpsdetexte"/>
        <w:autoSpaceDE w:val="0"/>
        <w:autoSpaceDN w:val="0"/>
        <w:spacing w:before="240" w:after="240" w:line="276" w:lineRule="auto"/>
      </w:pPr>
    </w:p>
    <w:p w:rsidR="00EC0275" w:rsidRDefault="00EC0275" w:rsidP="005F13FA">
      <w:pPr>
        <w:spacing w:line="276" w:lineRule="auto"/>
        <w:jc w:val="both"/>
        <w:rPr>
          <w:rFonts w:ascii="Times New Roman" w:hAnsi="Times New Roman" w:cs="Times New Roman"/>
          <w:sz w:val="24"/>
          <w:szCs w:val="24"/>
        </w:rPr>
      </w:pPr>
    </w:p>
    <w:p w:rsidR="00EC0275" w:rsidRDefault="00EC0275" w:rsidP="005F13FA">
      <w:pPr>
        <w:spacing w:line="276" w:lineRule="auto"/>
        <w:jc w:val="both"/>
        <w:rPr>
          <w:rFonts w:ascii="Times New Roman" w:hAnsi="Times New Roman" w:cs="Times New Roman"/>
          <w:sz w:val="24"/>
          <w:szCs w:val="24"/>
        </w:rPr>
      </w:pPr>
    </w:p>
    <w:p w:rsidR="00EC0275" w:rsidRDefault="00EC0275" w:rsidP="005F13FA">
      <w:pPr>
        <w:spacing w:line="276" w:lineRule="auto"/>
        <w:jc w:val="both"/>
        <w:rPr>
          <w:rFonts w:ascii="Times New Roman" w:hAnsi="Times New Roman" w:cs="Times New Roman"/>
          <w:sz w:val="24"/>
          <w:szCs w:val="24"/>
        </w:rPr>
      </w:pPr>
    </w:p>
    <w:p w:rsidR="00EC0275" w:rsidRDefault="00EC0275" w:rsidP="005F13FA">
      <w:pPr>
        <w:spacing w:line="276" w:lineRule="auto"/>
        <w:jc w:val="both"/>
        <w:rPr>
          <w:rFonts w:ascii="Times New Roman" w:hAnsi="Times New Roman" w:cs="Times New Roman"/>
          <w:sz w:val="24"/>
          <w:szCs w:val="24"/>
        </w:rPr>
      </w:pPr>
    </w:p>
    <w:p w:rsidR="00D1268B" w:rsidRDefault="00D1268B" w:rsidP="005F13FA">
      <w:pPr>
        <w:spacing w:line="276" w:lineRule="auto"/>
        <w:jc w:val="both"/>
        <w:rPr>
          <w:rFonts w:ascii="Times New Roman" w:hAnsi="Times New Roman" w:cs="Times New Roman"/>
          <w:sz w:val="24"/>
          <w:szCs w:val="24"/>
        </w:rPr>
      </w:pPr>
    </w:p>
    <w:p w:rsidR="00D1268B" w:rsidRDefault="00D1268B" w:rsidP="005F13FA">
      <w:pPr>
        <w:spacing w:line="276" w:lineRule="auto"/>
        <w:jc w:val="both"/>
        <w:rPr>
          <w:rFonts w:ascii="Times New Roman" w:hAnsi="Times New Roman" w:cs="Times New Roman"/>
          <w:sz w:val="24"/>
          <w:szCs w:val="24"/>
        </w:rPr>
      </w:pPr>
    </w:p>
    <w:p w:rsidR="00D1268B" w:rsidRDefault="00D1268B" w:rsidP="005F13FA">
      <w:pPr>
        <w:spacing w:line="276" w:lineRule="auto"/>
        <w:jc w:val="both"/>
        <w:rPr>
          <w:rFonts w:ascii="Times New Roman" w:hAnsi="Times New Roman" w:cs="Times New Roman"/>
          <w:sz w:val="24"/>
          <w:szCs w:val="24"/>
        </w:rPr>
      </w:pPr>
    </w:p>
    <w:p w:rsidR="00D1268B" w:rsidRDefault="00D1268B" w:rsidP="005F13FA">
      <w:pPr>
        <w:spacing w:line="276" w:lineRule="auto"/>
        <w:jc w:val="both"/>
        <w:rPr>
          <w:rFonts w:ascii="Times New Roman" w:hAnsi="Times New Roman" w:cs="Times New Roman"/>
          <w:sz w:val="24"/>
          <w:szCs w:val="24"/>
        </w:rPr>
      </w:pPr>
    </w:p>
    <w:p w:rsidR="00D1268B" w:rsidRDefault="00D1268B" w:rsidP="005F13FA">
      <w:pPr>
        <w:spacing w:line="276" w:lineRule="auto"/>
        <w:jc w:val="both"/>
        <w:rPr>
          <w:rFonts w:ascii="Times New Roman" w:hAnsi="Times New Roman" w:cs="Times New Roman"/>
          <w:sz w:val="24"/>
          <w:szCs w:val="24"/>
        </w:rPr>
      </w:pPr>
    </w:p>
    <w:p w:rsidR="00D1268B" w:rsidRDefault="00D1268B" w:rsidP="005F13FA">
      <w:pPr>
        <w:spacing w:line="276" w:lineRule="auto"/>
        <w:jc w:val="both"/>
        <w:rPr>
          <w:rFonts w:ascii="Times New Roman" w:hAnsi="Times New Roman" w:cs="Times New Roman"/>
          <w:sz w:val="24"/>
          <w:szCs w:val="24"/>
        </w:rPr>
      </w:pPr>
    </w:p>
    <w:p w:rsidR="005F13FA" w:rsidRDefault="005F13FA" w:rsidP="005F13FA">
      <w:pPr>
        <w:numPr>
          <w:ilvl w:val="0"/>
          <w:numId w:val="3"/>
        </w:numPr>
        <w:spacing w:after="0" w:line="240" w:lineRule="auto"/>
        <w:jc w:val="both"/>
        <w:rPr>
          <w:rFonts w:ascii="Bradley Hand ITC" w:hAnsi="Bradley Hand ITC"/>
          <w:b/>
          <w:i/>
          <w:color w:val="00B050"/>
          <w:sz w:val="32"/>
        </w:rPr>
      </w:pPr>
      <w:r w:rsidRPr="006C6B6C">
        <w:rPr>
          <w:rFonts w:ascii="Bradley Hand ITC" w:hAnsi="Bradley Hand ITC"/>
          <w:b/>
          <w:i/>
          <w:color w:val="00B050"/>
          <w:sz w:val="32"/>
        </w:rPr>
        <w:t xml:space="preserve">Croissance </w:t>
      </w:r>
      <w:r>
        <w:rPr>
          <w:rFonts w:ascii="Bradley Hand ITC" w:hAnsi="Bradley Hand ITC"/>
          <w:b/>
          <w:i/>
          <w:color w:val="00B050"/>
          <w:sz w:val="32"/>
        </w:rPr>
        <w:t xml:space="preserve">démographique </w:t>
      </w:r>
      <w:r w:rsidRPr="006C6B6C">
        <w:rPr>
          <w:rFonts w:ascii="Bradley Hand ITC" w:hAnsi="Bradley Hand ITC"/>
          <w:b/>
          <w:i/>
          <w:color w:val="00B050"/>
          <w:sz w:val="32"/>
        </w:rPr>
        <w:t>soutenue à Ouidah, Parakou, Abomey-</w:t>
      </w:r>
      <w:proofErr w:type="spellStart"/>
      <w:r w:rsidRPr="006C6B6C">
        <w:rPr>
          <w:rFonts w:ascii="Bradley Hand ITC" w:hAnsi="Bradley Hand ITC"/>
          <w:b/>
          <w:i/>
          <w:color w:val="00B050"/>
          <w:sz w:val="32"/>
        </w:rPr>
        <w:t>Calavi</w:t>
      </w:r>
      <w:proofErr w:type="spellEnd"/>
      <w:r w:rsidRPr="006C6B6C">
        <w:rPr>
          <w:rFonts w:ascii="Bradley Hand ITC" w:hAnsi="Bradley Hand ITC"/>
          <w:b/>
          <w:i/>
          <w:color w:val="00B050"/>
          <w:sz w:val="32"/>
        </w:rPr>
        <w:t xml:space="preserve">, </w:t>
      </w:r>
      <w:proofErr w:type="spellStart"/>
      <w:r w:rsidRPr="006C6B6C">
        <w:rPr>
          <w:rFonts w:ascii="Bradley Hand ITC" w:hAnsi="Bradley Hand ITC"/>
          <w:b/>
          <w:i/>
          <w:color w:val="00B050"/>
          <w:sz w:val="32"/>
        </w:rPr>
        <w:t>Sèmè-Kpodji</w:t>
      </w:r>
      <w:proofErr w:type="spellEnd"/>
      <w:r w:rsidRPr="006C6B6C">
        <w:rPr>
          <w:rFonts w:ascii="Bradley Hand ITC" w:hAnsi="Bradley Hand ITC"/>
          <w:b/>
          <w:i/>
          <w:color w:val="00B050"/>
          <w:sz w:val="32"/>
        </w:rPr>
        <w:t xml:space="preserve"> et Kandi</w:t>
      </w:r>
    </w:p>
    <w:p w:rsidR="00385749" w:rsidRDefault="005F13FA" w:rsidP="00FB7BE2">
      <w:pPr>
        <w:spacing w:line="276" w:lineRule="auto"/>
        <w:jc w:val="both"/>
      </w:pPr>
      <w:r w:rsidRPr="000B4F31">
        <w:rPr>
          <w:rFonts w:ascii="Times New Roman" w:hAnsi="Times New Roman" w:cs="Times New Roman"/>
          <w:sz w:val="24"/>
          <w:szCs w:val="24"/>
        </w:rPr>
        <w:t>L’Atlantique, le Borgou et l’Alibori ont vu accroitre leurs poids démographiques en raison de la poussée démographique observée respectivement au niveau des villes d’Abomey-</w:t>
      </w:r>
      <w:r w:rsidR="00FB7BE2">
        <w:t xml:space="preserve"> </w:t>
      </w:r>
    </w:p>
    <w:sectPr w:rsidR="00385749" w:rsidSect="00FB7BE2">
      <w:pgSz w:w="16838" w:h="11906" w:orient="landscape"/>
      <w:pgMar w:top="567" w:right="567" w:bottom="567" w:left="567" w:header="709" w:footer="709"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84AE9"/>
    <w:multiLevelType w:val="hybridMultilevel"/>
    <w:tmpl w:val="187E0604"/>
    <w:lvl w:ilvl="0" w:tplc="040C000D">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 w15:restartNumberingAfterBreak="0">
    <w:nsid w:val="486A4B8B"/>
    <w:multiLevelType w:val="hybridMultilevel"/>
    <w:tmpl w:val="A96ACF80"/>
    <w:lvl w:ilvl="0" w:tplc="DC706BC6">
      <w:start w:val="1"/>
      <w:numFmt w:val="bullet"/>
      <w:lvlText w:val="•"/>
      <w:lvlJc w:val="left"/>
      <w:pPr>
        <w:tabs>
          <w:tab w:val="num" w:pos="502"/>
        </w:tabs>
        <w:ind w:left="502" w:hanging="360"/>
      </w:pPr>
      <w:rPr>
        <w:rFonts w:ascii="Arial" w:hAnsi="Arial" w:hint="default"/>
      </w:rPr>
    </w:lvl>
    <w:lvl w:ilvl="1" w:tplc="14C4166E" w:tentative="1">
      <w:start w:val="1"/>
      <w:numFmt w:val="bullet"/>
      <w:lvlText w:val="•"/>
      <w:lvlJc w:val="left"/>
      <w:pPr>
        <w:tabs>
          <w:tab w:val="num" w:pos="1440"/>
        </w:tabs>
        <w:ind w:left="1440" w:hanging="360"/>
      </w:pPr>
      <w:rPr>
        <w:rFonts w:ascii="Arial" w:hAnsi="Arial" w:hint="default"/>
      </w:rPr>
    </w:lvl>
    <w:lvl w:ilvl="2" w:tplc="EB20D1A2" w:tentative="1">
      <w:start w:val="1"/>
      <w:numFmt w:val="bullet"/>
      <w:lvlText w:val="•"/>
      <w:lvlJc w:val="left"/>
      <w:pPr>
        <w:tabs>
          <w:tab w:val="num" w:pos="2160"/>
        </w:tabs>
        <w:ind w:left="2160" w:hanging="360"/>
      </w:pPr>
      <w:rPr>
        <w:rFonts w:ascii="Arial" w:hAnsi="Arial" w:hint="default"/>
      </w:rPr>
    </w:lvl>
    <w:lvl w:ilvl="3" w:tplc="BA606BCC" w:tentative="1">
      <w:start w:val="1"/>
      <w:numFmt w:val="bullet"/>
      <w:lvlText w:val="•"/>
      <w:lvlJc w:val="left"/>
      <w:pPr>
        <w:tabs>
          <w:tab w:val="num" w:pos="2880"/>
        </w:tabs>
        <w:ind w:left="2880" w:hanging="360"/>
      </w:pPr>
      <w:rPr>
        <w:rFonts w:ascii="Arial" w:hAnsi="Arial" w:hint="default"/>
      </w:rPr>
    </w:lvl>
    <w:lvl w:ilvl="4" w:tplc="E16C8988" w:tentative="1">
      <w:start w:val="1"/>
      <w:numFmt w:val="bullet"/>
      <w:lvlText w:val="•"/>
      <w:lvlJc w:val="left"/>
      <w:pPr>
        <w:tabs>
          <w:tab w:val="num" w:pos="3600"/>
        </w:tabs>
        <w:ind w:left="3600" w:hanging="360"/>
      </w:pPr>
      <w:rPr>
        <w:rFonts w:ascii="Arial" w:hAnsi="Arial" w:hint="default"/>
      </w:rPr>
    </w:lvl>
    <w:lvl w:ilvl="5" w:tplc="8E6423FE" w:tentative="1">
      <w:start w:val="1"/>
      <w:numFmt w:val="bullet"/>
      <w:lvlText w:val="•"/>
      <w:lvlJc w:val="left"/>
      <w:pPr>
        <w:tabs>
          <w:tab w:val="num" w:pos="4320"/>
        </w:tabs>
        <w:ind w:left="4320" w:hanging="360"/>
      </w:pPr>
      <w:rPr>
        <w:rFonts w:ascii="Arial" w:hAnsi="Arial" w:hint="default"/>
      </w:rPr>
    </w:lvl>
    <w:lvl w:ilvl="6" w:tplc="295404C6" w:tentative="1">
      <w:start w:val="1"/>
      <w:numFmt w:val="bullet"/>
      <w:lvlText w:val="•"/>
      <w:lvlJc w:val="left"/>
      <w:pPr>
        <w:tabs>
          <w:tab w:val="num" w:pos="5040"/>
        </w:tabs>
        <w:ind w:left="5040" w:hanging="360"/>
      </w:pPr>
      <w:rPr>
        <w:rFonts w:ascii="Arial" w:hAnsi="Arial" w:hint="default"/>
      </w:rPr>
    </w:lvl>
    <w:lvl w:ilvl="7" w:tplc="7FA68A86" w:tentative="1">
      <w:start w:val="1"/>
      <w:numFmt w:val="bullet"/>
      <w:lvlText w:val="•"/>
      <w:lvlJc w:val="left"/>
      <w:pPr>
        <w:tabs>
          <w:tab w:val="num" w:pos="5760"/>
        </w:tabs>
        <w:ind w:left="5760" w:hanging="360"/>
      </w:pPr>
      <w:rPr>
        <w:rFonts w:ascii="Arial" w:hAnsi="Arial" w:hint="default"/>
      </w:rPr>
    </w:lvl>
    <w:lvl w:ilvl="8" w:tplc="D90635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A40A13"/>
    <w:multiLevelType w:val="hybridMultilevel"/>
    <w:tmpl w:val="F070B8E2"/>
    <w:lvl w:ilvl="0" w:tplc="56EE7FE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ABA2B10"/>
    <w:multiLevelType w:val="hybridMultilevel"/>
    <w:tmpl w:val="75F4A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F70"/>
    <w:rsid w:val="000B4F31"/>
    <w:rsid w:val="001E7F2B"/>
    <w:rsid w:val="00233F70"/>
    <w:rsid w:val="002679E3"/>
    <w:rsid w:val="00317497"/>
    <w:rsid w:val="00385749"/>
    <w:rsid w:val="003E5191"/>
    <w:rsid w:val="004675C0"/>
    <w:rsid w:val="004870BC"/>
    <w:rsid w:val="004E7163"/>
    <w:rsid w:val="005F13FA"/>
    <w:rsid w:val="00685D55"/>
    <w:rsid w:val="006C4C87"/>
    <w:rsid w:val="0072519A"/>
    <w:rsid w:val="00730C17"/>
    <w:rsid w:val="00761D7C"/>
    <w:rsid w:val="007D4D72"/>
    <w:rsid w:val="0082179A"/>
    <w:rsid w:val="008313A0"/>
    <w:rsid w:val="00913482"/>
    <w:rsid w:val="00930200"/>
    <w:rsid w:val="0096257D"/>
    <w:rsid w:val="00970D3B"/>
    <w:rsid w:val="00A063AD"/>
    <w:rsid w:val="00AF6554"/>
    <w:rsid w:val="00B54F70"/>
    <w:rsid w:val="00B717AB"/>
    <w:rsid w:val="00BC5A88"/>
    <w:rsid w:val="00C81223"/>
    <w:rsid w:val="00C84E9D"/>
    <w:rsid w:val="00CE4349"/>
    <w:rsid w:val="00D1268B"/>
    <w:rsid w:val="00D3380C"/>
    <w:rsid w:val="00D83731"/>
    <w:rsid w:val="00EC0275"/>
    <w:rsid w:val="00F93170"/>
    <w:rsid w:val="00FB7BE2"/>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0CC90-57ED-4831-A538-7ED25510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autoRedefine/>
    <w:qFormat/>
    <w:rsid w:val="00BC5A88"/>
    <w:pPr>
      <w:keepNext/>
      <w:spacing w:after="240" w:line="276" w:lineRule="auto"/>
      <w:jc w:val="center"/>
      <w:outlineLvl w:val="1"/>
    </w:pPr>
    <w:rPr>
      <w:rFonts w:ascii="Times New Roman" w:eastAsia="Times New Roman" w:hAnsi="Times New Roman" w:cs="Times New Roman"/>
      <w:bCs/>
      <w:i/>
      <w:kern w:val="2"/>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BC5A88"/>
    <w:rPr>
      <w:rFonts w:ascii="Times New Roman" w:eastAsia="Times New Roman" w:hAnsi="Times New Roman" w:cs="Times New Roman"/>
      <w:bCs/>
      <w:i/>
      <w:kern w:val="2"/>
      <w:szCs w:val="24"/>
      <w:lang w:eastAsia="fr-FR"/>
    </w:rPr>
  </w:style>
  <w:style w:type="paragraph" w:styleId="Textedebulles">
    <w:name w:val="Balloon Text"/>
    <w:basedOn w:val="Normal"/>
    <w:link w:val="TextedebullesCar"/>
    <w:uiPriority w:val="99"/>
    <w:semiHidden/>
    <w:unhideWhenUsed/>
    <w:rsid w:val="00730C1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30C17"/>
    <w:rPr>
      <w:rFonts w:ascii="Segoe UI" w:hAnsi="Segoe UI" w:cs="Segoe UI"/>
      <w:sz w:val="18"/>
      <w:szCs w:val="18"/>
    </w:rPr>
  </w:style>
  <w:style w:type="paragraph" w:styleId="Corpsdetexte">
    <w:name w:val="Body Text"/>
    <w:basedOn w:val="Normal"/>
    <w:link w:val="CorpsdetexteCar"/>
    <w:rsid w:val="00233F70"/>
    <w:pPr>
      <w:spacing w:after="0" w:line="240" w:lineRule="auto"/>
      <w:jc w:val="both"/>
    </w:pPr>
    <w:rPr>
      <w:rFonts w:ascii="Times New Roman" w:eastAsia="Times New Roman" w:hAnsi="Times New Roman" w:cs="Times New Roman"/>
      <w:sz w:val="24"/>
      <w:szCs w:val="24"/>
      <w:lang w:val="fr-BE" w:eastAsia="fr-FR"/>
    </w:rPr>
  </w:style>
  <w:style w:type="character" w:customStyle="1" w:styleId="CorpsdetexteCar">
    <w:name w:val="Corps de texte Car"/>
    <w:basedOn w:val="Policepardfaut"/>
    <w:link w:val="Corpsdetexte"/>
    <w:rsid w:val="00233F70"/>
    <w:rPr>
      <w:rFonts w:ascii="Times New Roman" w:eastAsia="Times New Roman" w:hAnsi="Times New Roman" w:cs="Times New Roman"/>
      <w:sz w:val="24"/>
      <w:szCs w:val="24"/>
      <w:lang w:val="fr-BE" w:eastAsia="fr-FR"/>
    </w:rPr>
  </w:style>
  <w:style w:type="paragraph" w:customStyle="1" w:styleId="Corpsdetexte21">
    <w:name w:val="Corps de texte 21"/>
    <w:basedOn w:val="Normal"/>
    <w:rsid w:val="005F13FA"/>
    <w:pPr>
      <w:overflowPunct w:val="0"/>
      <w:autoSpaceDE w:val="0"/>
      <w:autoSpaceDN w:val="0"/>
      <w:adjustRightInd w:val="0"/>
      <w:spacing w:after="0" w:line="240" w:lineRule="auto"/>
      <w:ind w:firstLine="708"/>
      <w:jc w:val="both"/>
      <w:textAlignment w:val="baseline"/>
    </w:pPr>
    <w:rPr>
      <w:rFonts w:ascii="Times New Roman" w:eastAsia="Times New Roman" w:hAnsi="Times New Roman" w:cs="Times New Roman"/>
      <w:sz w:val="24"/>
      <w:szCs w:val="20"/>
      <w:lang w:eastAsia="fr-FR"/>
    </w:rPr>
  </w:style>
  <w:style w:type="character" w:styleId="Lienhypertexte">
    <w:name w:val="Hyperlink"/>
    <w:basedOn w:val="Policepardfaut"/>
    <w:uiPriority w:val="99"/>
    <w:unhideWhenUsed/>
    <w:rsid w:val="00913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9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ae-bj.org" TargetMode="External"/><Relationship Id="rId3" Type="http://schemas.openxmlformats.org/officeDocument/2006/relationships/settings" Target="settings.xml"/><Relationship Id="rId7" Type="http://schemas.openxmlformats.org/officeDocument/2006/relationships/hyperlink" Target="mailto:insae@insae-bj.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ae-bj.org" TargetMode="External"/><Relationship Id="rId11" Type="http://schemas.openxmlformats.org/officeDocument/2006/relationships/theme" Target="theme/theme1.xml"/><Relationship Id="rId5" Type="http://schemas.openxmlformats.org/officeDocument/2006/relationships/hyperlink" Target="mailto:insae@insae-bj.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748</Words>
  <Characters>4119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 Oscar</dc:creator>
  <cp:lastModifiedBy>insae</cp:lastModifiedBy>
  <cp:revision>2</cp:revision>
  <dcterms:created xsi:type="dcterms:W3CDTF">2015-06-19T10:31:00Z</dcterms:created>
  <dcterms:modified xsi:type="dcterms:W3CDTF">2015-06-19T10:31:00Z</dcterms:modified>
</cp:coreProperties>
</file>