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2E5F9A"/>
          <w:sz w:val="18"/>
          <w:szCs w:val="18"/>
        </w:rPr>
        <w:t xml:space="preserve">WP-2026 SERIES</w:t>
      </w:r>
    </w:p>
    <w:p>
      <w:pPr>
        <w:spacing w:before="0" w:after="120"/>
      </w:pPr>
      <w:r>
        <w:rPr>
          <w:rFonts w:ascii="Arial" w:cs="Arial" w:eastAsia="Arial" w:hAnsi="Arial"/>
          <w:b/>
          <w:bCs/>
          <w:color w:val="1F3864"/>
          <w:sz w:val="40"/>
          <w:szCs w:val="40"/>
        </w:rPr>
        <w:t xml:space="preserve">Authority Index and Series Architecture</w:t>
      </w:r>
    </w:p>
    <w:p>
      <w:pPr>
        <w:spacing w:before="0" w:after="60"/>
      </w:pPr>
      <w:r>
        <w:rPr>
          <w:rFonts w:ascii="Arial" w:cs="Arial" w:eastAsia="Arial" w:hAnsi="Arial"/>
          <w:color w:val="555555"/>
          <w:sz w:val="18"/>
          <w:szCs w:val="18"/>
        </w:rPr>
        <w:t xml:space="preserve">Center for Competitive Statecraft and Strategic Policy  |  Independent Policy Research  |  March 2026</w:t>
      </w:r>
    </w:p>
    <w:p>
      <w:pPr>
        <w:pBdr>
          <w:bottom w:val="single" w:color="2E5F9A" w:sz="6" w:space="1"/>
        </w:pBdr>
        <w:spacing w:before="120" w:after="120"/>
      </w:pPr>
    </w:p>
    <w:p>
      <w:pPr>
        <w:spacing w:before="120" w:after="200"/>
      </w:pPr>
      <w:r>
        <w:rPr>
          <w:rFonts w:ascii="Arial" w:cs="Arial" w:eastAsia="Arial" w:hAnsi="Arial"/>
          <w:color w:val="333333"/>
          <w:sz w:val="19"/>
          <w:szCs w:val="19"/>
        </w:rPr>
        <w:t xml:space="preserve">This index covers all 13 papers in the WP-2026 series. For each paper it records what the paper is, what it does, where it needs improvement, and how it fits with the others. The final section identifies six cross-cutting gaps that apply across the series as a whole. Reading order is indicated in the series overview table.</w:t>
      </w:r>
    </w:p>
    <w:p>
      <w:pPr>
        <w:pStyle w:val="Heading1"/>
        <w:spacing w:before="360" w:after="160"/>
      </w:pPr>
      <w:r>
        <w:rPr>
          <w:rFonts w:ascii="Arial" w:cs="Arial" w:eastAsia="Arial" w:hAnsi="Arial"/>
          <w:b/>
          <w:bCs/>
          <w:color w:val="1F3864"/>
          <w:sz w:val="28"/>
          <w:szCs w:val="28"/>
        </w:rPr>
        <w:t xml:space="preserve">I. Series Overview — Reading Order and Architecture</w:t>
      </w:r>
    </w:p>
    <w:p>
      <w:pPr>
        <w:spacing w:before="60" w:after="60"/>
      </w:pPr>
      <w:r>
        <w:rPr>
          <w:rFonts w:ascii="Arial" w:cs="Arial" w:eastAsia="Arial" w:hAnsi="Arial"/>
          <w:color w:val="444444"/>
          <w:sz w:val="20"/>
          <w:szCs w:val="20"/>
        </w:rPr>
        <w:t xml:space="preserve">Read the Methodology Stack first. The Strategic Architecture papers assume familiarity with the attribution framework. The Threat Analysis papers can be read in any order after the methodology stack. The Earlier-Generation Enforcement papers should be revised before portfolio submission.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1600"/>
        <w:gridCol w:w="1800"/>
        <w:gridCol w:w="1860"/>
      </w:tblGrid>
      <w:tr>
        <w:trPr>
          <w:tblHeader/>
        </w:trPr>
        <w:tc>
          <w:tcPr>
            <w:tcW w:type="dxa" w:w="50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w:t>
            </w:r>
          </w:p>
        </w:tc>
        <w:tc>
          <w:tcPr>
            <w:tcW w:type="dxa" w:w="140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Paper ID</w:t>
            </w:r>
          </w:p>
        </w:tc>
        <w:tc>
          <w:tcPr>
            <w:tcW w:type="dxa" w:w="220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Title</w:t>
            </w:r>
          </w:p>
        </w:tc>
        <w:tc>
          <w:tcPr>
            <w:tcW w:type="dxa" w:w="160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Role</w:t>
            </w:r>
          </w:p>
        </w:tc>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Reads Into</w:t>
            </w:r>
          </w:p>
        </w:tc>
        <w:tc>
          <w:tcPr>
            <w:tcW w:type="dxa" w:w="186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Quality</w:t>
            </w:r>
          </w:p>
        </w:tc>
      </w:tr>
      <w:tr>
        <w:tc>
          <w:tcPr>
            <w:tcW w:type="dxa" w:w="9360"/>
            <w:gridSpan w:val="6"/>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METHODOLOGY STACK — Read First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ATTRIBUTION-01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The Nexus Protocol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Foundation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CSE-01, SHIELD-01, all papers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Excellent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CSE-01 / NEXUS-01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PRC State Nexus Protocol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Methodology Extension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SHIELD-01, PERSIST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Excellent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SHIELD-01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Sanctions Enforcement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Applied Policy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PERSIST, MAXPRESS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Very High</w:t>
            </w:r>
          </w:p>
        </w:tc>
      </w:tr>
      <w:tr>
        <w:tc>
          <w:tcPr>
            <w:tcW w:type="dxa" w:w="9360"/>
            <w:gridSpan w:val="6"/>
            <w:tcBorders>
              <w:top w:val="single" w:color="CCCCCC" w:sz="1"/>
              <w:left w:val="single" w:color="CCCCCC" w:sz="1"/>
              <w:bottom w:val="single" w:color="CCCCCC" w:sz="1"/>
              <w:right w:val="single" w:color="CCCCCC" w:sz="1"/>
            </w:tcBorders>
            <w:shd w:fill="2E5F9A" w:val="clear"/>
            <w:tcMar>
              <w:top w:type="dxa" w:w="60"/>
              <w:left w:type="dxa" w:w="120"/>
              <w:bottom w:type="dxa" w:w="60"/>
              <w:right w:type="dxa" w:w="120"/>
            </w:tcMar>
          </w:tcPr>
          <w:p>
            <w:r>
              <w:rPr>
                <w:rFonts w:ascii="Arial" w:cs="Arial" w:eastAsia="Arial" w:hAnsi="Arial"/>
                <w:b/>
                <w:bCs/>
                <w:color w:val="FFFFFF"/>
                <w:sz w:val="18"/>
                <w:szCs w:val="18"/>
              </w:rPr>
              <w:t xml:space="preserve">STRATEGIC ARCHITECTURE — Read Second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PERSIST-01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Competitive Statecraft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Strategic Framework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ANCHOR, CONTAIN, MAXPRESS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Excellent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ANCHOR / TARIFF-01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Tariff &amp; Trade Enforcement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Legal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PERSIST (import-flow layer)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Excellent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CONTAIN-01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Sanctions Containment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Strategic Doctrine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MAXPRESS-01</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High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MAXPRESS-01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Maximum Pressure Execution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Operational Guide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All enforcement papers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Excellent</w:t>
            </w:r>
          </w:p>
        </w:tc>
      </w:tr>
      <w:tr>
        <w:tc>
          <w:tcPr>
            <w:tcW w:type="dxa" w:w="9360"/>
            <w:gridSpan w:val="6"/>
            <w:tcBorders>
              <w:top w:val="single" w:color="CCCCCC" w:sz="1"/>
              <w:left w:val="single" w:color="CCCCCC" w:sz="1"/>
              <w:bottom w:val="single" w:color="CCCCCC" w:sz="1"/>
              <w:right w:val="single" w:color="CCCCCC"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THREAT ANALYSIS — Read Third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Iran Nuclear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Post-Strike Nuclear Assessment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Threat Analysis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HORMUZ, CPF-02</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Excellent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BW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Biological Weapons Assessment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Threat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CPF-02, Iran Nuclear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HORMUZ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Hormuz Regional Posture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Posture Analysis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SHIELD-01, MAXPRESS Iran track</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16A085"/>
                <w:sz w:val="18"/>
                <w:szCs w:val="18"/>
              </w:rPr>
              <w:t xml:space="preserve">High</w:t>
            </w:r>
          </w:p>
        </w:tc>
      </w:tr>
      <w:tr>
        <w:tc>
          <w:tcPr>
            <w:tcW w:type="dxa" w:w="9360"/>
            <w:gridSpan w:val="6"/>
            <w:tcBorders>
              <w:top w:val="single" w:color="CCCCCC" w:sz="1"/>
              <w:left w:val="single" w:color="CCCCCC" w:sz="1"/>
              <w:bottom w:val="single" w:color="CCCCCC" w:sz="1"/>
              <w:right w:val="single" w:color="CCCCCC" w:sz="1"/>
            </w:tcBorders>
            <w:shd w:fill="7F8C8D" w:val="clear"/>
            <w:tcMar>
              <w:top w:type="dxa" w:w="60"/>
              <w:left w:type="dxa" w:w="120"/>
              <w:bottom w:type="dxa" w:w="60"/>
              <w:right w:type="dxa" w:w="120"/>
            </w:tcMar>
          </w:tcPr>
          <w:p>
            <w:r>
              <w:rPr>
                <w:rFonts w:ascii="Arial" w:cs="Arial" w:eastAsia="Arial" w:hAnsi="Arial"/>
                <w:b/>
                <w:bCs/>
                <w:color w:val="FFFFFF"/>
                <w:sz w:val="18"/>
                <w:szCs w:val="18"/>
              </w:rPr>
              <w:t xml:space="preserve">EARLIER-GENERATION ENFORCEMENT — Revise Before Submission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CTF-01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Counter-Terrorist Financing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Earlier-Gen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Update with PERSIST standards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C0392B"/>
                <w:sz w:val="18"/>
                <w:szCs w:val="18"/>
              </w:rPr>
              <w:t xml:space="preserve">Moderate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CPF-02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Counter-Proliferation Finance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Earlier-Gen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Update with PERSIST standards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C0392B"/>
                <w:sz w:val="18"/>
                <w:szCs w:val="18"/>
              </w:rPr>
              <w:t xml:space="preserve">Moderate-High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13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bCs/>
                <w:color w:val="000000"/>
                <w:sz w:val="18"/>
                <w:szCs w:val="18"/>
              </w:rPr>
              <w:t xml:space="preserve">ARCH-03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Fentanyl Supply Chain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Earlier-Gen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000000"/>
                <w:sz w:val="18"/>
                <w:szCs w:val="18"/>
              </w:rPr>
              <w:t xml:space="preserve">Update with PERSIST standards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color w:val="C0392B"/>
                <w:sz w:val="18"/>
                <w:szCs w:val="18"/>
              </w:rPr>
              <w:t xml:space="preserve">Moderate</w:t>
            </w:r>
          </w:p>
        </w:tc>
      </w:tr>
    </w:tbl>
    <w:p>
      <w:pPr>
        <w:pStyle w:val="Heading1"/>
        <w:spacing w:before="360" w:after="160"/>
      </w:pPr>
      <w:r>
        <w:rPr>
          <w:rFonts w:ascii="Arial" w:cs="Arial" w:eastAsia="Arial" w:hAnsi="Arial"/>
          <w:b/>
          <w:bCs/>
          <w:color w:val="1F3864"/>
          <w:sz w:val="28"/>
          <w:szCs w:val="28"/>
        </w:rPr>
        <w:t xml:space="preserve">II. Individual Paper Assessments</w:t>
      </w:r>
    </w:p>
    <w:p>
      <w:pPr>
        <w:spacing w:before="280" w:after="0"/>
      </w:pPr>
      <w:r>
        <w:t xml:space="preserve"/>
      </w:r>
    </w:p>
    <w:p>
      <w:pPr>
        <w:spacing w:before="0" w:after="80"/>
      </w:pPr>
      <w:r>
        <w:rPr>
          <w:rFonts w:ascii="Arial" w:cs="Arial" w:eastAsia="Arial" w:hAnsi="Arial"/>
          <w:b/>
          <w:bCs/>
          <w:color w:val="1F3864"/>
          <w:sz w:val="24"/>
          <w:szCs w:val="24"/>
        </w:rPr>
        <w:t xml:space="preserve">WP-2026-ATTRIBUTION-01: The Nexus Protocol — Four-Level State Nexus Framework</w:t>
      </w:r>
    </w:p>
    <w:p>
      <w:pPr>
        <w:shd w:fill="1F3864" w:val="clear"/>
        <w:spacing w:before="0" w:after="120"/>
      </w:pPr>
      <w:r>
        <w:rPr>
          <w:rFonts w:ascii="Arial" w:cs="Arial" w:eastAsia="Arial" w:hAnsi="Arial"/>
          <w:b/>
          <w:bCs/>
          <w:color w:val="FFFFFF"/>
          <w:sz w:val="18"/>
          <w:szCs w:val="18"/>
        </w:rPr>
        <w:t xml:space="preserve">FOUNDATIONAL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Establishes the core analytical framework for all attribution work in the series. Defines four levels — Presence, Linkage, Support, Direct Tasking — and identifies category collapse as the primary failure mode in attribution analysis. Produces model findings language with explicit 'what would change this judgment' requirements and prohibited terms (clearly, obviously, proves).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Defines and enforces the Presence / Linkage / Support / Direct Tasking hierarchy</w:t>
            </w:r>
          </w:p>
          <w:p>
            <w:pPr>
              <w:pStyle w:val="ListParagraph"/>
              <w:numPr>
                <w:ilvl w:val="0"/>
                <w:numId w:val="2"/>
              </w:numPr>
              <w:spacing w:before="30" w:after="30"/>
            </w:pPr>
            <w:r>
              <w:rPr>
                <w:rFonts w:ascii="Arial" w:cs="Arial" w:eastAsia="Arial" w:hAnsi="Arial"/>
                <w:sz w:val="19"/>
                <w:szCs w:val="19"/>
              </w:rPr>
              <w:t xml:space="preserve">Establishes five corroboration principles (independence, convergence, proportionality, documentation, inference/corroboration/adjudication distinction)</w:t>
            </w:r>
          </w:p>
          <w:p>
            <w:pPr>
              <w:pStyle w:val="ListParagraph"/>
              <w:numPr>
                <w:ilvl w:val="0"/>
                <w:numId w:val="2"/>
              </w:numPr>
              <w:spacing w:before="30" w:after="30"/>
            </w:pPr>
            <w:r>
              <w:rPr>
                <w:rFonts w:ascii="Arial" w:cs="Arial" w:eastAsia="Arial" w:hAnsi="Arial"/>
                <w:sz w:val="19"/>
                <w:szCs w:val="19"/>
              </w:rPr>
              <w:t xml:space="preserve">Maps institutional calibration across State, OFAC, DOJ, IC, Commerce/BIS</w:t>
            </w:r>
          </w:p>
          <w:p>
            <w:pPr>
              <w:pStyle w:val="ListParagraph"/>
              <w:numPr>
                <w:ilvl w:val="0"/>
                <w:numId w:val="2"/>
              </w:numPr>
              <w:spacing w:before="30" w:after="30"/>
            </w:pPr>
            <w:r>
              <w:rPr>
                <w:rFonts w:ascii="Arial" w:cs="Arial" w:eastAsia="Arial" w:hAnsi="Arial"/>
                <w:sz w:val="19"/>
                <w:szCs w:val="19"/>
              </w:rPr>
              <w:t xml:space="preserve">Names six attribution failure modes including advocacy capture</w:t>
            </w:r>
          </w:p>
          <w:p>
            <w:pPr>
              <w:pStyle w:val="ListParagraph"/>
              <w:numPr>
                <w:ilvl w:val="0"/>
                <w:numId w:val="2"/>
              </w:numPr>
              <w:spacing w:before="30" w:after="30"/>
            </w:pPr>
            <w:r>
              <w:rPr>
                <w:rFonts w:ascii="Arial" w:cs="Arial" w:eastAsia="Arial" w:hAnsi="Arial"/>
                <w:sz w:val="19"/>
                <w:szCs w:val="19"/>
              </w:rPr>
              <w:t xml:space="preserve">Produces model findings language at each level</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Four-level framework table not rendered in the formatted document — verify it is populated</w:t>
            </w:r>
          </w:p>
          <w:p>
            <w:pPr>
              <w:pStyle w:val="ListParagraph"/>
              <w:numPr>
                <w:ilvl w:val="0"/>
                <w:numId w:val="2"/>
              </w:numPr>
              <w:spacing w:before="30" w:after="30"/>
            </w:pPr>
            <w:r>
              <w:rPr>
                <w:rFonts w:ascii="Arial" w:cs="Arial" w:eastAsia="Arial" w:hAnsi="Arial"/>
                <w:sz w:val="19"/>
                <w:szCs w:val="19"/>
              </w:rPr>
              <w:t xml:space="preserve">Domain summary table (Section 6) not rendered — same issue</w:t>
            </w:r>
          </w:p>
          <w:p>
            <w:pPr>
              <w:pStyle w:val="ListParagraph"/>
              <w:numPr>
                <w:ilvl w:val="0"/>
                <w:numId w:val="2"/>
              </w:numPr>
              <w:spacing w:before="30" w:after="30"/>
            </w:pPr>
            <w:r>
              <w:rPr>
                <w:rFonts w:ascii="Arial" w:cs="Arial" w:eastAsia="Arial" w:hAnsi="Arial"/>
                <w:sz w:val="19"/>
                <w:szCs w:val="19"/>
              </w:rPr>
              <w:t xml:space="preserve">Relationship to CSE-01's five-rung extension not made explicit in the text</w:t>
            </w:r>
          </w:p>
          <w:p>
            <w:pPr>
              <w:pStyle w:val="ListParagraph"/>
              <w:numPr>
                <w:ilvl w:val="0"/>
                <w:numId w:val="2"/>
              </w:numPr>
              <w:spacing w:before="30" w:after="30"/>
            </w:pPr>
            <w:r>
              <w:rPr>
                <w:rFonts w:ascii="Arial" w:cs="Arial" w:eastAsia="Arial" w:hAnsi="Arial"/>
                <w:sz w:val="19"/>
                <w:szCs w:val="19"/>
              </w:rPr>
              <w:t xml:space="preserve">No academic literature engagement — Rid, Lindsay, Libicki on attribution are directly relevant</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anchor document for the entire methodology stack. CSE-01 extends it to five rungs. SHIELD-01 applies it to sanctions enforcement targeting. PERSIST applies it implicitly throughout. Every paper in the series that makes an attribution-level judgment is drawing on this framework whether it cites it or not.</w:t>
            </w:r>
          </w:p>
        </w:tc>
      </w:tr>
    </w:tbl>
    <w:p>
      <w:pPr>
        <w:spacing w:before="280" w:after="0"/>
      </w:pPr>
      <w:r>
        <w:t xml:space="preserve"/>
      </w:r>
    </w:p>
    <w:p>
      <w:pPr>
        <w:spacing w:before="0" w:after="80"/>
      </w:pPr>
      <w:r>
        <w:rPr>
          <w:rFonts w:ascii="Arial" w:cs="Arial" w:eastAsia="Arial" w:hAnsi="Arial"/>
          <w:b/>
          <w:bCs/>
          <w:color w:val="1F3864"/>
          <w:sz w:val="24"/>
          <w:szCs w:val="24"/>
        </w:rPr>
        <w:t xml:space="preserve">WP-2026-CSE-01 / NEXUS-01: PRC Commercial State Nexus Protocol — Five-Rung Methodology</w:t>
      </w:r>
    </w:p>
    <w:p>
      <w:pPr>
        <w:shd w:fill="2E5F9A" w:val="clear"/>
        <w:spacing w:before="0" w:after="120"/>
      </w:pPr>
      <w:r>
        <w:rPr>
          <w:rFonts w:ascii="Arial" w:cs="Arial" w:eastAsia="Arial" w:hAnsi="Arial"/>
          <w:b/>
          <w:bCs/>
          <w:color w:val="FFFFFF"/>
          <w:sz w:val="18"/>
          <w:szCs w:val="18"/>
        </w:rPr>
        <w:t xml:space="preserve">METHODOLOGY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Extends ATTRIBUTION-01's four-level framework by inserting Enablement as a fifth rung between Support and Direct Tasking. Adds beneficial ownership analysis, VIE architecture treatment, and institutional calibration for OFAC 50 Percent Rule, FinCEN CDD, and CFIUS effective-control test. Defines the Support/Enablement boundary through four distinguishing tests.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Defines Enablement: active facilitation through commercial cover where the entity's structure provides concealment value the state cannot easily replicate directly</w:t>
            </w:r>
          </w:p>
          <w:p>
            <w:pPr>
              <w:pStyle w:val="ListParagraph"/>
              <w:numPr>
                <w:ilvl w:val="0"/>
                <w:numId w:val="2"/>
              </w:numPr>
              <w:spacing w:before="30" w:after="30"/>
            </w:pPr>
            <w:r>
              <w:rPr>
                <w:rFonts w:ascii="Arial" w:cs="Arial" w:eastAsia="Arial" w:hAnsi="Arial"/>
                <w:sz w:val="19"/>
                <w:szCs w:val="19"/>
              </w:rPr>
              <w:t xml:space="preserve">Establishes four Support/Enablement boundary tests: directionality of benefit, structural necessity, substitutability, concealment function</w:t>
            </w:r>
          </w:p>
          <w:p>
            <w:pPr>
              <w:pStyle w:val="ListParagraph"/>
              <w:numPr>
                <w:ilvl w:val="0"/>
                <w:numId w:val="2"/>
              </w:numPr>
              <w:spacing w:before="30" w:after="30"/>
            </w:pPr>
            <w:r>
              <w:rPr>
                <w:rFonts w:ascii="Arial" w:cs="Arial" w:eastAsia="Arial" w:hAnsi="Arial"/>
                <w:sz w:val="19"/>
                <w:szCs w:val="19"/>
              </w:rPr>
              <w:t xml:space="preserve">Produces disconfirmation criteria — when to hold at Support rather than escalate</w:t>
            </w:r>
          </w:p>
          <w:p>
            <w:pPr>
              <w:pStyle w:val="ListParagraph"/>
              <w:numPr>
                <w:ilvl w:val="0"/>
                <w:numId w:val="2"/>
              </w:numPr>
              <w:spacing w:before="30" w:after="30"/>
            </w:pPr>
            <w:r>
              <w:rPr>
                <w:rFonts w:ascii="Arial" w:cs="Arial" w:eastAsia="Arial" w:hAnsi="Arial"/>
                <w:sz w:val="19"/>
                <w:szCs w:val="19"/>
              </w:rPr>
              <w:t xml:space="preserve">Maps beneficial ownership tools: OFAC 50 Percent Rule limits, FinCEN CDD, CFIUS effective-control, VIE architecture</w:t>
            </w:r>
          </w:p>
          <w:p>
            <w:pPr>
              <w:pStyle w:val="ListParagraph"/>
              <w:numPr>
                <w:ilvl w:val="0"/>
                <w:numId w:val="2"/>
              </w:numPr>
              <w:spacing w:before="30" w:after="30"/>
            </w:pPr>
            <w:r>
              <w:rPr>
                <w:rFonts w:ascii="Arial" w:cs="Arial" w:eastAsia="Arial" w:hAnsi="Arial"/>
                <w:sz w:val="19"/>
                <w:szCs w:val="19"/>
              </w:rPr>
              <w:t xml:space="preserve">Documents seven failure modes including threshold laundering and toleration-as-tasking</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Appendix C (minimum conditions for Enablement assessment) not rendered — most operationally critical element in the paper</w:t>
            </w:r>
          </w:p>
          <w:p>
            <w:pPr>
              <w:pStyle w:val="ListParagraph"/>
              <w:numPr>
                <w:ilvl w:val="0"/>
                <w:numId w:val="2"/>
              </w:numPr>
              <w:spacing w:before="30" w:after="30"/>
            </w:pPr>
            <w:r>
              <w:rPr>
                <w:rFonts w:ascii="Arial" w:cs="Arial" w:eastAsia="Arial" w:hAnsi="Arial"/>
                <w:sz w:val="19"/>
                <w:szCs w:val="19"/>
              </w:rPr>
              <w:t xml:space="preserve">Second hypothetical showing methodology terminating at Support (not Enablement) would strengthen disconfirmation demonstration</w:t>
            </w:r>
          </w:p>
          <w:p>
            <w:pPr>
              <w:pStyle w:val="ListParagraph"/>
              <w:numPr>
                <w:ilvl w:val="0"/>
                <w:numId w:val="2"/>
              </w:numPr>
              <w:spacing w:before="30" w:after="30"/>
            </w:pPr>
            <w:r>
              <w:rPr>
                <w:rFonts w:ascii="Arial" w:cs="Arial" w:eastAsia="Arial" w:hAnsi="Arial"/>
                <w:sz w:val="19"/>
                <w:szCs w:val="19"/>
              </w:rPr>
              <w:t xml:space="preserve">Open-source confidence ceiling acknowledged but not given a precise threshold</w:t>
            </w:r>
          </w:p>
          <w:p>
            <w:pPr>
              <w:pStyle w:val="ListParagraph"/>
              <w:numPr>
                <w:ilvl w:val="0"/>
                <w:numId w:val="2"/>
              </w:numPr>
              <w:spacing w:before="30" w:after="30"/>
            </w:pPr>
            <w:r>
              <w:rPr>
                <w:rFonts w:ascii="Arial" w:cs="Arial" w:eastAsia="Arial" w:hAnsi="Arial"/>
                <w:sz w:val="19"/>
                <w:szCs w:val="19"/>
              </w:rPr>
              <w:t xml:space="preserve">No academic literature engagement on corporate attribution or beneficial ownership scholarship</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technical engine for PRC-specific attribution work. SHIELD-01's five-rung ladder is this paper's framework applied to sanctions enforcement. PERSIST's Pillar 1 (economic constraint) relies on this methodology for entity-level targeting decisions. ANCHOR's neutral targeting rule complements the disconfirmation criteria here.</w:t>
            </w:r>
          </w:p>
        </w:tc>
      </w:tr>
    </w:tbl>
    <w:p>
      <w:pPr>
        <w:spacing w:before="280" w:after="0"/>
      </w:pPr>
      <w:r>
        <w:t xml:space="preserve"/>
      </w:r>
    </w:p>
    <w:p>
      <w:pPr>
        <w:spacing w:before="0" w:after="80"/>
      </w:pPr>
      <w:r>
        <w:rPr>
          <w:rFonts w:ascii="Arial" w:cs="Arial" w:eastAsia="Arial" w:hAnsi="Arial"/>
          <w:b/>
          <w:bCs/>
          <w:color w:val="1F3864"/>
          <w:sz w:val="24"/>
          <w:szCs w:val="24"/>
        </w:rPr>
        <w:t xml:space="preserve">WP-2026-SHIELD-01: Sanctions Enforcement Architecture for PRC-Facilitated Networks</w:t>
      </w:r>
    </w:p>
    <w:p>
      <w:pPr>
        <w:shd w:fill="2980B9" w:val="clear"/>
        <w:spacing w:before="0" w:after="120"/>
      </w:pPr>
      <w:r>
        <w:rPr>
          <w:rFonts w:ascii="Arial" w:cs="Arial" w:eastAsia="Arial" w:hAnsi="Arial"/>
          <w:b/>
          <w:bCs/>
          <w:color w:val="FFFFFF"/>
          <w:sz w:val="18"/>
          <w:szCs w:val="18"/>
        </w:rPr>
        <w:t xml:space="preserve">APPLIED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Applies the five-rung Commercial State Nexus Ladder to sanctions enforcement architecture against PRC-shielded partner-state networks (Iran, Venezuela, Cuba, DPRK). Produces seven Key Judgments, a ten-instrument authority-to-action matrix, a five-phase sequencing architecture, and the Coalition Conflict Resolution Protocol (CCRP) as an original policy contribution.</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Seven Key Judgments (KJ 1-7) with explicit confidence levels from LOW-MOD to HIGH</w:t>
            </w:r>
          </w:p>
          <w:p>
            <w:pPr>
              <w:pStyle w:val="ListParagraph"/>
              <w:numPr>
                <w:ilvl w:val="0"/>
                <w:numId w:val="2"/>
              </w:numPr>
              <w:spacing w:before="30" w:after="30"/>
            </w:pPr>
            <w:r>
              <w:rPr>
                <w:rFonts w:ascii="Arial" w:cs="Arial" w:eastAsia="Arial" w:hAnsi="Arial"/>
                <w:sz w:val="19"/>
                <w:szCs w:val="19"/>
              </w:rPr>
              <w:t xml:space="preserve">Applies five-rung ladder from CSE-01 throughout enforcement targeting</w:t>
            </w:r>
          </w:p>
          <w:p>
            <w:pPr>
              <w:pStyle w:val="ListParagraph"/>
              <w:numPr>
                <w:ilvl w:val="0"/>
                <w:numId w:val="2"/>
              </w:numPr>
              <w:spacing w:before="30" w:after="30"/>
            </w:pPr>
            <w:r>
              <w:rPr>
                <w:rFonts w:ascii="Arial" w:cs="Arial" w:eastAsia="Arial" w:hAnsi="Arial"/>
                <w:sz w:val="19"/>
                <w:szCs w:val="19"/>
              </w:rPr>
              <w:t xml:space="preserve">Produces Coalition Conflict Resolution Protocol: technology-denial coordination takes precedence over tariff escalation in coalition-sensitive domains; 30-day mandatory USTR/BIS/State review window</w:t>
            </w:r>
          </w:p>
          <w:p>
            <w:pPr>
              <w:pStyle w:val="ListParagraph"/>
              <w:numPr>
                <w:ilvl w:val="0"/>
                <w:numId w:val="2"/>
              </w:numPr>
              <w:spacing w:before="30" w:after="30"/>
            </w:pPr>
            <w:r>
              <w:rPr>
                <w:rFonts w:ascii="Arial" w:cs="Arial" w:eastAsia="Arial" w:hAnsi="Arial"/>
                <w:sz w:val="19"/>
                <w:szCs w:val="19"/>
              </w:rPr>
              <w:t xml:space="preserve">Maps Venezuela GL 46/47 conditionality as active enforcement lever</w:t>
            </w:r>
          </w:p>
          <w:p>
            <w:pPr>
              <w:pStyle w:val="ListParagraph"/>
              <w:numPr>
                <w:ilvl w:val="0"/>
                <w:numId w:val="2"/>
              </w:numPr>
              <w:spacing w:before="30" w:after="30"/>
            </w:pPr>
            <w:r>
              <w:rPr>
                <w:rFonts w:ascii="Arial" w:cs="Arial" w:eastAsia="Arial" w:hAnsi="Arial"/>
                <w:sz w:val="19"/>
                <w:szCs w:val="19"/>
              </w:rPr>
              <w:t xml:space="preserve">Documents seven risk categories including rare-earth asymmetry as most dangerous unresolved gap</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Authority-to-action matrix referenced but not fully rendered — verify populated</w:t>
            </w:r>
          </w:p>
          <w:p>
            <w:pPr>
              <w:pStyle w:val="ListParagraph"/>
              <w:numPr>
                <w:ilvl w:val="0"/>
                <w:numId w:val="2"/>
              </w:numPr>
              <w:spacing w:before="30" w:after="30"/>
            </w:pPr>
            <w:r>
              <w:rPr>
                <w:rFonts w:ascii="Arial" w:cs="Arial" w:eastAsia="Arial" w:hAnsi="Arial"/>
                <w:sz w:val="19"/>
                <w:szCs w:val="19"/>
              </w:rPr>
              <w:t xml:space="preserve">Five-phase sequencing summary table not rendered</w:t>
            </w:r>
          </w:p>
          <w:p>
            <w:pPr>
              <w:pStyle w:val="ListParagraph"/>
              <w:numPr>
                <w:ilvl w:val="0"/>
                <w:numId w:val="2"/>
              </w:numPr>
              <w:spacing w:before="30" w:after="30"/>
            </w:pPr>
            <w:r>
              <w:rPr>
                <w:rFonts w:ascii="Arial" w:cs="Arial" w:eastAsia="Arial" w:hAnsi="Arial"/>
                <w:sz w:val="19"/>
                <w:szCs w:val="19"/>
              </w:rPr>
              <w:t xml:space="preserve">Capability/constraint decision box referenced but not rendered</w:t>
            </w:r>
          </w:p>
          <w:p>
            <w:pPr>
              <w:pStyle w:val="ListParagraph"/>
              <w:numPr>
                <w:ilvl w:val="0"/>
                <w:numId w:val="2"/>
              </w:numPr>
              <w:spacing w:before="30" w:after="30"/>
            </w:pPr>
            <w:r>
              <w:rPr>
                <w:rFonts w:ascii="Arial" w:cs="Arial" w:eastAsia="Arial" w:hAnsi="Arial"/>
                <w:sz w:val="19"/>
                <w:szCs w:val="19"/>
              </w:rPr>
              <w:t xml:space="preserve">Companion paper dependency creates gaps for standalone readers</w:t>
            </w:r>
          </w:p>
          <w:p>
            <w:pPr>
              <w:pStyle w:val="ListParagraph"/>
              <w:numPr>
                <w:ilvl w:val="0"/>
                <w:numId w:val="2"/>
              </w:numPr>
              <w:spacing w:before="30" w:after="30"/>
            </w:pPr>
            <w:r>
              <w:rPr>
                <w:rFonts w:ascii="Arial" w:cs="Arial" w:eastAsia="Arial" w:hAnsi="Arial"/>
                <w:sz w:val="19"/>
                <w:szCs w:val="19"/>
              </w:rPr>
              <w:t xml:space="preserve">Research agenda buried at end rather than integrated into structure</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bridge between methodology (ATTRIBUTION-01, CSE-01) and strategic architecture (PERSIST). The CCRP addresses the live contradiction between technology-denial coordination and trade friction with the same allies — a gap PERSIST and ANCHOR name but cannot resolve. MAXPRESS-01's simultaneous BIS/OFAC action default is an execution-layer complement to SHIELD-01's authority-to-action matrix.</w:t>
            </w:r>
          </w:p>
        </w:tc>
      </w:tr>
    </w:tbl>
    <w:p>
      <w:pPr>
        <w:spacing w:before="280" w:after="0"/>
      </w:pPr>
      <w:r>
        <w:t xml:space="preserve"/>
      </w:r>
    </w:p>
    <w:p>
      <w:pPr>
        <w:spacing w:before="0" w:after="80"/>
      </w:pPr>
      <w:r>
        <w:rPr>
          <w:rFonts w:ascii="Arial" w:cs="Arial" w:eastAsia="Arial" w:hAnsi="Arial"/>
          <w:b/>
          <w:bCs/>
          <w:color w:val="1F3864"/>
          <w:sz w:val="24"/>
          <w:szCs w:val="24"/>
        </w:rPr>
        <w:t xml:space="preserve">WP-2026-PERSIST-01: PERSIST — Litigation-Resilient Architecture for U.S. Competitive Statecraft Against the PRC</w:t>
      </w:r>
    </w:p>
    <w:p>
      <w:pPr>
        <w:shd w:fill="16A085" w:val="clear"/>
        <w:spacing w:before="0" w:after="120"/>
      </w:pPr>
      <w:r>
        <w:rPr>
          <w:rFonts w:ascii="Arial" w:cs="Arial" w:eastAsia="Arial" w:hAnsi="Arial"/>
          <w:b/>
          <w:bCs/>
          <w:color w:val="FFFFFF"/>
          <w:sz w:val="18"/>
          <w:szCs w:val="18"/>
        </w:rPr>
        <w:t xml:space="preserve">STRATEGIC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capstone strategic architecture. Builds a five-pillar competitive statecraft framework (Economic Constraint, Information Disruption, Military Readiness Uncertainty, Deterrence Architecture, Allied and Domestic Resilience) with full legal engineering: six authority rails, tiered escalation ladder, standards-of-proof framework, neutral designation-selection rule, guardrail index, stability architecture, and prescriptive substitution guide.</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Five independent, severable pillars each with distinct strategic logic</w:t>
            </w:r>
          </w:p>
          <w:p>
            <w:pPr>
              <w:pStyle w:val="ListParagraph"/>
              <w:numPr>
                <w:ilvl w:val="0"/>
                <w:numId w:val="2"/>
              </w:numPr>
              <w:spacing w:before="30" w:after="30"/>
            </w:pPr>
            <w:r>
              <w:rPr>
                <w:rFonts w:ascii="Arial" w:cs="Arial" w:eastAsia="Arial" w:hAnsi="Arial"/>
                <w:sz w:val="19"/>
                <w:szCs w:val="19"/>
              </w:rPr>
              <w:t xml:space="preserve">Six authority rails mapped with hard limits, drafting consequences, and off-ramp criteria</w:t>
            </w:r>
          </w:p>
          <w:p>
            <w:pPr>
              <w:pStyle w:val="ListParagraph"/>
              <w:numPr>
                <w:ilvl w:val="0"/>
                <w:numId w:val="2"/>
              </w:numPr>
              <w:spacing w:before="30" w:after="30"/>
            </w:pPr>
            <w:r>
              <w:rPr>
                <w:rFonts w:ascii="Arial" w:cs="Arial" w:eastAsia="Arial" w:hAnsi="Arial"/>
                <w:sz w:val="19"/>
                <w:szCs w:val="19"/>
              </w:rPr>
              <w:t xml:space="preserve">Tiered escalation (Tier 0-3) with activation thresholds, coalition-risk review requirements, and suspension triggers</w:t>
            </w:r>
          </w:p>
          <w:p>
            <w:pPr>
              <w:pStyle w:val="ListParagraph"/>
              <w:numPr>
                <w:ilvl w:val="0"/>
                <w:numId w:val="2"/>
              </w:numPr>
              <w:spacing w:before="30" w:after="30"/>
            </w:pPr>
            <w:r>
              <w:rPr>
                <w:rFonts w:ascii="Arial" w:cs="Arial" w:eastAsia="Arial" w:hAnsi="Arial"/>
                <w:sz w:val="19"/>
                <w:szCs w:val="19"/>
              </w:rPr>
              <w:t xml:space="preserve">Four-tier standards of proof distinguishing credible signal, confirmed attribution, material enabling behavior, systemic-risk threshold</w:t>
            </w:r>
          </w:p>
          <w:p>
            <w:pPr>
              <w:pStyle w:val="ListParagraph"/>
              <w:numPr>
                <w:ilvl w:val="0"/>
                <w:numId w:val="2"/>
              </w:numPr>
              <w:spacing w:before="30" w:after="30"/>
            </w:pPr>
            <w:r>
              <w:rPr>
                <w:rFonts w:ascii="Arial" w:cs="Arial" w:eastAsia="Arial" w:hAnsi="Arial"/>
                <w:sz w:val="19"/>
                <w:szCs w:val="19"/>
              </w:rPr>
              <w:t xml:space="preserve">Neutral designation-selection rule with prohibited-factor list and selection log as litigation defense exhibit</w:t>
            </w:r>
          </w:p>
          <w:p>
            <w:pPr>
              <w:pStyle w:val="ListParagraph"/>
              <w:numPr>
                <w:ilvl w:val="0"/>
                <w:numId w:val="2"/>
              </w:numPr>
              <w:spacing w:before="30" w:after="30"/>
            </w:pPr>
            <w:r>
              <w:rPr>
                <w:rFonts w:ascii="Arial" w:cs="Arial" w:eastAsia="Arial" w:hAnsi="Arial"/>
                <w:sz w:val="19"/>
                <w:szCs w:val="19"/>
              </w:rPr>
              <w:t xml:space="preserve">Guardrail index with four indicators and automatic pause mechanics</w:t>
            </w:r>
          </w:p>
          <w:p>
            <w:pPr>
              <w:pStyle w:val="ListParagraph"/>
              <w:numPr>
                <w:ilvl w:val="0"/>
                <w:numId w:val="2"/>
              </w:numPr>
              <w:spacing w:before="30" w:after="30"/>
            </w:pPr>
            <w:r>
              <w:rPr>
                <w:rFonts w:ascii="Arial" w:cs="Arial" w:eastAsia="Arial" w:hAnsi="Arial"/>
                <w:sz w:val="19"/>
                <w:szCs w:val="19"/>
              </w:rPr>
              <w:t xml:space="preserve">Prescriptive substitution guide replacing nine attacker framings</w:t>
            </w:r>
          </w:p>
          <w:p>
            <w:pPr>
              <w:pStyle w:val="ListParagraph"/>
              <w:numPr>
                <w:ilvl w:val="0"/>
                <w:numId w:val="2"/>
              </w:numPr>
              <w:spacing w:before="30" w:after="30"/>
            </w:pPr>
            <w:r>
              <w:rPr>
                <w:rFonts w:ascii="Arial" w:cs="Arial" w:eastAsia="Arial" w:hAnsi="Arial"/>
                <w:sz w:val="19"/>
                <w:szCs w:val="19"/>
              </w:rPr>
              <w:t xml:space="preserve">Model memoranda: Designation, Coalition-Risk Review, Delisting, Guardrail Override</w:t>
            </w:r>
          </w:p>
          <w:p>
            <w:pPr>
              <w:pStyle w:val="ListParagraph"/>
              <w:numPr>
                <w:ilvl w:val="0"/>
                <w:numId w:val="2"/>
              </w:numPr>
              <w:spacing w:before="30" w:after="30"/>
            </w:pPr>
            <w:r>
              <w:rPr>
                <w:rFonts w:ascii="Arial" w:cs="Arial" w:eastAsia="Arial" w:hAnsi="Arial"/>
                <w:sz w:val="19"/>
                <w:szCs w:val="19"/>
              </w:rPr>
              <w:t xml:space="preserve">Section 10 fault lines analysis acknowledging allied fracture, blowback, substitution, escalation, legitimacy, and legal record risks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Compounding logic (Section 9) understated — two paragraphs for the framework's central strategic mechanism</w:t>
            </w:r>
          </w:p>
          <w:p>
            <w:pPr>
              <w:pStyle w:val="ListParagraph"/>
              <w:numPr>
                <w:ilvl w:val="0"/>
                <w:numId w:val="2"/>
              </w:numPr>
              <w:spacing w:before="30" w:after="30"/>
            </w:pPr>
            <w:r>
              <w:rPr>
                <w:rFonts w:ascii="Arial" w:cs="Arial" w:eastAsia="Arial" w:hAnsi="Arial"/>
                <w:sz w:val="19"/>
                <w:szCs w:val="19"/>
              </w:rPr>
              <w:t xml:space="preserve">Information pillar (Pillar 2) least operationally specified of the five</w:t>
            </w:r>
          </w:p>
          <w:p>
            <w:pPr>
              <w:pStyle w:val="ListParagraph"/>
              <w:numPr>
                <w:ilvl w:val="0"/>
                <w:numId w:val="2"/>
              </w:numPr>
              <w:spacing w:before="30" w:after="30"/>
            </w:pPr>
            <w:r>
              <w:rPr>
                <w:rFonts w:ascii="Arial" w:cs="Arial" w:eastAsia="Arial" w:hAnsi="Arial"/>
                <w:sz w:val="19"/>
                <w:szCs w:val="19"/>
              </w:rPr>
              <w:t xml:space="preserve">Outbound investment screening authority contestation (E.O. 14105) not fully developed</w:t>
            </w:r>
          </w:p>
          <w:p>
            <w:pPr>
              <w:pStyle w:val="ListParagraph"/>
              <w:numPr>
                <w:ilvl w:val="0"/>
                <w:numId w:val="2"/>
              </w:numPr>
              <w:spacing w:before="30" w:after="30"/>
            </w:pPr>
            <w:r>
              <w:rPr>
                <w:rFonts w:ascii="Arial" w:cs="Arial" w:eastAsia="Arial" w:hAnsi="Arial"/>
                <w:sz w:val="19"/>
                <w:szCs w:val="19"/>
              </w:rPr>
              <w:t xml:space="preserve">No academic literature engagement — Drezner, Farrell/Newman, Pape directly relevant</w:t>
            </w:r>
          </w:p>
          <w:p>
            <w:pPr>
              <w:pStyle w:val="ListParagraph"/>
              <w:numPr>
                <w:ilvl w:val="0"/>
                <w:numId w:val="2"/>
              </w:numPr>
              <w:spacing w:before="30" w:after="30"/>
            </w:pPr>
            <w:r>
              <w:rPr>
                <w:rFonts w:ascii="Arial" w:cs="Arial" w:eastAsia="Arial" w:hAnsi="Arial"/>
                <w:sz w:val="19"/>
                <w:szCs w:val="19"/>
              </w:rPr>
              <w:t xml:space="preserve">The Netherlands/Japan/South Korea trade-friction vs. technology-denial contradiction named but not resolved</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strategic architecture that ANCHOR, TARIFF-01, CONTAIN-01, and MAXPRESS-01 all operate within or complement. ANCHOR handles the import-flow layer that PERSIST does not address in detail. CONTAIN-01 extends the guardrail logic into the multipolar sustained-pressure environment. SHIELD-01's CCRP addresses PERSIST's largest named implementation gap.</w:t>
            </w:r>
          </w:p>
        </w:tc>
      </w:tr>
    </w:tbl>
    <w:p>
      <w:pPr>
        <w:spacing w:before="280" w:after="0"/>
      </w:pPr>
      <w:r>
        <w:t xml:space="preserve"/>
      </w:r>
    </w:p>
    <w:p>
      <w:pPr>
        <w:spacing w:before="0" w:after="80"/>
      </w:pPr>
      <w:r>
        <w:rPr>
          <w:rFonts w:ascii="Arial" w:cs="Arial" w:eastAsia="Arial" w:hAnsi="Arial"/>
          <w:b/>
          <w:bCs/>
          <w:color w:val="1F3864"/>
          <w:sz w:val="24"/>
          <w:szCs w:val="24"/>
        </w:rPr>
        <w:t xml:space="preserve">WP-2026-TARIFF-01: ANCHOR — Litigation-Resilient Architecture for Evidence-Gated Tariff and Trade Enforcement</w:t>
      </w:r>
    </w:p>
    <w:p>
      <w:pPr>
        <w:shd w:fill="27AE60" w:val="clear"/>
        <w:spacing w:before="0" w:after="120"/>
      </w:pPr>
      <w:r>
        <w:rPr>
          <w:rFonts w:ascii="Arial" w:cs="Arial" w:eastAsia="Arial" w:hAnsi="Arial"/>
          <w:b/>
          <w:bCs/>
          <w:color w:val="FFFFFF"/>
          <w:sz w:val="18"/>
          <w:szCs w:val="18"/>
        </w:rPr>
        <w:t xml:space="preserve">LEGAL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most legally precise paper in the series. Builds a seven-rail tariff enforcement architecture with the most rigorous predicate definitions, explicit exclusions list, and economic shock guardrail system of any paper in the series. Designed explicitly to complement PERSIST at the import-flow layer.</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Seven independent authority rails: §301, §232, IEEPA, §122 bridge, AD-CVD, WTO/FTA, Customs Administration</w:t>
            </w:r>
          </w:p>
          <w:p>
            <w:pPr>
              <w:pStyle w:val="ListParagraph"/>
              <w:numPr>
                <w:ilvl w:val="0"/>
                <w:numId w:val="2"/>
              </w:numPr>
              <w:spacing w:before="30" w:after="30"/>
            </w:pPr>
            <w:r>
              <w:rPr>
                <w:rFonts w:ascii="Arial" w:cs="Arial" w:eastAsia="Arial" w:hAnsi="Arial"/>
                <w:sz w:val="19"/>
                <w:szCs w:val="19"/>
              </w:rPr>
              <w:t xml:space="preserve">Load-bearing definitions section (Section 4) with bright-line predicates for coercive trade practice, distortion, strategic dependency, and emergency predicate</w:t>
            </w:r>
          </w:p>
          <w:p>
            <w:pPr>
              <w:pStyle w:val="ListParagraph"/>
              <w:numPr>
                <w:ilvl w:val="0"/>
                <w:numId w:val="2"/>
              </w:numPr>
              <w:spacing w:before="30" w:after="30"/>
            </w:pPr>
            <w:r>
              <w:rPr>
                <w:rFonts w:ascii="Arial" w:cs="Arial" w:eastAsia="Arial" w:hAnsi="Arial"/>
                <w:sz w:val="19"/>
                <w:szCs w:val="19"/>
              </w:rPr>
              <w:t xml:space="preserve">Explicit exclusions list (Section 4.5) naming trade deficits, import volume, FX movements, SOE status, and revenue maximization as insufficient predicates</w:t>
            </w:r>
          </w:p>
          <w:p>
            <w:pPr>
              <w:pStyle w:val="ListParagraph"/>
              <w:numPr>
                <w:ilvl w:val="0"/>
                <w:numId w:val="2"/>
              </w:numPr>
              <w:spacing w:before="30" w:after="30"/>
            </w:pPr>
            <w:r>
              <w:rPr>
                <w:rFonts w:ascii="Arial" w:cs="Arial" w:eastAsia="Arial" w:hAnsi="Arial"/>
                <w:sz w:val="19"/>
                <w:szCs w:val="19"/>
              </w:rPr>
              <w:t xml:space="preserve">Four-tier standards of proof (Credible Signal through Systemic Risk Threshold)</w:t>
            </w:r>
          </w:p>
          <w:p>
            <w:pPr>
              <w:pStyle w:val="ListParagraph"/>
              <w:numPr>
                <w:ilvl w:val="0"/>
                <w:numId w:val="2"/>
              </w:numPr>
              <w:spacing w:before="30" w:after="30"/>
            </w:pPr>
            <w:r>
              <w:rPr>
                <w:rFonts w:ascii="Arial" w:cs="Arial" w:eastAsia="Arial" w:hAnsi="Arial"/>
                <w:sz w:val="19"/>
                <w:szCs w:val="19"/>
              </w:rPr>
              <w:t xml:space="preserve">Neutral tariff-targeting rule with prohibited-factor list and tariff-targeting log</w:t>
            </w:r>
          </w:p>
          <w:p>
            <w:pPr>
              <w:pStyle w:val="ListParagraph"/>
              <w:numPr>
                <w:ilvl w:val="0"/>
                <w:numId w:val="2"/>
              </w:numPr>
              <w:spacing w:before="30" w:after="30"/>
            </w:pPr>
            <w:r>
              <w:rPr>
                <w:rFonts w:ascii="Arial" w:cs="Arial" w:eastAsia="Arial" w:hAnsi="Arial"/>
                <w:sz w:val="19"/>
                <w:szCs w:val="19"/>
              </w:rPr>
              <w:t xml:space="preserve">Five-indicator economic shock guardrail (CPI/PCE, FX, retaliation, supply chain, allied cohesion) with governance, pause mechanics, and override documentation</w:t>
            </w:r>
          </w:p>
          <w:p>
            <w:pPr>
              <w:pStyle w:val="ListParagraph"/>
              <w:numPr>
                <w:ilvl w:val="0"/>
                <w:numId w:val="2"/>
              </w:numPr>
              <w:spacing w:before="30" w:after="30"/>
            </w:pPr>
            <w:r>
              <w:rPr>
                <w:rFonts w:ascii="Arial" w:cs="Arial" w:eastAsia="Arial" w:hAnsi="Arial"/>
                <w:sz w:val="19"/>
                <w:szCs w:val="19"/>
              </w:rPr>
              <w:t xml:space="preserve">Appendix C bright-line definitions including 70%/30%/24-month strategic dependency threshold</w:t>
            </w:r>
          </w:p>
          <w:p>
            <w:pPr>
              <w:pStyle w:val="ListParagraph"/>
              <w:numPr>
                <w:ilvl w:val="0"/>
                <w:numId w:val="2"/>
              </w:numPr>
              <w:spacing w:before="30" w:after="30"/>
            </w:pPr>
            <w:r>
              <w:rPr>
                <w:rFonts w:ascii="Arial" w:cs="Arial" w:eastAsia="Arial" w:hAnsi="Arial"/>
                <w:sz w:val="19"/>
                <w:szCs w:val="19"/>
              </w:rPr>
              <w:t xml:space="preserve">Appendix D guardrail metrics dashboard with agency ownership assignments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Services-sector retaliation gap (regulatory channels) identified but no proposed solution</w:t>
            </w:r>
          </w:p>
          <w:p>
            <w:pPr>
              <w:pStyle w:val="ListParagraph"/>
              <w:numPr>
                <w:ilvl w:val="0"/>
                <w:numId w:val="2"/>
              </w:numPr>
              <w:spacing w:before="30" w:after="30"/>
            </w:pPr>
            <w:r>
              <w:rPr>
                <w:rFonts w:ascii="Arial" w:cs="Arial" w:eastAsia="Arial" w:hAnsi="Arial"/>
                <w:sz w:val="19"/>
                <w:szCs w:val="19"/>
              </w:rPr>
              <w:t xml:space="preserve">Distributional impact assessment (lower-income household burden) recommended but not built into framework</w:t>
            </w:r>
          </w:p>
          <w:p>
            <w:pPr>
              <w:pStyle w:val="ListParagraph"/>
              <w:numPr>
                <w:ilvl w:val="0"/>
                <w:numId w:val="2"/>
              </w:numPr>
              <w:spacing w:before="30" w:after="30"/>
            </w:pPr>
            <w:r>
              <w:rPr>
                <w:rFonts w:ascii="Arial" w:cs="Arial" w:eastAsia="Arial" w:hAnsi="Arial"/>
                <w:sz w:val="19"/>
                <w:szCs w:val="19"/>
              </w:rPr>
              <w:t xml:space="preserve">Threshold placeholders ([X],[Y],[Z]) throughout — correct procedurally but operationally empty</w:t>
            </w:r>
          </w:p>
          <w:p>
            <w:pPr>
              <w:pStyle w:val="ListParagraph"/>
              <w:numPr>
                <w:ilvl w:val="0"/>
                <w:numId w:val="2"/>
              </w:numPr>
              <w:spacing w:before="30" w:after="30"/>
            </w:pPr>
            <w:r>
              <w:rPr>
                <w:rFonts w:ascii="Arial" w:cs="Arial" w:eastAsia="Arial" w:hAnsi="Arial"/>
                <w:sz w:val="19"/>
                <w:szCs w:val="19"/>
              </w:rPr>
              <w:t xml:space="preserve">WTO Appellate Body paralysis and Article XXI justiciability (Russia — Traffic in Transit) deserves more development</w:t>
            </w:r>
          </w:p>
          <w:p>
            <w:pPr>
              <w:pStyle w:val="ListParagraph"/>
              <w:numPr>
                <w:ilvl w:val="0"/>
                <w:numId w:val="2"/>
              </w:numPr>
              <w:spacing w:before="30" w:after="30"/>
            </w:pPr>
            <w:r>
              <w:rPr>
                <w:rFonts w:ascii="Arial" w:cs="Arial" w:eastAsia="Arial" w:hAnsi="Arial"/>
                <w:sz w:val="19"/>
                <w:szCs w:val="19"/>
              </w:rPr>
              <w:t xml:space="preserve">No academic literature engagement on sanctions/trade effectiveness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import-flow complement to PERSIST's technology/finance/influence layers. Section 9 (Compounding Logic) maps the three-framework integration explicitly. The instrument sequencing rule (Section 1.3) prevents tariff tools from substituting for what export controls and sanctions are designed to do. ANCHOR's coalition-risk review memo field requiring PERSIST coordination assessment is the key integration mechanism.</w:t>
            </w:r>
          </w:p>
        </w:tc>
      </w:tr>
    </w:tbl>
    <w:p>
      <w:pPr>
        <w:spacing w:before="280" w:after="0"/>
      </w:pPr>
      <w:r>
        <w:t xml:space="preserve"/>
      </w:r>
    </w:p>
    <w:p>
      <w:pPr>
        <w:spacing w:before="0" w:after="80"/>
      </w:pPr>
      <w:r>
        <w:rPr>
          <w:rFonts w:ascii="Arial" w:cs="Arial" w:eastAsia="Arial" w:hAnsi="Arial"/>
          <w:b/>
          <w:bCs/>
          <w:color w:val="1F3864"/>
          <w:sz w:val="24"/>
          <w:szCs w:val="24"/>
        </w:rPr>
        <w:t xml:space="preserve">WP-2026-CONTAIN-01: Long-Term Sanctions Containment in Multipolar Environments</w:t>
      </w:r>
    </w:p>
    <w:p>
      <w:pPr>
        <w:shd w:fill="8E44AD" w:val="clear"/>
        <w:spacing w:before="0" w:after="120"/>
      </w:pPr>
      <w:r>
        <w:rPr>
          <w:rFonts w:ascii="Arial" w:cs="Arial" w:eastAsia="Arial" w:hAnsi="Arial"/>
          <w:b/>
          <w:bCs/>
          <w:color w:val="FFFFFF"/>
          <w:sz w:val="18"/>
          <w:szCs w:val="18"/>
        </w:rPr>
        <w:t xml:space="preserve">STRATEGIC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most strategically honest paper in the series. Explicitly rejects regime collapse and coercive breakthrough as success criteria. Builds a four-component sustained containment framework for multipolar environments with major-power shielding: Integrated Systemic Attrition Doctrine (ISAD), Sustainable Pressure and Alternatives Denial (SPAD), Dollar Enforcement Effectiveness Index (DEEI), and Operational Observability Protocol.</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ISAD: cumulative friction on profit-sensitive network connective tissue targeting +25-45% transaction cost inflation over 12-24 months</w:t>
            </w:r>
          </w:p>
          <w:p>
            <w:pPr>
              <w:pStyle w:val="ListParagraph"/>
              <w:numPr>
                <w:ilvl w:val="0"/>
                <w:numId w:val="2"/>
              </w:numPr>
              <w:spacing w:before="30" w:after="30"/>
            </w:pPr>
            <w:r>
              <w:rPr>
                <w:rFonts w:ascii="Arial" w:cs="Arial" w:eastAsia="Arial" w:hAnsi="Arial"/>
                <w:sz w:val="19"/>
                <w:szCs w:val="19"/>
              </w:rPr>
              <w:t xml:space="preserve">SPAD: targets reliability inputs (maintenance components, software, reinsurance, certification) rather than settlement rails</w:t>
            </w:r>
          </w:p>
          <w:p>
            <w:pPr>
              <w:pStyle w:val="ListParagraph"/>
              <w:numPr>
                <w:ilvl w:val="0"/>
                <w:numId w:val="2"/>
              </w:numPr>
              <w:spacing w:before="30" w:after="30"/>
            </w:pPr>
            <w:r>
              <w:rPr>
                <w:rFonts w:ascii="Arial" w:cs="Arial" w:eastAsia="Arial" w:hAnsi="Arial"/>
                <w:sz w:val="19"/>
                <w:szCs w:val="19"/>
              </w:rPr>
              <w:t xml:space="preserve">DEEI automatic downshift protocol — explicitly non-discretionary, rule-based guardrail</w:t>
            </w:r>
          </w:p>
          <w:p>
            <w:pPr>
              <w:pStyle w:val="ListParagraph"/>
              <w:numPr>
                <w:ilvl w:val="0"/>
                <w:numId w:val="2"/>
              </w:numPr>
              <w:spacing w:before="30" w:after="30"/>
            </w:pPr>
            <w:r>
              <w:rPr>
                <w:rFonts w:ascii="Arial" w:cs="Arial" w:eastAsia="Arial" w:hAnsi="Arial"/>
                <w:sz w:val="19"/>
                <w:szCs w:val="19"/>
              </w:rPr>
              <w:t xml:space="preserve">Shadow Logistics Reliability Index (SLRI): satellite imaging, maritime behavior, port turnaround, flag registry churn</w:t>
            </w:r>
          </w:p>
          <w:p>
            <w:pPr>
              <w:pStyle w:val="ListParagraph"/>
              <w:numPr>
                <w:ilvl w:val="0"/>
                <w:numId w:val="2"/>
              </w:numPr>
              <w:spacing w:before="30" w:after="30"/>
            </w:pPr>
            <w:r>
              <w:rPr>
                <w:rFonts w:ascii="Arial" w:cs="Arial" w:eastAsia="Arial" w:hAnsi="Arial"/>
                <w:sz w:val="19"/>
                <w:szCs w:val="19"/>
              </w:rPr>
              <w:t xml:space="preserve">90-day operating rhythm with defined cycle structure</w:t>
            </w:r>
          </w:p>
          <w:p>
            <w:pPr>
              <w:pStyle w:val="ListParagraph"/>
              <w:numPr>
                <w:ilvl w:val="0"/>
                <w:numId w:val="2"/>
              </w:numPr>
              <w:spacing w:before="30" w:after="30"/>
            </w:pPr>
            <w:r>
              <w:rPr>
                <w:rFonts w:ascii="Arial" w:cs="Arial" w:eastAsia="Arial" w:hAnsi="Arial"/>
                <w:sz w:val="19"/>
                <w:szCs w:val="19"/>
              </w:rPr>
              <w:t xml:space="preserve">Coalition endurance management including dignity and off-ramps framing</w:t>
            </w:r>
          </w:p>
          <w:p>
            <w:pPr>
              <w:pStyle w:val="ListParagraph"/>
              <w:numPr>
                <w:ilvl w:val="0"/>
                <w:numId w:val="2"/>
              </w:numPr>
              <w:spacing w:before="30" w:after="30"/>
            </w:pPr>
            <w:r>
              <w:rPr>
                <w:rFonts w:ascii="Arial" w:cs="Arial" w:eastAsia="Arial" w:hAnsi="Arial"/>
                <w:sz w:val="19"/>
                <w:szCs w:val="19"/>
              </w:rPr>
              <w:t xml:space="preserve">Failure indicators defined with same precision as success indicators</w:t>
            </w:r>
          </w:p>
          <w:p>
            <w:pPr>
              <w:pStyle w:val="ListParagraph"/>
              <w:numPr>
                <w:ilvl w:val="0"/>
                <w:numId w:val="2"/>
              </w:numPr>
              <w:spacing w:before="30" w:after="30"/>
            </w:pPr>
            <w:r>
              <w:rPr>
                <w:rFonts w:ascii="Arial" w:cs="Arial" w:eastAsia="Arial" w:hAnsi="Arial"/>
                <w:sz w:val="19"/>
                <w:szCs w:val="19"/>
              </w:rPr>
              <w:t xml:space="preserve">Interagency coordination architecture with agency-specific role assignments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ICWG veto authority on DEEI downshift overrides unspecified — 'non-discretionary' requires a named official threshold to be enforceable</w:t>
            </w:r>
          </w:p>
          <w:p>
            <w:pPr>
              <w:pStyle w:val="ListParagraph"/>
              <w:numPr>
                <w:ilvl w:val="0"/>
                <w:numId w:val="2"/>
              </w:numPr>
              <w:spacing w:before="30" w:after="30"/>
            </w:pPr>
            <w:r>
              <w:rPr>
                <w:rFonts w:ascii="Arial" w:cs="Arial" w:eastAsia="Arial" w:hAnsi="Arial"/>
                <w:sz w:val="19"/>
                <w:szCs w:val="19"/>
              </w:rPr>
              <w:t xml:space="preserve">Observability protocol assumes analytic infrastructure not currently integrated across agencies — implementation gap should be acknowledged</w:t>
            </w:r>
          </w:p>
          <w:p>
            <w:pPr>
              <w:pStyle w:val="ListParagraph"/>
              <w:numPr>
                <w:ilvl w:val="0"/>
                <w:numId w:val="2"/>
              </w:numPr>
              <w:spacing w:before="30" w:after="30"/>
            </w:pPr>
            <w:r>
              <w:rPr>
                <w:rFonts w:ascii="Arial" w:cs="Arial" w:eastAsia="Arial" w:hAnsi="Arial"/>
                <w:sz w:val="19"/>
                <w:szCs w:val="19"/>
              </w:rPr>
              <w:t xml:space="preserve">SLRI data sources described but fusion methodology not specified</w:t>
            </w:r>
          </w:p>
          <w:p>
            <w:pPr>
              <w:pStyle w:val="ListParagraph"/>
              <w:numPr>
                <w:ilvl w:val="0"/>
                <w:numId w:val="2"/>
              </w:numPr>
              <w:spacing w:before="30" w:after="30"/>
            </w:pPr>
            <w:r>
              <w:rPr>
                <w:rFonts w:ascii="Arial" w:cs="Arial" w:eastAsia="Arial" w:hAnsi="Arial"/>
                <w:sz w:val="19"/>
                <w:szCs w:val="19"/>
              </w:rPr>
              <w:t xml:space="preserve">No explicit cross-reference to PERSIST's guardrail index despite structural complementarity</w:t>
            </w:r>
          </w:p>
          <w:p>
            <w:pPr>
              <w:pStyle w:val="ListParagraph"/>
              <w:numPr>
                <w:ilvl w:val="0"/>
                <w:numId w:val="2"/>
              </w:numPr>
              <w:spacing w:before="30" w:after="30"/>
            </w:pPr>
            <w:r>
              <w:rPr>
                <w:rFonts w:ascii="Arial" w:cs="Arial" w:eastAsia="Arial" w:hAnsi="Arial"/>
                <w:sz w:val="19"/>
                <w:szCs w:val="19"/>
              </w:rPr>
              <w:t xml:space="preserve">No academic literature engagement on sanctions effectiveness in multipolar environments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doctrinal foundation for MAXPRESS-01. Together they are companion documents: CONTAIN-01 is the architecture, MAXPRESS-01 is the execution guide. The DEEI automatic downshift is structurally complementary to PERSIST's guardrail index and ANCHOR's economic shock guardrails — all three should be cross-referenced explicitly. CONTAIN-01 is the only paper that explicitly addresses failure conditions for the overall series.</w:t>
            </w:r>
          </w:p>
        </w:tc>
      </w:tr>
    </w:tbl>
    <w:p>
      <w:pPr>
        <w:spacing w:before="280" w:after="0"/>
      </w:pPr>
      <w:r>
        <w:t xml:space="preserve"/>
      </w:r>
    </w:p>
    <w:p>
      <w:pPr>
        <w:spacing w:before="0" w:after="80"/>
      </w:pPr>
      <w:r>
        <w:rPr>
          <w:rFonts w:ascii="Arial" w:cs="Arial" w:eastAsia="Arial" w:hAnsi="Arial"/>
          <w:b/>
          <w:bCs/>
          <w:color w:val="1F3864"/>
          <w:sz w:val="24"/>
          <w:szCs w:val="24"/>
        </w:rPr>
        <w:t xml:space="preserve">WP-2026-MAXPRESS-01: Coordinated Maximum Pressure Campaigns — An Illustrated Execution Framework</w:t>
      </w:r>
    </w:p>
    <w:p>
      <w:pPr>
        <w:shd w:fill="D35400" w:val="clear"/>
        <w:spacing w:before="0" w:after="120"/>
      </w:pPr>
      <w:r>
        <w:rPr>
          <w:rFonts w:ascii="Arial" w:cs="Arial" w:eastAsia="Arial" w:hAnsi="Arial"/>
          <w:b/>
          <w:bCs/>
          <w:color w:val="FFFFFF"/>
          <w:sz w:val="18"/>
          <w:szCs w:val="18"/>
        </w:rPr>
        <w:t xml:space="preserve">OPERATIONAL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best-written paper in the series by prose quality. Companion to CONTAIN-01. Translates the strategic architecture into a practitioner-ready execution framework, grounded in 2025-2026 enforcement practice. Addresses five structural gaps from prior maximum pressure campaigns: designation latency, sequential enforcement, episodic secondary sanctions, no observability protocol, and coalition endurance deficit.</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Pre-staging to eliminate designation latency: rolling 90-day readiness packages with threshold-triggered execution</w:t>
            </w:r>
          </w:p>
          <w:p>
            <w:pPr>
              <w:pStyle w:val="ListParagraph"/>
              <w:numPr>
                <w:ilvl w:val="0"/>
                <w:numId w:val="2"/>
              </w:numPr>
              <w:spacing w:before="30" w:after="30"/>
            </w:pPr>
            <w:r>
              <w:rPr>
                <w:rFonts w:ascii="Arial" w:cs="Arial" w:eastAsia="Arial" w:hAnsi="Arial"/>
                <w:sz w:val="19"/>
                <w:szCs w:val="19"/>
              </w:rPr>
              <w:t xml:space="preserve">Calendared secondary sanctions enforcement: quarterly rhythm restoring deterrence credibility</w:t>
            </w:r>
          </w:p>
          <w:p>
            <w:pPr>
              <w:pStyle w:val="ListParagraph"/>
              <w:numPr>
                <w:ilvl w:val="0"/>
                <w:numId w:val="2"/>
              </w:numPr>
              <w:spacing w:before="30" w:after="30"/>
            </w:pPr>
            <w:r>
              <w:rPr>
                <w:rFonts w:ascii="Arial" w:cs="Arial" w:eastAsia="Arial" w:hAnsi="Arial"/>
                <w:sz w:val="19"/>
                <w:szCs w:val="19"/>
              </w:rPr>
              <w:t xml:space="preserve">Simultaneous BIS/OFAC action as default, eliminating 30-90 day adaptation windows</w:t>
            </w:r>
          </w:p>
          <w:p>
            <w:pPr>
              <w:pStyle w:val="ListParagraph"/>
              <w:numPr>
                <w:ilvl w:val="0"/>
                <w:numId w:val="2"/>
              </w:numPr>
              <w:spacing w:before="30" w:after="30"/>
            </w:pPr>
            <w:r>
              <w:rPr>
                <w:rFonts w:ascii="Arial" w:cs="Arial" w:eastAsia="Arial" w:hAnsi="Arial"/>
                <w:sz w:val="19"/>
                <w:szCs w:val="19"/>
              </w:rPr>
              <w:t xml:space="preserve">Lloyd's/P&amp;I Club mechanism for maritime reliability degradation without interdiction</w:t>
            </w:r>
          </w:p>
          <w:p>
            <w:pPr>
              <w:pStyle w:val="ListParagraph"/>
              <w:numPr>
                <w:ilvl w:val="0"/>
                <w:numId w:val="2"/>
              </w:numPr>
              <w:spacing w:before="30" w:after="30"/>
            </w:pPr>
            <w:r>
              <w:rPr>
                <w:rFonts w:ascii="Arial" w:cs="Arial" w:eastAsia="Arial" w:hAnsi="Arial"/>
                <w:sz w:val="19"/>
                <w:szCs w:val="19"/>
              </w:rPr>
              <w:t xml:space="preserve">Escalation guardrail index with publicly available monetary and coalition indicators</w:t>
            </w:r>
          </w:p>
          <w:p>
            <w:pPr>
              <w:pStyle w:val="ListParagraph"/>
              <w:numPr>
                <w:ilvl w:val="0"/>
                <w:numId w:val="2"/>
              </w:numPr>
              <w:spacing w:before="30" w:after="30"/>
            </w:pPr>
            <w:r>
              <w:rPr>
                <w:rFonts w:ascii="Arial" w:cs="Arial" w:eastAsia="Arial" w:hAnsi="Arial"/>
                <w:sz w:val="19"/>
                <w:szCs w:val="19"/>
              </w:rPr>
              <w:t xml:space="preserve">Practitioner checklist: 10 modular highest-impact elements adaptable independently</w:t>
            </w:r>
          </w:p>
          <w:p>
            <w:pPr>
              <w:pStyle w:val="ListParagraph"/>
              <w:numPr>
                <w:ilvl w:val="0"/>
                <w:numId w:val="2"/>
              </w:numPr>
              <w:spacing w:before="30" w:after="30"/>
            </w:pPr>
            <w:r>
              <w:rPr>
                <w:rFonts w:ascii="Arial" w:cs="Arial" w:eastAsia="Arial" w:hAnsi="Arial"/>
                <w:sz w:val="19"/>
                <w:szCs w:val="19"/>
              </w:rPr>
              <w:t xml:space="preserve">Target-specific parameters: Iran/IRGC, Russia/shadow fleet, PRC networks, Cuba/GAESA, Venezuela</w:t>
            </w:r>
          </w:p>
          <w:p>
            <w:pPr>
              <w:pStyle w:val="ListParagraph"/>
              <w:numPr>
                <w:ilvl w:val="0"/>
                <w:numId w:val="2"/>
              </w:numPr>
              <w:spacing w:before="30" w:after="30"/>
            </w:pPr>
            <w:r>
              <w:rPr>
                <w:rFonts w:ascii="Arial" w:cs="Arial" w:eastAsia="Arial" w:hAnsi="Arial"/>
                <w:sz w:val="19"/>
                <w:szCs w:val="19"/>
              </w:rPr>
              <w:t xml:space="preserve">Partner pre-notification protocols: Five Eyes, UK OFSI, EU EEAS, GCC bilateral, Malacca Strait partners</w:t>
            </w:r>
          </w:p>
          <w:p>
            <w:pPr>
              <w:pStyle w:val="ListParagraph"/>
              <w:numPr>
                <w:ilvl w:val="0"/>
                <w:numId w:val="2"/>
              </w:numPr>
              <w:spacing w:before="30" w:after="30"/>
            </w:pPr>
            <w:r>
              <w:rPr>
                <w:rFonts w:ascii="Arial" w:cs="Arial" w:eastAsia="Arial" w:hAnsi="Arial"/>
                <w:sz w:val="19"/>
                <w:szCs w:val="19"/>
              </w:rPr>
              <w:t xml:space="preserve">Off-ramp thresholds with verification requirements for Iran, Russia, and PRC facilitation networks</w:t>
            </w:r>
          </w:p>
          <w:p>
            <w:pPr>
              <w:pStyle w:val="ListParagraph"/>
              <w:numPr>
                <w:ilvl w:val="0"/>
                <w:numId w:val="2"/>
              </w:numPr>
              <w:spacing w:before="30" w:after="30"/>
            </w:pPr>
            <w:r>
              <w:rPr>
                <w:rFonts w:ascii="Arial" w:cs="Arial" w:eastAsia="Arial" w:hAnsi="Arial"/>
                <w:sz w:val="19"/>
                <w:szCs w:val="19"/>
              </w:rPr>
              <w:t xml:space="preserve">Footnoted to specific 2025-2026 enforcement actions and public data sources throughout</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Target-specific parameters sections (Section X) text not fully extracted — verify completeness</w:t>
            </w:r>
          </w:p>
          <w:p>
            <w:pPr>
              <w:pStyle w:val="ListParagraph"/>
              <w:numPr>
                <w:ilvl w:val="0"/>
                <w:numId w:val="2"/>
              </w:numPr>
              <w:spacing w:before="30" w:after="30"/>
            </w:pPr>
            <w:r>
              <w:rPr>
                <w:rFonts w:ascii="Arial" w:cs="Arial" w:eastAsia="Arial" w:hAnsi="Arial"/>
                <w:sz w:val="19"/>
                <w:szCs w:val="19"/>
              </w:rPr>
              <w:t xml:space="preserve">Scope section (Section XI) content not fully extracted — verify populated</w:t>
            </w:r>
          </w:p>
          <w:p>
            <w:pPr>
              <w:pStyle w:val="ListParagraph"/>
              <w:numPr>
                <w:ilvl w:val="0"/>
                <w:numId w:val="2"/>
              </w:numPr>
              <w:spacing w:before="30" w:after="30"/>
            </w:pPr>
            <w:r>
              <w:rPr>
                <w:rFonts w:ascii="Arial" w:cs="Arial" w:eastAsia="Arial" w:hAnsi="Arial"/>
                <w:sz w:val="19"/>
                <w:szCs w:val="19"/>
              </w:rPr>
              <w:t xml:space="preserve">Threshold bands acknowledged as illustrative — classified baseline requirement noted honestly but creates same gap as ANCHOR's placeholder problem</w:t>
            </w:r>
          </w:p>
          <w:p>
            <w:pPr>
              <w:pStyle w:val="ListParagraph"/>
              <w:numPr>
                <w:ilvl w:val="0"/>
                <w:numId w:val="2"/>
              </w:numPr>
              <w:spacing w:before="30" w:after="30"/>
            </w:pPr>
            <w:r>
              <w:rPr>
                <w:rFonts w:ascii="Arial" w:cs="Arial" w:eastAsia="Arial" w:hAnsi="Arial"/>
                <w:sz w:val="19"/>
                <w:szCs w:val="19"/>
              </w:rPr>
              <w:t xml:space="preserve">No academic literature engagement despite being the most practitioner-oriented paper</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Execution layer for CONTAIN-01's architecture. Operationalizes PERSIST's escalation logic at the targeting and sequencing level. The simultaneous BIS/OFAC action default complements SHIELD-01's authority-to-action matrix. Pre-staging mechanism addresses the designation latency gap that SHIELD-01's five-phase sequencing architecture identifies but doesn't solve at the operational level.</w:t>
            </w:r>
          </w:p>
        </w:tc>
      </w:tr>
    </w:tbl>
    <w:p>
      <w:pPr>
        <w:spacing w:before="280" w:after="0"/>
      </w:pPr>
      <w:r>
        <w:t xml:space="preserve"/>
      </w:r>
    </w:p>
    <w:p>
      <w:pPr>
        <w:spacing w:before="0" w:after="80"/>
      </w:pPr>
      <w:r>
        <w:rPr>
          <w:rFonts w:ascii="Arial" w:cs="Arial" w:eastAsia="Arial" w:hAnsi="Arial"/>
          <w:b/>
          <w:bCs/>
          <w:color w:val="1F3864"/>
          <w:sz w:val="24"/>
          <w:szCs w:val="24"/>
        </w:rPr>
        <w:t xml:space="preserve">WP-2026-IRAN-NUCLEAR: Post-Strike Open-Source Nuclear Assessment (Operation Midnight Hammer)</w:t>
      </w:r>
    </w:p>
    <w:p>
      <w:pPr>
        <w:shd w:fill="C0392B" w:val="clear"/>
        <w:spacing w:before="0" w:after="120"/>
      </w:pPr>
      <w:r>
        <w:rPr>
          <w:rFonts w:ascii="Arial" w:cs="Arial" w:eastAsia="Arial" w:hAnsi="Arial"/>
          <w:b/>
          <w:bCs/>
          <w:color w:val="FFFFFF"/>
          <w:sz w:val="18"/>
          <w:szCs w:val="18"/>
        </w:rPr>
        <w:t xml:space="preserve">THREAT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Post-strike (Operation Midnight Hammer, June 2025) open-source assessment of Iran's nuclear status. Most analytically rigorous paper in the series for threat characterization methodology. Five-category analytic labeling applied consistently: OBSERVED / ASSESSMENT / ALTERNATIVE EXPLANATION / KEY UNKNOWN / IMPLICATION.</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Pre-strike baseline: ~408-440 kg U-235 at 60%, 18,000+ centrifuges, DIA &lt;1 week to HEU assessment</w:t>
            </w:r>
          </w:p>
          <w:p>
            <w:pPr>
              <w:pStyle w:val="ListParagraph"/>
              <w:numPr>
                <w:ilvl w:val="0"/>
                <w:numId w:val="2"/>
              </w:numPr>
              <w:spacing w:before="30" w:after="30"/>
            </w:pPr>
            <w:r>
              <w:rPr>
                <w:rFonts w:ascii="Arial" w:cs="Arial" w:eastAsia="Arial" w:hAnsi="Arial"/>
                <w:sz w:val="19"/>
                <w:szCs w:val="19"/>
              </w:rPr>
              <w:t xml:space="preserve">Strike effects: Fordow penetration (12 GBU-57 MOPs), IAEA access loss confirmed June 2025</w:t>
            </w:r>
          </w:p>
          <w:p>
            <w:pPr>
              <w:pStyle w:val="ListParagraph"/>
              <w:numPr>
                <w:ilvl w:val="0"/>
                <w:numId w:val="2"/>
              </w:numPr>
              <w:spacing w:before="30" w:after="30"/>
            </w:pPr>
            <w:r>
              <w:rPr>
                <w:rFonts w:ascii="Arial" w:cs="Arial" w:eastAsia="Arial" w:hAnsi="Arial"/>
                <w:sz w:val="19"/>
                <w:szCs w:val="19"/>
              </w:rPr>
              <w:t xml:space="preserve">Three-model structure for 60% stockpile location (declared sites, Pickaxe Mountain, dispersed undeclared)</w:t>
            </w:r>
          </w:p>
          <w:p>
            <w:pPr>
              <w:pStyle w:val="ListParagraph"/>
              <w:numPr>
                <w:ilvl w:val="0"/>
                <w:numId w:val="2"/>
              </w:numPr>
              <w:spacing w:before="30" w:after="30"/>
            </w:pPr>
            <w:r>
              <w:rPr>
                <w:rFonts w:ascii="Arial" w:cs="Arial" w:eastAsia="Arial" w:hAnsi="Arial"/>
                <w:sz w:val="19"/>
                <w:szCs w:val="19"/>
              </w:rPr>
              <w:t xml:space="preserve">Pickaxe Mountain analysis: ~33.707°N, 51.718°E, assessed 260-330 feet depth, post-strike construction acceleration</w:t>
            </w:r>
          </w:p>
          <w:p>
            <w:pPr>
              <w:pStyle w:val="ListParagraph"/>
              <w:numPr>
                <w:ilvl w:val="0"/>
                <w:numId w:val="2"/>
              </w:numPr>
              <w:spacing w:before="30" w:after="30"/>
            </w:pPr>
            <w:r>
              <w:rPr>
                <w:rFonts w:ascii="Arial" w:cs="Arial" w:eastAsia="Arial" w:hAnsi="Arial"/>
                <w:sz w:val="19"/>
                <w:szCs w:val="19"/>
              </w:rPr>
              <w:t xml:space="preserve">Conditional breakout timeline: 5-10 days worst case (DIA), weeks to months better case</w:t>
            </w:r>
          </w:p>
          <w:p>
            <w:pPr>
              <w:pStyle w:val="ListParagraph"/>
              <w:numPr>
                <w:ilvl w:val="0"/>
                <w:numId w:val="2"/>
              </w:numPr>
              <w:spacing w:before="30" w:after="30"/>
            </w:pPr>
            <w:r>
              <w:rPr>
                <w:rFonts w:ascii="Arial" w:cs="Arial" w:eastAsia="Arial" w:hAnsi="Arial"/>
                <w:sz w:val="19"/>
                <w:szCs w:val="19"/>
              </w:rPr>
              <w:t xml:space="preserve">NCRI allegation (Kavir Plan/Semnan) correctly calibrated to Tier 3 with no independent confirmation</w:t>
            </w:r>
          </w:p>
          <w:p>
            <w:pPr>
              <w:pStyle w:val="ListParagraph"/>
              <w:numPr>
                <w:ilvl w:val="0"/>
                <w:numId w:val="2"/>
              </w:numPr>
              <w:spacing w:before="30" w:after="30"/>
            </w:pPr>
            <w:r>
              <w:rPr>
                <w:rFonts w:ascii="Arial" w:cs="Arial" w:eastAsia="Arial" w:hAnsi="Arial"/>
                <w:sz w:val="19"/>
                <w:szCs w:val="19"/>
              </w:rPr>
              <w:t xml:space="preserve">Biological annex correctly separated: ODNI upgrade of Iran BW intent correctly held below Key Judgment threshold</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Key Judgments section not fully rendered — verify populated</w:t>
            </w:r>
          </w:p>
          <w:p>
            <w:pPr>
              <w:pStyle w:val="ListParagraph"/>
              <w:numPr>
                <w:ilvl w:val="0"/>
                <w:numId w:val="2"/>
              </w:numPr>
              <w:spacing w:before="30" w:after="30"/>
            </w:pPr>
            <w:r>
              <w:rPr>
                <w:rFonts w:ascii="Arial" w:cs="Arial" w:eastAsia="Arial" w:hAnsi="Arial"/>
                <w:sz w:val="19"/>
                <w:szCs w:val="19"/>
              </w:rPr>
              <w:t xml:space="preserve">Breakout timeline table not rendered</w:t>
            </w:r>
          </w:p>
          <w:p>
            <w:pPr>
              <w:pStyle w:val="ListParagraph"/>
              <w:numPr>
                <w:ilvl w:val="0"/>
                <w:numId w:val="2"/>
              </w:numPr>
              <w:spacing w:before="30" w:after="30"/>
            </w:pPr>
            <w:r>
              <w:rPr>
                <w:rFonts w:ascii="Arial" w:cs="Arial" w:eastAsia="Arial" w:hAnsi="Arial"/>
                <w:sz w:val="19"/>
                <w:szCs w:val="19"/>
              </w:rPr>
              <w:t xml:space="preserve">Intelligence gaps section (Section 6) not rendered</w:t>
            </w:r>
          </w:p>
          <w:p>
            <w:pPr>
              <w:pStyle w:val="ListParagraph"/>
              <w:numPr>
                <w:ilvl w:val="0"/>
                <w:numId w:val="2"/>
              </w:numPr>
              <w:spacing w:before="30" w:after="30"/>
            </w:pPr>
            <w:r>
              <w:rPr>
                <w:rFonts w:ascii="Arial" w:cs="Arial" w:eastAsia="Arial" w:hAnsi="Arial"/>
                <w:sz w:val="19"/>
                <w:szCs w:val="19"/>
              </w:rPr>
              <w:t xml:space="preserve">Biological annex could cross-reference BW paper's convergent signal more explicitly</w:t>
            </w:r>
          </w:p>
          <w:p>
            <w:pPr>
              <w:pStyle w:val="ListParagraph"/>
              <w:numPr>
                <w:ilvl w:val="0"/>
                <w:numId w:val="2"/>
              </w:numPr>
              <w:spacing w:before="30" w:after="30"/>
            </w:pPr>
            <w:r>
              <w:rPr>
                <w:rFonts w:ascii="Arial" w:cs="Arial" w:eastAsia="Arial" w:hAnsi="Arial"/>
                <w:sz w:val="19"/>
                <w:szCs w:val="19"/>
              </w:rPr>
              <w:t xml:space="preserve">Section 3.4 (Key Unknown) not fully rendered</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Threat characterization anchor for the series. HORMUZ builds on the operational context established here. BW Assessment is a parallel threat characterization using compatible confidence methodology. CPF-02's Iran nuclear procurement sections should cross-reference this paper's facility characterization work.</w:t>
            </w:r>
          </w:p>
        </w:tc>
      </w:tr>
    </w:tbl>
    <w:p>
      <w:pPr>
        <w:spacing w:before="280" w:after="0"/>
      </w:pPr>
      <w:r>
        <w:t xml:space="preserve"/>
      </w:r>
    </w:p>
    <w:p>
      <w:pPr>
        <w:spacing w:before="0" w:after="80"/>
      </w:pPr>
      <w:r>
        <w:rPr>
          <w:rFonts w:ascii="Arial" w:cs="Arial" w:eastAsia="Arial" w:hAnsi="Arial"/>
          <w:b/>
          <w:bCs/>
          <w:color w:val="1F3864"/>
          <w:sz w:val="24"/>
          <w:szCs w:val="24"/>
        </w:rPr>
        <w:t xml:space="preserve">WP-2026-BW: Biological Weapons Threat Assessment — State Actor Analysis</w:t>
      </w:r>
    </w:p>
    <w:p>
      <w:pPr>
        <w:shd w:fill="C0392B" w:val="clear"/>
        <w:spacing w:before="0" w:after="120"/>
      </w:pPr>
      <w:r>
        <w:rPr>
          <w:rFonts w:ascii="Arial" w:cs="Arial" w:eastAsia="Arial" w:hAnsi="Arial"/>
          <w:b/>
          <w:bCs/>
          <w:color w:val="FFFFFF"/>
          <w:sz w:val="18"/>
          <w:szCs w:val="18"/>
        </w:rPr>
        <w:t xml:space="preserve">THREAT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Unclassified public-source defensive assessment of state BW-related risk for China, Russia, Iran, DPRK. Sections I-XV plus appendices. Two-axis confidence framework (confidence level + evidence type). Explicitly enforces source hierarchy: ODNI ATA, State Dept compliance reports, HHS/ASPR, CDC, UNODA, WHO, UNSCR 1540.</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Four-country BW risk characterization with differentiated confidence levels</w:t>
            </w:r>
          </w:p>
          <w:p>
            <w:pPr>
              <w:pStyle w:val="ListParagraph"/>
              <w:numPr>
                <w:ilvl w:val="0"/>
                <w:numId w:val="2"/>
              </w:numPr>
              <w:spacing w:before="30" w:after="30"/>
            </w:pPr>
            <w:r>
              <w:rPr>
                <w:rFonts w:ascii="Arial" w:cs="Arial" w:eastAsia="Arial" w:hAnsi="Arial"/>
                <w:sz w:val="19"/>
                <w:szCs w:val="19"/>
              </w:rPr>
              <w:t xml:space="preserve">Two-axis confidence framework applied consistently</w:t>
            </w:r>
          </w:p>
          <w:p>
            <w:pPr>
              <w:pStyle w:val="ListParagraph"/>
              <w:numPr>
                <w:ilvl w:val="0"/>
                <w:numId w:val="2"/>
              </w:numPr>
              <w:spacing w:before="30" w:after="30"/>
            </w:pPr>
            <w:r>
              <w:rPr>
                <w:rFonts w:ascii="Arial" w:cs="Arial" w:eastAsia="Arial" w:hAnsi="Arial"/>
                <w:sz w:val="19"/>
                <w:szCs w:val="19"/>
              </w:rPr>
              <w:t xml:space="preserve">Verification gap framed as structural rather than episodic</w:t>
            </w:r>
          </w:p>
          <w:p>
            <w:pPr>
              <w:pStyle w:val="ListParagraph"/>
              <w:numPr>
                <w:ilvl w:val="0"/>
                <w:numId w:val="2"/>
              </w:numPr>
              <w:spacing w:before="30" w:after="30"/>
            </w:pPr>
            <w:r>
              <w:rPr>
                <w:rFonts w:ascii="Arial" w:cs="Arial" w:eastAsia="Arial" w:hAnsi="Arial"/>
                <w:sz w:val="19"/>
                <w:szCs w:val="19"/>
              </w:rPr>
              <w:t xml:space="preserve">Scope discipline: Section 1.4 exclusions clearly defined</w:t>
            </w:r>
          </w:p>
          <w:p>
            <w:pPr>
              <w:pStyle w:val="ListParagraph"/>
              <w:numPr>
                <w:ilvl w:val="0"/>
                <w:numId w:val="2"/>
              </w:numPr>
              <w:spacing w:before="30" w:after="30"/>
            </w:pPr>
            <w:r>
              <w:rPr>
                <w:rFonts w:ascii="Arial" w:cs="Arial" w:eastAsia="Arial" w:hAnsi="Arial"/>
                <w:sz w:val="19"/>
                <w:szCs w:val="19"/>
              </w:rPr>
              <w:t xml:space="preserve">Source hierarchy explicitly enforced throughout</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Appendices (confidence rubric, comparative matrix, legal authorities table, source base) are structural placeholders — must be populated before submission</w:t>
            </w:r>
          </w:p>
          <w:p>
            <w:pPr>
              <w:pStyle w:val="ListParagraph"/>
              <w:numPr>
                <w:ilvl w:val="0"/>
                <w:numId w:val="2"/>
              </w:numPr>
              <w:spacing w:before="30" w:after="30"/>
            </w:pPr>
            <w:r>
              <w:rPr>
                <w:rFonts w:ascii="Arial" w:cs="Arial" w:eastAsia="Arial" w:hAnsi="Arial"/>
                <w:sz w:val="19"/>
                <w:szCs w:val="19"/>
              </w:rPr>
              <w:t xml:space="preserve">Sections II and XIII describe architecture rather than deliver substance</w:t>
            </w:r>
          </w:p>
          <w:p>
            <w:pPr>
              <w:pStyle w:val="ListParagraph"/>
              <w:numPr>
                <w:ilvl w:val="0"/>
                <w:numId w:val="2"/>
              </w:numPr>
              <w:spacing w:before="30" w:after="30"/>
            </w:pPr>
            <w:r>
              <w:rPr>
                <w:rFonts w:ascii="Arial" w:cs="Arial" w:eastAsia="Arial" w:hAnsi="Arial"/>
                <w:sz w:val="19"/>
                <w:szCs w:val="19"/>
              </w:rPr>
              <w:t xml:space="preserve">Redundant methodology hedging in Sections III and XIV</w:t>
            </w:r>
          </w:p>
          <w:p>
            <w:pPr>
              <w:pStyle w:val="ListParagraph"/>
              <w:numPr>
                <w:ilvl w:val="0"/>
                <w:numId w:val="2"/>
              </w:numPr>
              <w:spacing w:before="30" w:after="30"/>
            </w:pPr>
            <w:r>
              <w:rPr>
                <w:rFonts w:ascii="Arial" w:cs="Arial" w:eastAsia="Arial" w:hAnsi="Arial"/>
                <w:sz w:val="19"/>
                <w:szCs w:val="19"/>
              </w:rPr>
              <w:t xml:space="preserve">No cross-reference to Iran Nuclear paper's Biological Annex (ODNI BW intent upgrade)</w:t>
            </w:r>
          </w:p>
          <w:p>
            <w:pPr>
              <w:pStyle w:val="ListParagraph"/>
              <w:numPr>
                <w:ilvl w:val="0"/>
                <w:numId w:val="2"/>
              </w:numPr>
              <w:spacing w:before="30" w:after="30"/>
            </w:pPr>
            <w:r>
              <w:rPr>
                <w:rFonts w:ascii="Arial" w:cs="Arial" w:eastAsia="Arial" w:hAnsi="Arial"/>
                <w:sz w:val="19"/>
                <w:szCs w:val="19"/>
              </w:rPr>
              <w:t xml:space="preserve">No academic literature engagement on bioweapons verification scholarship</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Parallel threat characterization alongside Iran Nuclear. The confidence methodology here is compatible with the Iran Nuclear paper's OBSERVED/ASSESSMENT framework — both should be cited as applying the series' analytic standards. CPF-02's proliferation finance sections should reference BW assessment's facility characterization where relevant.</w:t>
            </w:r>
          </w:p>
        </w:tc>
      </w:tr>
    </w:tbl>
    <w:p>
      <w:pPr>
        <w:spacing w:before="280" w:after="0"/>
      </w:pPr>
      <w:r>
        <w:t xml:space="preserve"/>
      </w:r>
    </w:p>
    <w:p>
      <w:pPr>
        <w:spacing w:before="0" w:after="80"/>
      </w:pPr>
      <w:r>
        <w:rPr>
          <w:rFonts w:ascii="Arial" w:cs="Arial" w:eastAsia="Arial" w:hAnsi="Arial"/>
          <w:b/>
          <w:bCs/>
          <w:color w:val="1F3864"/>
          <w:sz w:val="24"/>
          <w:szCs w:val="24"/>
        </w:rPr>
        <w:t xml:space="preserve">WP-2026-HORMUZ: Strait of Hormuz Regional Posture Assessment</w:t>
      </w:r>
    </w:p>
    <w:p>
      <w:pPr>
        <w:shd w:fill="7F8C8D" w:val="clear"/>
        <w:spacing w:before="0" w:after="120"/>
      </w:pPr>
      <w:r>
        <w:rPr>
          <w:rFonts w:ascii="Arial" w:cs="Arial" w:eastAsia="Arial" w:hAnsi="Arial"/>
          <w:b/>
          <w:bCs/>
          <w:color w:val="FFFFFF"/>
          <w:sz w:val="18"/>
          <w:szCs w:val="18"/>
        </w:rPr>
        <w:t xml:space="preserve">POSTURE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Active crisis context (IRGC declared closure March 2, 2026). Three-posture analysis: Limited crisis-response, Reinforced distributed posture (analytically favored), Escalatory coercive. Contains the paper's most original strategic insight: threat of Kharg Island seizure is more durable leverage than actual seizure.</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Stakes established: ~20M bpd, all Qatari LNG, 5,000+ pre-positioned Iranian naval mines</w:t>
            </w:r>
          </w:p>
          <w:p>
            <w:pPr>
              <w:pStyle w:val="ListParagraph"/>
              <w:numPr>
                <w:ilvl w:val="0"/>
                <w:numId w:val="2"/>
              </w:numPr>
              <w:spacing w:before="30" w:after="30"/>
            </w:pPr>
            <w:r>
              <w:rPr>
                <w:rFonts w:ascii="Arial" w:cs="Arial" w:eastAsia="Arial" w:hAnsi="Arial"/>
                <w:sz w:val="19"/>
                <w:szCs w:val="19"/>
              </w:rPr>
              <w:t xml:space="preserve">Five-component oil-flow resilience architecture (MCM, escort, SPR, insurance backstop, allied diversification)</w:t>
            </w:r>
          </w:p>
          <w:p>
            <w:pPr>
              <w:pStyle w:val="ListParagraph"/>
              <w:numPr>
                <w:ilvl w:val="0"/>
                <w:numId w:val="2"/>
              </w:numPr>
              <w:spacing w:before="30" w:after="30"/>
            </w:pPr>
            <w:r>
              <w:rPr>
                <w:rFonts w:ascii="Arial" w:cs="Arial" w:eastAsia="Arial" w:hAnsi="Arial"/>
                <w:sz w:val="19"/>
                <w:szCs w:val="19"/>
              </w:rPr>
              <w:t xml:space="preserve">Hub architecture: Bahrain (5th Fleet), Qatar/Al Udeid, UAE/Al Dhafra + Fujairah, Kuwait/Camp Arifjan</w:t>
            </w:r>
          </w:p>
          <w:p>
            <w:pPr>
              <w:pStyle w:val="ListParagraph"/>
              <w:numPr>
                <w:ilvl w:val="0"/>
                <w:numId w:val="2"/>
              </w:numPr>
              <w:spacing w:before="30" w:after="30"/>
            </w:pPr>
            <w:r>
              <w:rPr>
                <w:rFonts w:ascii="Arial" w:cs="Arial" w:eastAsia="Arial" w:hAnsi="Arial"/>
                <w:sz w:val="19"/>
                <w:szCs w:val="19"/>
              </w:rPr>
              <w:t xml:space="preserve">Kharg Island seizure analysis: civilian protection obligations under Hague Regulations Arts. 42-56, Geneva Convention IV, occupation obligation escalation</w:t>
            </w:r>
          </w:p>
          <w:p>
            <w:pPr>
              <w:pStyle w:val="ListParagraph"/>
              <w:numPr>
                <w:ilvl w:val="0"/>
                <w:numId w:val="2"/>
              </w:numPr>
              <w:spacing w:before="30" w:after="30"/>
            </w:pPr>
            <w:r>
              <w:rPr>
                <w:rFonts w:ascii="Arial" w:cs="Arial" w:eastAsia="Arial" w:hAnsi="Arial"/>
                <w:sz w:val="19"/>
                <w:szCs w:val="19"/>
              </w:rPr>
              <w:t xml:space="preserve">China exposure analysis: 90%+ Iranian crude, full substitution achievable 6-12 months, economic retaliation more likely than naval intervention</w:t>
            </w:r>
          </w:p>
          <w:p>
            <w:pPr>
              <w:pStyle w:val="ListParagraph"/>
              <w:numPr>
                <w:ilvl w:val="0"/>
                <w:numId w:val="2"/>
              </w:numPr>
              <w:spacing w:before="30" w:after="30"/>
            </w:pPr>
            <w:r>
              <w:rPr>
                <w:rFonts w:ascii="Arial" w:cs="Arial" w:eastAsia="Arial" w:hAnsi="Arial"/>
                <w:sz w:val="19"/>
                <w:szCs w:val="19"/>
              </w:rPr>
              <w:t xml:space="preserve">Legal framework: UNCLOS Art. 38, Hague Convention VIII mine warfare</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Section 7.1 (Iranian military capabilities) not rendered</w:t>
            </w:r>
          </w:p>
          <w:p>
            <w:pPr>
              <w:pStyle w:val="ListParagraph"/>
              <w:numPr>
                <w:ilvl w:val="0"/>
                <w:numId w:val="2"/>
              </w:numPr>
              <w:spacing w:before="30" w:after="30"/>
            </w:pPr>
            <w:r>
              <w:rPr>
                <w:rFonts w:ascii="Arial" w:cs="Arial" w:eastAsia="Arial" w:hAnsi="Arial"/>
                <w:sz w:val="19"/>
                <w:szCs w:val="19"/>
              </w:rPr>
              <w:t xml:space="preserve">Bab el-Mandeb dual-chokepoint linkage one sentence — underdeveloped</w:t>
            </w:r>
          </w:p>
          <w:p>
            <w:pPr>
              <w:pStyle w:val="ListParagraph"/>
              <w:numPr>
                <w:ilvl w:val="0"/>
                <w:numId w:val="2"/>
              </w:numPr>
              <w:spacing w:before="30" w:after="30"/>
            </w:pPr>
            <w:r>
              <w:rPr>
                <w:rFonts w:ascii="Arial" w:cs="Arial" w:eastAsia="Arial" w:hAnsi="Arial"/>
                <w:sz w:val="19"/>
                <w:szCs w:val="19"/>
              </w:rPr>
              <w:t xml:space="preserve">Posture-transition framework table not rendered</w:t>
            </w:r>
          </w:p>
          <w:p>
            <w:pPr>
              <w:pStyle w:val="ListParagraph"/>
              <w:numPr>
                <w:ilvl w:val="0"/>
                <w:numId w:val="2"/>
              </w:numPr>
              <w:spacing w:before="30" w:after="30"/>
            </w:pPr>
            <w:r>
              <w:rPr>
                <w:rFonts w:ascii="Arial" w:cs="Arial" w:eastAsia="Arial" w:hAnsi="Arial"/>
                <w:sz w:val="19"/>
                <w:szCs w:val="19"/>
              </w:rPr>
              <w:t xml:space="preserve">Financial-statecraft integration stated but not shown — should cross-reference SHIELD-01 and PERSIST</w:t>
            </w:r>
          </w:p>
          <w:p>
            <w:pPr>
              <w:pStyle w:val="ListParagraph"/>
              <w:numPr>
                <w:ilvl w:val="0"/>
                <w:numId w:val="2"/>
              </w:numPr>
              <w:spacing w:before="30" w:after="30"/>
            </w:pPr>
            <w:r>
              <w:rPr>
                <w:rFonts w:ascii="Arial" w:cs="Arial" w:eastAsia="Arial" w:hAnsi="Arial"/>
                <w:sz w:val="19"/>
                <w:szCs w:val="19"/>
              </w:rPr>
              <w:t xml:space="preserve">No academic literature engagement on coercive diplomacy or maritime law</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Applies posture analysis to the operational environment that the threat papers (Iran Nuclear, BW) characterize. Financial-statecraft integration should be made explicit by cross-referencing SHIELD-01's enforcement architecture. MAXPRESS-01's Iran/IRGC target track is the financial-pressure complement to HORMUZ's posture options.</w:t>
            </w:r>
          </w:p>
        </w:tc>
      </w:tr>
    </w:tbl>
    <w:p>
      <w:pPr>
        <w:spacing w:before="280" w:after="0"/>
      </w:pPr>
      <w:r>
        <w:t xml:space="preserve"/>
      </w:r>
    </w:p>
    <w:p>
      <w:pPr>
        <w:spacing w:before="0" w:after="80"/>
      </w:pPr>
      <w:r>
        <w:rPr>
          <w:rFonts w:ascii="Arial" w:cs="Arial" w:eastAsia="Arial" w:hAnsi="Arial"/>
          <w:b/>
          <w:bCs/>
          <w:color w:val="1F3864"/>
          <w:sz w:val="24"/>
          <w:szCs w:val="24"/>
        </w:rPr>
        <w:t xml:space="preserve">WP-2026-CTF-01: Maximum Pressure Framework for Terrorist Financing Network Disruption</w:t>
      </w:r>
    </w:p>
    <w:p>
      <w:pPr>
        <w:shd w:fill="7F8C8D" w:val="clear"/>
        <w:spacing w:before="0" w:after="120"/>
      </w:pPr>
      <w:r>
        <w:rPr>
          <w:rFonts w:ascii="Arial" w:cs="Arial" w:eastAsia="Arial" w:hAnsi="Arial"/>
          <w:b/>
          <w:bCs/>
          <w:color w:val="FFFFFF"/>
          <w:sz w:val="18"/>
          <w:szCs w:val="18"/>
        </w:rPr>
        <w:t xml:space="preserve">EARLIER-GENERATION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Counter-terrorist financing framework synchronizing §5318A, E.O. 13224, §5323, and §319(b). Correctly applies Section 311 class designation, asset blocking, whistleblower weaponization, and §981(k) substitution. Includes crypto enforcement (exchange designation, DeFi gateway targeting) and humanitarian safeguards. Earlier-generation paper — predates the methodology and architecture standards developed in ATTRIBUTION-01, CSE-01, PERSIST, and ANCHOR.</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Section 311 class designation for hawala transaction corridors</w:t>
            </w:r>
          </w:p>
          <w:p>
            <w:pPr>
              <w:pStyle w:val="ListParagraph"/>
              <w:numPr>
                <w:ilvl w:val="0"/>
                <w:numId w:val="2"/>
              </w:numPr>
              <w:spacing w:before="30" w:after="30"/>
            </w:pPr>
            <w:r>
              <w:rPr>
                <w:rFonts w:ascii="Arial" w:cs="Arial" w:eastAsia="Arial" w:hAnsi="Arial"/>
                <w:sz w:val="19"/>
                <w:szCs w:val="19"/>
              </w:rPr>
              <w:t xml:space="preserve">§981(k) asset substitution bypassing foreign sovereign and bank secrecy barriers</w:t>
            </w:r>
          </w:p>
          <w:p>
            <w:pPr>
              <w:pStyle w:val="ListParagraph"/>
              <w:numPr>
                <w:ilvl w:val="0"/>
                <w:numId w:val="2"/>
              </w:numPr>
              <w:spacing w:before="30" w:after="30"/>
            </w:pPr>
            <w:r>
              <w:rPr>
                <w:rFonts w:ascii="Arial" w:cs="Arial" w:eastAsia="Arial" w:hAnsi="Arial"/>
                <w:sz w:val="19"/>
                <w:szCs w:val="19"/>
              </w:rPr>
              <w:t xml:space="preserve">§5323 whistleblower program mechanics and marketing strategy</w:t>
            </w:r>
          </w:p>
          <w:p>
            <w:pPr>
              <w:pStyle w:val="ListParagraph"/>
              <w:numPr>
                <w:ilvl w:val="0"/>
                <w:numId w:val="2"/>
              </w:numPr>
              <w:spacing w:before="30" w:after="30"/>
            </w:pPr>
            <w:r>
              <w:rPr>
                <w:rFonts w:ascii="Arial" w:cs="Arial" w:eastAsia="Arial" w:hAnsi="Arial"/>
                <w:sz w:val="19"/>
                <w:szCs w:val="19"/>
              </w:rPr>
              <w:t xml:space="preserve">Crypto enforcement: exchange designation, DeFi gateway targeting, §981(k) to custodied assets</w:t>
            </w:r>
          </w:p>
          <w:p>
            <w:pPr>
              <w:pStyle w:val="ListParagraph"/>
              <w:numPr>
                <w:ilvl w:val="0"/>
                <w:numId w:val="2"/>
              </w:numPr>
              <w:spacing w:before="30" w:after="30"/>
            </w:pPr>
            <w:r>
              <w:rPr>
                <w:rFonts w:ascii="Arial" w:cs="Arial" w:eastAsia="Arial" w:hAnsi="Arial"/>
                <w:sz w:val="19"/>
                <w:szCs w:val="19"/>
              </w:rPr>
              <w:t xml:space="preserve">Humanitarian safeguards: General License enumeration, NGO due diligence, 95% approval rate target</w:t>
            </w:r>
          </w:p>
          <w:p>
            <w:pPr>
              <w:pStyle w:val="ListParagraph"/>
              <w:numPr>
                <w:ilvl w:val="0"/>
                <w:numId w:val="2"/>
              </w:numPr>
              <w:spacing w:before="30" w:after="30"/>
            </w:pPr>
            <w:r>
              <w:rPr>
                <w:rFonts w:ascii="Arial" w:cs="Arial" w:eastAsia="Arial" w:hAnsi="Arial"/>
                <w:sz w:val="19"/>
                <w:szCs w:val="19"/>
              </w:rPr>
              <w:t xml:space="preserve">Anticipated defenses and statutory countermeasures (three defense scenarios)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No tiered standards of proof — 'credible signal' and 'confirmed finding' conflated</w:t>
            </w:r>
          </w:p>
          <w:p>
            <w:pPr>
              <w:pStyle w:val="ListParagraph"/>
              <w:numPr>
                <w:ilvl w:val="0"/>
                <w:numId w:val="2"/>
              </w:numPr>
              <w:spacing w:before="30" w:after="30"/>
            </w:pPr>
            <w:r>
              <w:rPr>
                <w:rFonts w:ascii="Arial" w:cs="Arial" w:eastAsia="Arial" w:hAnsi="Arial"/>
                <w:sz w:val="19"/>
                <w:szCs w:val="19"/>
              </w:rPr>
              <w:t xml:space="preserve">No neutral selection rule or prohibited-factor list</w:t>
            </w:r>
          </w:p>
          <w:p>
            <w:pPr>
              <w:pStyle w:val="ListParagraph"/>
              <w:numPr>
                <w:ilvl w:val="0"/>
                <w:numId w:val="2"/>
              </w:numPr>
              <w:spacing w:before="30" w:after="30"/>
            </w:pPr>
            <w:r>
              <w:rPr>
                <w:rFonts w:ascii="Arial" w:cs="Arial" w:eastAsia="Arial" w:hAnsi="Arial"/>
                <w:sz w:val="19"/>
                <w:szCs w:val="19"/>
              </w:rPr>
              <w:t xml:space="preserve">No guardrail index or pause mechanics</w:t>
            </w:r>
          </w:p>
          <w:p>
            <w:pPr>
              <w:pStyle w:val="ListParagraph"/>
              <w:numPr>
                <w:ilvl w:val="0"/>
                <w:numId w:val="2"/>
              </w:numPr>
              <w:spacing w:before="30" w:after="30"/>
            </w:pPr>
            <w:r>
              <w:rPr>
                <w:rFonts w:ascii="Arial" w:cs="Arial" w:eastAsia="Arial" w:hAnsi="Arial"/>
                <w:sz w:val="19"/>
                <w:szCs w:val="19"/>
              </w:rPr>
              <w:t xml:space="preserve">Outcome claims (50-70% revenue degradation) asserted without evidentiary basis or confidence qualification</w:t>
            </w:r>
          </w:p>
          <w:p>
            <w:pPr>
              <w:pStyle w:val="ListParagraph"/>
              <w:numPr>
                <w:ilvl w:val="0"/>
                <w:numId w:val="2"/>
              </w:numPr>
              <w:spacing w:before="30" w:after="30"/>
            </w:pPr>
            <w:r>
              <w:rPr>
                <w:rFonts w:ascii="Arial" w:cs="Arial" w:eastAsia="Arial" w:hAnsi="Arial"/>
                <w:sz w:val="19"/>
                <w:szCs w:val="19"/>
              </w:rPr>
              <w:t xml:space="preserve">Language register ('devastating,' 'weaponize internal paranoia,' 'Death Penalty,' 'Quadfecta') fails PERSIST's prescriptive substitution guide</w:t>
            </w:r>
          </w:p>
          <w:p>
            <w:pPr>
              <w:pStyle w:val="ListParagraph"/>
              <w:numPr>
                <w:ilvl w:val="0"/>
                <w:numId w:val="2"/>
              </w:numPr>
              <w:spacing w:before="30" w:after="30"/>
            </w:pPr>
            <w:r>
              <w:rPr>
                <w:rFonts w:ascii="Arial" w:cs="Arial" w:eastAsia="Arial" w:hAnsi="Arial"/>
                <w:sz w:val="19"/>
                <w:szCs w:val="19"/>
              </w:rPr>
              <w:t xml:space="preserve">No explicit predicate definitions — ANCHOR's §4 structure would resolve this</w:t>
            </w:r>
          </w:p>
          <w:p>
            <w:pPr>
              <w:pStyle w:val="ListParagraph"/>
              <w:numPr>
                <w:ilvl w:val="0"/>
                <w:numId w:val="2"/>
              </w:numPr>
              <w:spacing w:before="30" w:after="30"/>
            </w:pPr>
            <w:r>
              <w:rPr>
                <w:rFonts w:ascii="Arial" w:cs="Arial" w:eastAsia="Arial" w:hAnsi="Arial"/>
                <w:sz w:val="19"/>
                <w:szCs w:val="19"/>
              </w:rPr>
              <w:t xml:space="preserve">No coalition-risk review requirement</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Demonstrates where the research program started. The statutory mechanics here are sound but the analytic discipline is not yet at the level of the later papers. Should be updated to apply PERSIST's evidence-gating standards and substitution guide before portfolio submission. The crypto enforcement section is more operationally specific than anything in the later papers and should be preserved and cited in PERSIST and ANCHOR.</w:t>
            </w:r>
          </w:p>
        </w:tc>
      </w:tr>
    </w:tbl>
    <w:p>
      <w:pPr>
        <w:spacing w:before="280" w:after="0"/>
      </w:pPr>
      <w:r>
        <w:t xml:space="preserve"/>
      </w:r>
    </w:p>
    <w:p>
      <w:pPr>
        <w:spacing w:before="0" w:after="80"/>
      </w:pPr>
      <w:r>
        <w:rPr>
          <w:rFonts w:ascii="Arial" w:cs="Arial" w:eastAsia="Arial" w:hAnsi="Arial"/>
          <w:b/>
          <w:bCs/>
          <w:color w:val="1F3864"/>
          <w:sz w:val="24"/>
          <w:szCs w:val="24"/>
        </w:rPr>
        <w:t xml:space="preserve">WP-2026-CPF-02: Maximum Pressure Framework for Proliferation Financing Network Disruption</w:t>
      </w:r>
    </w:p>
    <w:p>
      <w:pPr>
        <w:shd w:fill="7F8C8D" w:val="clear"/>
        <w:spacing w:before="0" w:after="120"/>
      </w:pPr>
      <w:r>
        <w:rPr>
          <w:rFonts w:ascii="Arial" w:cs="Arial" w:eastAsia="Arial" w:hAnsi="Arial"/>
          <w:b/>
          <w:bCs/>
          <w:color w:val="FFFFFF"/>
          <w:sz w:val="18"/>
          <w:szCs w:val="18"/>
        </w:rPr>
        <w:t xml:space="preserve">EARLIER-GENERATION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Counter-proliferation finance framework with the most sophisticated secondary sanctions integration of the three earlier-generation papers. CAATSA/CISADA/NKSPEA authorities mapped by target, triggering condition, and evasion vector. Maritime de-flagging sanctions and cryptocurrency enforcement sections contain original operational analysis.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CAATSA §231/232 for Russian defense sector and Russia-Iran technology transfer</w:t>
            </w:r>
          </w:p>
          <w:p>
            <w:pPr>
              <w:pStyle w:val="ListParagraph"/>
              <w:numPr>
                <w:ilvl w:val="0"/>
                <w:numId w:val="2"/>
              </w:numPr>
              <w:spacing w:before="30" w:after="30"/>
            </w:pPr>
            <w:r>
              <w:rPr>
                <w:rFonts w:ascii="Arial" w:cs="Arial" w:eastAsia="Arial" w:hAnsi="Arial"/>
                <w:sz w:val="19"/>
                <w:szCs w:val="19"/>
              </w:rPr>
              <w:t xml:space="preserve">CISADA for Iranian petroleum/financial messaging (PRC banks, UAE exchange houses, Turkish gold-for-oil)</w:t>
            </w:r>
          </w:p>
          <w:p>
            <w:pPr>
              <w:pStyle w:val="ListParagraph"/>
              <w:numPr>
                <w:ilvl w:val="0"/>
                <w:numId w:val="2"/>
              </w:numPr>
              <w:spacing w:before="30" w:after="30"/>
            </w:pPr>
            <w:r>
              <w:rPr>
                <w:rFonts w:ascii="Arial" w:cs="Arial" w:eastAsia="Arial" w:hAnsi="Arial"/>
                <w:sz w:val="19"/>
                <w:szCs w:val="19"/>
              </w:rPr>
              <w:t xml:space="preserve">NKSPEA for DPRK dual-use trade (semiconductor fabrication, precision machine tools, specialized alloys)</w:t>
            </w:r>
          </w:p>
          <w:p>
            <w:pPr>
              <w:pStyle w:val="ListParagraph"/>
              <w:numPr>
                <w:ilvl w:val="0"/>
                <w:numId w:val="2"/>
              </w:numPr>
              <w:spacing w:before="30" w:after="30"/>
            </w:pPr>
            <w:r>
              <w:rPr>
                <w:rFonts w:ascii="Arial" w:cs="Arial" w:eastAsia="Arial" w:hAnsi="Arial"/>
                <w:sz w:val="19"/>
                <w:szCs w:val="19"/>
              </w:rPr>
              <w:t xml:space="preserve">180-day warning letter protocol with compliance window</w:t>
            </w:r>
          </w:p>
          <w:p>
            <w:pPr>
              <w:pStyle w:val="ListParagraph"/>
              <w:numPr>
                <w:ilvl w:val="0"/>
                <w:numId w:val="2"/>
              </w:numPr>
              <w:spacing w:before="30" w:after="30"/>
            </w:pPr>
            <w:r>
              <w:rPr>
                <w:rFonts w:ascii="Arial" w:cs="Arial" w:eastAsia="Arial" w:hAnsi="Arial"/>
                <w:sz w:val="19"/>
                <w:szCs w:val="19"/>
              </w:rPr>
              <w:t xml:space="preserve">Maritime de-flagging: targeting flag registries rather than individual vessels</w:t>
            </w:r>
          </w:p>
          <w:p>
            <w:pPr>
              <w:pStyle w:val="ListParagraph"/>
              <w:numPr>
                <w:ilvl w:val="0"/>
                <w:numId w:val="2"/>
              </w:numPr>
              <w:spacing w:before="30" w:after="30"/>
            </w:pPr>
            <w:r>
              <w:rPr>
                <w:rFonts w:ascii="Arial" w:cs="Arial" w:eastAsia="Arial" w:hAnsi="Arial"/>
                <w:sz w:val="19"/>
                <w:szCs w:val="19"/>
              </w:rPr>
              <w:t xml:space="preserve">§981(k) mechanism explained correctly with binary-choice framing for foreign banks</w:t>
            </w:r>
          </w:p>
          <w:p>
            <w:pPr>
              <w:pStyle w:val="ListParagraph"/>
              <w:numPr>
                <w:ilvl w:val="0"/>
                <w:numId w:val="2"/>
              </w:numPr>
              <w:spacing w:before="30" w:after="30"/>
            </w:pPr>
            <w:r>
              <w:rPr>
                <w:rFonts w:ascii="Arial" w:cs="Arial" w:eastAsia="Arial" w:hAnsi="Arial"/>
                <w:sz w:val="19"/>
                <w:szCs w:val="19"/>
              </w:rPr>
              <w:t xml:space="preserve">Crypto: DPRK Lazarus Group mining, Iranian oil in crypto, DeFi yield on sanctioned funds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Weakest humanitarian safeguards section of the three earlier-generation papers</w:t>
            </w:r>
          </w:p>
          <w:p>
            <w:pPr>
              <w:pStyle w:val="ListParagraph"/>
              <w:numPr>
                <w:ilvl w:val="0"/>
                <w:numId w:val="2"/>
              </w:numPr>
              <w:spacing w:before="30" w:after="30"/>
            </w:pPr>
            <w:r>
              <w:rPr>
                <w:rFonts w:ascii="Arial" w:cs="Arial" w:eastAsia="Arial" w:hAnsi="Arial"/>
                <w:sz w:val="19"/>
                <w:szCs w:val="19"/>
              </w:rPr>
              <w:t xml:space="preserve">Same structural gaps as CTF-01: no evidence-gating, no predicate definitions, no guardrail mechanics</w:t>
            </w:r>
          </w:p>
          <w:p>
            <w:pPr>
              <w:pStyle w:val="ListParagraph"/>
              <w:numPr>
                <w:ilvl w:val="0"/>
                <w:numId w:val="2"/>
              </w:numPr>
              <w:spacing w:before="30" w:after="30"/>
            </w:pPr>
            <w:r>
              <w:rPr>
                <w:rFonts w:ascii="Arial" w:cs="Arial" w:eastAsia="Arial" w:hAnsi="Arial"/>
                <w:sz w:val="19"/>
                <w:szCs w:val="19"/>
              </w:rPr>
              <w:t xml:space="preserve">Outcome claims ('most comprehensive counter-proliferation finance architecture developed to date') unsupported</w:t>
            </w:r>
          </w:p>
          <w:p>
            <w:pPr>
              <w:pStyle w:val="ListParagraph"/>
              <w:numPr>
                <w:ilvl w:val="0"/>
                <w:numId w:val="2"/>
              </w:numPr>
              <w:spacing w:before="30" w:after="30"/>
            </w:pPr>
            <w:r>
              <w:rPr>
                <w:rFonts w:ascii="Arial" w:cs="Arial" w:eastAsia="Arial" w:hAnsi="Arial"/>
                <w:sz w:val="19"/>
                <w:szCs w:val="19"/>
              </w:rPr>
              <w:t xml:space="preserve">'Devastating,' 'weaponize,' 'Quadfecta' language fails PERSIST substitution guide</w:t>
            </w:r>
          </w:p>
          <w:p>
            <w:pPr>
              <w:pStyle w:val="ListParagraph"/>
              <w:numPr>
                <w:ilvl w:val="0"/>
                <w:numId w:val="2"/>
              </w:numPr>
              <w:spacing w:before="30" w:after="30"/>
            </w:pPr>
            <w:r>
              <w:rPr>
                <w:rFonts w:ascii="Arial" w:cs="Arial" w:eastAsia="Arial" w:hAnsi="Arial"/>
                <w:sz w:val="19"/>
                <w:szCs w:val="19"/>
              </w:rPr>
              <w:t xml:space="preserve">No academic literature engagement — Zarate's Treasury's War is directly relevant</w:t>
            </w:r>
          </w:p>
          <w:p>
            <w:pPr>
              <w:pStyle w:val="ListParagraph"/>
              <w:numPr>
                <w:ilvl w:val="0"/>
                <w:numId w:val="2"/>
              </w:numPr>
              <w:spacing w:before="30" w:after="30"/>
            </w:pPr>
            <w:r>
              <w:rPr>
                <w:rFonts w:ascii="Arial" w:cs="Arial" w:eastAsia="Arial" w:hAnsi="Arial"/>
                <w:sz w:val="19"/>
                <w:szCs w:val="19"/>
              </w:rPr>
              <w:t xml:space="preserve">No coalition-risk review requirement despite CAATSA/CISADA actions affecting allied partners</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Same development arc as CTF-01. CAATSA/CISADA/NKSPEA secondary sanctions mapping here complements SHIELD-01's enforcement architecture and should be cross-referenced. The maritime de-flagging mechanism complements MAXPRESS-01's reliability degradation targeting. Both should be updated to apply PERSIST's evidence-gating standards before submission.</w:t>
            </w:r>
          </w:p>
        </w:tc>
      </w:tr>
    </w:tbl>
    <w:p>
      <w:pPr>
        <w:spacing w:before="280" w:after="0"/>
      </w:pPr>
      <w:r>
        <w:t xml:space="preserve"/>
      </w:r>
    </w:p>
    <w:p>
      <w:pPr>
        <w:spacing w:before="0" w:after="80"/>
      </w:pPr>
      <w:r>
        <w:rPr>
          <w:rFonts w:ascii="Arial" w:cs="Arial" w:eastAsia="Arial" w:hAnsi="Arial"/>
          <w:b/>
          <w:bCs/>
          <w:color w:val="1F3864"/>
          <w:sz w:val="24"/>
          <w:szCs w:val="24"/>
        </w:rPr>
        <w:t xml:space="preserve">WP-2026-ARCH-03: Enforcement Framework for Disrupting Transnational Fentanyl Supply Chains</w:t>
      </w:r>
    </w:p>
    <w:p>
      <w:pPr>
        <w:shd w:fill="7F8C8D" w:val="clear"/>
        <w:spacing w:before="0" w:after="120"/>
      </w:pPr>
      <w:r>
        <w:rPr>
          <w:rFonts w:ascii="Arial" w:cs="Arial" w:eastAsia="Arial" w:hAnsi="Arial"/>
          <w:b/>
          <w:bCs/>
          <w:color w:val="FFFFFF"/>
          <w:sz w:val="18"/>
          <w:szCs w:val="18"/>
        </w:rPr>
        <w:t xml:space="preserve">EARLIER-GENERATION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Counter-narcotics enforcement framework applying FEND Off Fentanyl Act, §5318A, and §5323 to PRC precursor-to-Mexican cartel supply chains. The February 2025 FTO designation of Sinaloa and CJNG as the hook for §2339B material support exposure is the paper's most important analytical insight. Enhanced notice procedure to eliminate good-faith defenses is the right operational mechanism.</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WHAT IT DOES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FEND Off Fentanyl Act integration with Section 311 PMLC designation</w:t>
            </w:r>
          </w:p>
          <w:p>
            <w:pPr>
              <w:pStyle w:val="ListParagraph"/>
              <w:numPr>
                <w:ilvl w:val="0"/>
                <w:numId w:val="2"/>
              </w:numPr>
              <w:spacing w:before="30" w:after="30"/>
            </w:pPr>
            <w:r>
              <w:rPr>
                <w:rFonts w:ascii="Arial" w:cs="Arial" w:eastAsia="Arial" w:hAnsi="Arial"/>
                <w:sz w:val="19"/>
                <w:szCs w:val="19"/>
              </w:rPr>
              <w:t xml:space="preserve">Enhanced Notice of End-User Status procedure: eliminates §2339B knowledge-based defense for PRC suppliers after delivery</w:t>
            </w:r>
          </w:p>
          <w:p>
            <w:pPr>
              <w:pStyle w:val="ListParagraph"/>
              <w:numPr>
                <w:ilvl w:val="0"/>
                <w:numId w:val="2"/>
              </w:numPr>
              <w:spacing w:before="30" w:after="30"/>
            </w:pPr>
            <w:r>
              <w:rPr>
                <w:rFonts w:ascii="Arial" w:cs="Arial" w:eastAsia="Arial" w:hAnsi="Arial"/>
                <w:sz w:val="19"/>
                <w:szCs w:val="19"/>
              </w:rPr>
              <w:t xml:space="preserve">FTO designation hook: precursor suppliers now face Material Support prosecution (20-year max) not just export control violations</w:t>
            </w:r>
          </w:p>
          <w:p>
            <w:pPr>
              <w:pStyle w:val="ListParagraph"/>
              <w:numPr>
                <w:ilvl w:val="0"/>
                <w:numId w:val="2"/>
              </w:numPr>
              <w:spacing w:before="30" w:after="30"/>
            </w:pPr>
            <w:r>
              <w:rPr>
                <w:rFonts w:ascii="Arial" w:cs="Arial" w:eastAsia="Arial" w:hAnsi="Arial"/>
                <w:sz w:val="19"/>
                <w:szCs w:val="19"/>
              </w:rPr>
              <w:t xml:space="preserve">Al Kassar precedent (660 F.3d 108) correctly applied for extraterritorial jurisdiction</w:t>
            </w:r>
          </w:p>
          <w:p>
            <w:pPr>
              <w:pStyle w:val="ListParagraph"/>
              <w:numPr>
                <w:ilvl w:val="0"/>
                <w:numId w:val="2"/>
              </w:numPr>
              <w:spacing w:before="30" w:after="30"/>
            </w:pPr>
            <w:r>
              <w:rPr>
                <w:rFonts w:ascii="Arial" w:cs="Arial" w:eastAsia="Arial" w:hAnsi="Arial"/>
                <w:sz w:val="19"/>
                <w:szCs w:val="19"/>
              </w:rPr>
              <w:t xml:space="preserve">Economic impact appendix: phased disruption modeling, personnel requirements, technology costs, forfeiture projections by year</w:t>
            </w:r>
          </w:p>
          <w:p>
            <w:pPr>
              <w:pStyle w:val="ListParagraph"/>
              <w:numPr>
                <w:ilvl w:val="0"/>
                <w:numId w:val="2"/>
              </w:numPr>
              <w:spacing w:before="30" w:after="30"/>
            </w:pPr>
            <w:r>
              <w:rPr>
                <w:rFonts w:ascii="Arial" w:cs="Arial" w:eastAsia="Arial" w:hAnsi="Arial"/>
                <w:sz w:val="19"/>
                <w:szCs w:val="19"/>
              </w:rPr>
              <w:t xml:space="preserve">Maritime enforcement coordination and Real Estate Reporting Rule implementation</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GAPS TO ADDRESS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spacing w:before="30" w:after="30"/>
            </w:pPr>
            <w:r>
              <w:rPr>
                <w:rFonts w:ascii="Arial" w:cs="Arial" w:eastAsia="Arial" w:hAnsi="Arial"/>
                <w:sz w:val="19"/>
                <w:szCs w:val="19"/>
              </w:rPr>
              <w:t xml:space="preserve">Most detailed quantitative appendix in the series but precision is false precision — methodology not documented</w:t>
            </w:r>
          </w:p>
          <w:p>
            <w:pPr>
              <w:pStyle w:val="ListParagraph"/>
              <w:numPr>
                <w:ilvl w:val="0"/>
                <w:numId w:val="2"/>
              </w:numPr>
              <w:spacing w:before="30" w:after="30"/>
            </w:pPr>
            <w:r>
              <w:rPr>
                <w:rFonts w:ascii="Arial" w:cs="Arial" w:eastAsia="Arial" w:hAnsi="Arial"/>
                <w:sz w:val="19"/>
                <w:szCs w:val="19"/>
              </w:rPr>
              <w:t xml:space="preserve">Forfeiture projections ($4.3-6.7B, 36 months) presented without underlying model</w:t>
            </w:r>
          </w:p>
          <w:p>
            <w:pPr>
              <w:pStyle w:val="ListParagraph"/>
              <w:numPr>
                <w:ilvl w:val="0"/>
                <w:numId w:val="2"/>
              </w:numPr>
              <w:spacing w:before="30" w:after="30"/>
            </w:pPr>
            <w:r>
              <w:rPr>
                <w:rFonts w:ascii="Arial" w:cs="Arial" w:eastAsia="Arial" w:hAnsi="Arial"/>
                <w:sz w:val="19"/>
                <w:szCs w:val="19"/>
              </w:rPr>
              <w:t xml:space="preserve">Same structural gaps as CTF-01 and CPF-02: no evidence-gating, no predicate definitions</w:t>
            </w:r>
          </w:p>
          <w:p>
            <w:pPr>
              <w:pStyle w:val="ListParagraph"/>
              <w:numPr>
                <w:ilvl w:val="0"/>
                <w:numId w:val="2"/>
              </w:numPr>
              <w:spacing w:before="30" w:after="30"/>
            </w:pPr>
            <w:r>
              <w:rPr>
                <w:rFonts w:ascii="Arial" w:cs="Arial" w:eastAsia="Arial" w:hAnsi="Arial"/>
                <w:sz w:val="19"/>
                <w:szCs w:val="19"/>
              </w:rPr>
              <w:t xml:space="preserve">Should cross-reference CSE-01's commercial state-nexus methodology for PRC supplier attribution</w:t>
            </w:r>
          </w:p>
          <w:p>
            <w:pPr>
              <w:pStyle w:val="ListParagraph"/>
              <w:numPr>
                <w:ilvl w:val="0"/>
                <w:numId w:val="2"/>
              </w:numPr>
              <w:spacing w:before="30" w:after="30"/>
            </w:pPr>
            <w:r>
              <w:rPr>
                <w:rFonts w:ascii="Arial" w:cs="Arial" w:eastAsia="Arial" w:hAnsi="Arial"/>
                <w:sz w:val="19"/>
                <w:szCs w:val="19"/>
              </w:rPr>
              <w:t xml:space="preserve">§2339B material support analysis should integrate ATTRIBUTION-01's confirmed attribution standard before prosecution recommendation</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HOW IT FITS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pPr>
            <w:r>
              <w:rPr>
                <w:rFonts w:ascii="Arial" w:cs="Arial" w:eastAsia="Arial" w:hAnsi="Arial"/>
                <w:sz w:val="19"/>
                <w:szCs w:val="19"/>
              </w:rPr>
              <w:t xml:space="preserve">The FTO designation / §2339B analytical insight here is the most practically significant contribution in the three earlier-generation papers and should be cross-referenced in PERSIST and SHIELD-01. The enhanced notice procedure mechanism complements MAXPRESS-01's pre-staging and notice letter saturation approaches.</w:t>
            </w:r>
          </w:p>
        </w:tc>
      </w:tr>
    </w:tbl>
    <w:p>
      <w:pPr>
        <w:spacing w:before="280" w:after="0"/>
      </w:pPr>
      <w:r>
        <w:t xml:space="preserve"/>
      </w:r>
    </w:p>
    <w:p>
      <w:pPr>
        <w:pStyle w:val="Heading1"/>
        <w:spacing w:before="360" w:after="160"/>
      </w:pPr>
      <w:r>
        <w:rPr>
          <w:rFonts w:ascii="Arial" w:cs="Arial" w:eastAsia="Arial" w:hAnsi="Arial"/>
          <w:b/>
          <w:bCs/>
          <w:color w:val="1F3864"/>
          <w:sz w:val="28"/>
          <w:szCs w:val="28"/>
        </w:rPr>
        <w:t xml:space="preserve">III. Cross-Cutting Gaps — Applies to the Entire Series</w:t>
      </w:r>
    </w:p>
    <w:p>
      <w:pPr>
        <w:spacing w:before="60" w:after="60"/>
      </w:pPr>
      <w:r>
        <w:rPr>
          <w:rFonts w:ascii="Arial" w:cs="Arial" w:eastAsia="Arial" w:hAnsi="Arial"/>
          <w:color w:val="444444"/>
          <w:sz w:val="20"/>
          <w:szCs w:val="20"/>
        </w:rPr>
        <w:t xml:space="preserve">These gaps appear in multiple papers and require series-level rather than paper-level fixes.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Gap</w:t>
            </w:r>
          </w:p>
        </w:tc>
        <w:tc>
          <w:tcPr>
            <w:tcW w:type="dxa" w:w="6560"/>
            <w:gridSpan w:val="1"/>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18"/>
                <w:szCs w:val="18"/>
              </w:rPr>
              <w:t xml:space="preserve">What to Do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before="0" w:after="0"/>
            </w:pPr>
            <w:r>
              <w:rPr>
                <w:rFonts w:ascii="Arial" w:cs="Arial" w:eastAsia="Arial" w:hAnsi="Arial"/>
                <w:b/>
                <w:bCs/>
                <w:sz w:val="19"/>
                <w:szCs w:val="19"/>
              </w:rPr>
              <w:t xml:space="preserve">Academic literature absent in all papers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before="0" w:after="0"/>
            </w:pPr>
            <w:r>
              <w:rPr>
                <w:rFonts w:ascii="Arial" w:cs="Arial" w:eastAsia="Arial" w:hAnsi="Arial"/>
                <w:sz w:val="19"/>
                <w:szCs w:val="19"/>
              </w:rPr>
              <w:t xml:space="preserve">The statement of purpose must place the series in existing scholarly debates. Key citations: Drezner (Who Rules? / The Sanctions Paradox), Farrell &amp; Newman (weaponized interdependence), Zarate (Treasury's War), Pape (Why Economic Sanctions Don't Work), Rid &amp; Buchanan (attributing cyber attacks), Lindsay (Cyber Conflict and Coercion). At minimum one paper should add a literature positioning note.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sz w:val="19"/>
                <w:szCs w:val="19"/>
              </w:rPr>
              <w:t xml:space="preserve">Unreduced tables in multiple papers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sz w:val="19"/>
                <w:szCs w:val="19"/>
              </w:rPr>
              <w:t xml:space="preserve">ATTRIBUTION-01 (framework table, domain summary table), SHIELD-01 (authority-to-action matrix, sequencing summary), BW Assessment (all appendices), HORMUZ (posture-transition table, Section 7.1) — verify all are populated in final versions. Referenced tables that don't exist are the most visible indicator that a document is not submission-ready.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before="0" w:after="0"/>
            </w:pPr>
            <w:r>
              <w:rPr>
                <w:rFonts w:ascii="Arial" w:cs="Arial" w:eastAsia="Arial" w:hAnsi="Arial"/>
                <w:b/>
                <w:bCs/>
                <w:sz w:val="19"/>
                <w:szCs w:val="19"/>
              </w:rPr>
              <w:t xml:space="preserve">Threshold placeholders throughout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before="0" w:after="0"/>
            </w:pPr>
            <w:r>
              <w:rPr>
                <w:rFonts w:ascii="Arial" w:cs="Arial" w:eastAsia="Arial" w:hAnsi="Arial"/>
                <w:sz w:val="19"/>
                <w:szCs w:val="19"/>
              </w:rPr>
              <w:t xml:space="preserve">ANCHOR's [X],[Y],[Z] guardrail thresholds and MAXPRESS-01's illustrative bands are procedurally correct — thresholds need classified baselines. The portfolio should acknowledge this explicitly and consistently rather than leaving blank brackets.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sz w:val="19"/>
                <w:szCs w:val="19"/>
              </w:rPr>
              <w:t xml:space="preserve">Earlier-gen language register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sz w:val="19"/>
                <w:szCs w:val="19"/>
              </w:rPr>
              <w:t xml:space="preserve">Run PERSIST's prescriptive substitution guide against CTF-01, CPF-02, and ARCH-03. Replace: 'devastating,' 'weaponize internal paranoia,' 'Death Penalty,' 'Quadfecta.' The underlying mechanisms are sound. The framing fails PERSIST's own durability standard.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before="0" w:after="0"/>
            </w:pPr>
            <w:r>
              <w:rPr>
                <w:rFonts w:ascii="Arial" w:cs="Arial" w:eastAsia="Arial" w:hAnsi="Arial"/>
                <w:b/>
                <w:bCs/>
                <w:sz w:val="19"/>
                <w:szCs w:val="19"/>
              </w:rPr>
              <w:t xml:space="preserve">Netherlands/Japan/South Korea contradiction unresolved</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pPr>
              <w:spacing w:before="0" w:after="0"/>
            </w:pPr>
            <w:r>
              <w:rPr>
                <w:rFonts w:ascii="Arial" w:cs="Arial" w:eastAsia="Arial" w:hAnsi="Arial"/>
                <w:sz w:val="19"/>
                <w:szCs w:val="19"/>
              </w:rPr>
              <w:t xml:space="preserve">PERSIST, ANCHOR, and SHIELD-01 all name the live contradiction between technology-denial coordination and simultaneous trade friction with the same allies. None resolves it. The Georgetown statement of purpose or a dedicated research note should frame this as an open research question rather than an acknowledged gap without a proposed approach.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sz w:val="19"/>
                <w:szCs w:val="19"/>
              </w:rPr>
              <w:t xml:space="preserve">Series integration not always explicit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sz w:val="19"/>
                <w:szCs w:val="19"/>
              </w:rPr>
              <w:t xml:space="preserve">Papers reference each other by name but rarely specify which section or mechanism. Add section-level cross-references (e.g., 'See PERSIST Section 2.1 ECRA rail' rather than 'see PERSIST') to allow standalone use of individual papers.</w:t>
            </w:r>
          </w:p>
        </w:tc>
      </w:tr>
    </w:tbl>
    <w:p>
      <w:pPr>
        <w:spacing w:before="280" w:after="0"/>
      </w:pPr>
      <w:r>
        <w:t xml:space="preserve"/>
      </w:r>
    </w:p>
    <w:p>
      <w:pPr>
        <w:pBdr>
          <w:bottom w:val="single" w:color="2E5F9A" w:sz="6" w:space="1"/>
        </w:pBdr>
        <w:spacing w:before="120" w:after="120"/>
      </w:pPr>
    </w:p>
    <w:p>
      <w:pPr>
        <w:spacing w:before="120" w:after="40"/>
        <w:jc w:val="center"/>
      </w:pPr>
      <w:r>
        <w:rPr>
          <w:rFonts w:ascii="Arial" w:cs="Arial" w:eastAsia="Arial" w:hAnsi="Arial"/>
          <w:caps/>
          <w:color w:val="888888"/>
          <w:sz w:val="16"/>
          <w:szCs w:val="16"/>
        </w:rPr>
        <w:t xml:space="preserve">UNCLASSIFIED // OPEN SOURCE // INDEPENDENT POLICY RESEARCH</w:t>
      </w:r>
    </w:p>
    <w:p>
      <w:pPr>
        <w:spacing w:before="0" w:after="0"/>
        <w:jc w:val="center"/>
      </w:pPr>
      <w:r>
        <w:rPr>
          <w:rFonts w:ascii="Arial" w:cs="Arial" w:eastAsia="Arial" w:hAnsi="Arial"/>
          <w:color w:val="888888"/>
          <w:sz w:val="16"/>
          <w:szCs w:val="16"/>
        </w:rPr>
        <w:t xml:space="preserve">Center for Competitive Statecraft and Strategic Policy  |  WP-2026 Authority Index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2026-03-11T10:49:03.704Z</dcterms:created>
  <dcterms:modified xsi:type="dcterms:W3CDTF">2026-03-11T10:49:03.705Z</dcterms:modified>
</cp:coreProperties>
</file>

<file path=docProps/custom.xml><?xml version="1.0" encoding="utf-8"?>
<Properties xmlns="http://schemas.openxmlformats.org/officeDocument/2006/custom-properties" xmlns:vt="http://schemas.openxmlformats.org/officeDocument/2006/docPropsVTypes"/>
</file>