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val="false"/>
          <w:bCs w:val="false"/>
          <w:color w:val="888888"/>
          <w:sz w:val="20"/>
          <w:szCs w:val="20"/>
        </w:rPr>
        <w:t xml:space="preserve">WP-2026-CSE-01</w:t>
      </w:r>
    </w:p>
    <w:p>
      <w:pPr>
        <w:spacing w:after="40" w:before="0"/>
      </w:pPr>
      <w:r>
        <w:rPr>
          <w:rFonts w:ascii="Arial" w:cs="Arial" w:eastAsia="Arial" w:hAnsi="Arial"/>
          <w:color w:val="888888"/>
          <w:sz w:val="20"/>
          <w:szCs w:val="20"/>
        </w:rPr>
        <w:t xml:space="preserve">Independent Policy Research</w:t>
      </w:r>
    </w:p>
    <w:p>
      <w:pPr>
        <w:spacing w:after="200" w:before="0"/>
      </w:pPr>
    </w:p>
    <w:p>
      <w:pPr>
        <w:spacing w:after="80" w:before="0"/>
      </w:pPr>
      <w:r>
        <w:rPr>
          <w:rFonts w:ascii="Arial" w:cs="Arial" w:eastAsia="Arial" w:hAnsi="Arial"/>
          <w:b/>
          <w:bCs/>
          <w:color w:val="1F3864"/>
          <w:sz w:val="52"/>
          <w:szCs w:val="52"/>
        </w:rPr>
        <w:t xml:space="preserve">CONCEALED STATE ENABLEMENT</w:t>
      </w:r>
    </w:p>
    <w:p>
      <w:pPr>
        <w:pBdr>
          <w:bottom w:val="single" w:color="2F5496" w:sz="16" w:space="1"/>
        </w:pBdr>
        <w:spacing w:after="80" w:before="0"/>
      </w:pPr>
    </w:p>
    <w:p>
      <w:pPr>
        <w:spacing w:after="80" w:before="0"/>
      </w:pPr>
    </w:p>
    <w:p>
      <w:pPr>
        <w:spacing w:after="120" w:before="0"/>
      </w:pPr>
      <w:r>
        <w:rPr>
          <w:rFonts w:ascii="Georgia" w:cs="Georgia" w:eastAsia="Georgia" w:hAnsi="Georgia"/>
          <w:color w:val="444444"/>
          <w:sz w:val="28"/>
          <w:szCs w:val="28"/>
        </w:rPr>
        <w:t xml:space="preserve">A Methodology for Assessing PRC Beneficial Ownership,
Proxy Structures, and Commercial State Nexus</w:t>
      </w:r>
    </w:p>
    <w:p>
      <w:pPr>
        <w:spacing w:after="280" w:before="0"/>
      </w:pPr>
    </w:p>
    <w:p>
      <w:pPr>
        <w:spacing w:after="40" w:before="0"/>
      </w:pPr>
      <w:r>
        <w:rPr>
          <w:rFonts w:ascii="Arial" w:cs="Arial" w:eastAsia="Arial" w:hAnsi="Arial"/>
          <w:color w:val="666666"/>
          <w:sz w:val="20"/>
          <w:szCs w:val="20"/>
        </w:rPr>
        <w:t xml:space="preserve">March 2026</w:t>
      </w:r>
    </w:p>
    <w:p>
      <w:pPr>
        <w:spacing w:after="0" w:before="0"/>
      </w:pPr>
      <w:r>
        <w:rPr>
          <w:rFonts w:ascii="Arial" w:cs="Arial" w:eastAsia="Arial" w:hAnsi="Arial"/>
          <w:color w:val="666666"/>
          <w:sz w:val="20"/>
          <w:szCs w:val="20"/>
        </w:rPr>
        <w:t xml:space="preserve">Prepared for graduate policy research application portfolio</w:t>
      </w:r>
    </w:p>
    <w:p>
      <w:r>
        <w:br w:type="page"/>
      </w:r>
    </w:p>
    <w:p>
      <w:pPr>
        <w:pStyle w:val="Heading1"/>
        <w:spacing w:after="80" w:before="360"/>
      </w:pPr>
      <w:r>
        <w:rPr>
          <w:rFonts w:ascii="Arial" w:cs="Arial" w:eastAsia="Arial" w:hAnsi="Arial"/>
          <w:b/>
          <w:bCs/>
          <w:color w:val="1F3864"/>
          <w:sz w:val="28"/>
          <w:szCs w:val="28"/>
        </w:rPr>
        <w:t xml:space="preserve">AUTHOR'S NOTE</w:t>
      </w:r>
    </w:p>
    <w:p>
      <w:pPr>
        <w:pBdr>
          <w:bottom w:val="single" w:color="2F5496" w:sz="10" w:space="1"/>
        </w:pBdr>
        <w:spacing w:after="80" w:before="0"/>
      </w:pPr>
    </w:p>
    <w:p>
      <w:pPr>
        <w:spacing w:after="60" w:before="0"/>
      </w:pPr>
    </w:p>
    <w:p>
      <w:pPr>
        <w:spacing w:after="100" w:before="60"/>
        <w:jc w:val="both"/>
      </w:pPr>
      <w:r>
        <w:rPr>
          <w:rFonts w:ascii="Georgia" w:cs="Georgia" w:eastAsia="Georgia" w:hAnsi="Georgia"/>
          <w:b w:val="false"/>
          <w:bCs w:val="false"/>
          <w:sz w:val="22"/>
          <w:szCs w:val="22"/>
        </w:rPr>
        <w:t xml:space="preserve">This paper is an independent academic and policy research exercise produced in connection with graduate school applications to programs in security studies, international policy, and related fields. It does not represent the views or analytic judgments of any government agency, intelligence community element, law enforcement body, or regulatory authority.</w:t>
      </w:r>
    </w:p>
    <w:p>
      <w:pPr>
        <w:spacing w:after="100" w:before="60"/>
        <w:jc w:val="both"/>
      </w:pPr>
      <w:r>
        <w:rPr>
          <w:rFonts w:ascii="Georgia" w:cs="Georgia" w:eastAsia="Georgia" w:hAnsi="Georgia"/>
          <w:b w:val="false"/>
          <w:bCs w:val="false"/>
          <w:sz w:val="22"/>
          <w:szCs w:val="22"/>
        </w:rPr>
        <w:t xml:space="preserve">The paper addresses publicly documented institutional processes, analytical frameworks, and legal standards. It does not rely on, reproduce, or disclose classified, law-enforcement-sensitive, or otherwise restricted information. All source material is drawn from public statutes, regulations, agency guidance documents, judicial records, and published scholarly and policy literature.</w:t>
      </w:r>
    </w:p>
    <w:p>
      <w:pPr>
        <w:spacing w:after="100" w:before="60"/>
        <w:jc w:val="both"/>
      </w:pPr>
      <w:r>
        <w:rPr>
          <w:rFonts w:ascii="Georgia" w:cs="Georgia" w:eastAsia="Georgia" w:hAnsi="Georgia"/>
          <w:b w:val="false"/>
          <w:bCs w:val="false"/>
          <w:sz w:val="22"/>
          <w:szCs w:val="22"/>
        </w:rPr>
        <w:t xml:space="preserve">This paper is intended for academic and analytical purposes only. Nothing in this paper constitutes legal advice, regulatory guidance, or a basis for enforcement action or designation analysis. Readers seeking guidance on compliance, designation review, or enforcement matters should consult qualified legal counsel and relevant agency resources.</w:t>
      </w:r>
    </w:p>
    <w:p>
      <w:r>
        <w:br w:type="page"/>
      </w:r>
    </w:p>
    <w:p>
      <w:pPr>
        <w:pStyle w:val="Heading1"/>
        <w:spacing w:after="80" w:before="360"/>
      </w:pPr>
      <w:r>
        <w:rPr>
          <w:rFonts w:ascii="Arial" w:cs="Arial" w:eastAsia="Arial" w:hAnsi="Arial"/>
          <w:b/>
          <w:bCs/>
          <w:color w:val="1F3864"/>
          <w:sz w:val="28"/>
          <w:szCs w:val="28"/>
        </w:rPr>
        <w:t xml:space="preserve">ABSTRACT</w:t>
      </w:r>
    </w:p>
    <w:p>
      <w:pPr>
        <w:pBdr>
          <w:bottom w:val="single" w:color="2F5496" w:sz="10" w:space="1"/>
        </w:pBdr>
        <w:spacing w:after="80" w:before="0"/>
      </w:pPr>
    </w:p>
    <w:p>
      <w:pPr>
        <w:spacing w:after="60" w:before="0"/>
      </w:pPr>
    </w:p>
    <w:p>
      <w:pPr>
        <w:spacing w:after="100" w:before="60"/>
        <w:jc w:val="both"/>
      </w:pPr>
      <w:r>
        <w:rPr>
          <w:rFonts w:ascii="Georgia" w:cs="Georgia" w:eastAsia="Georgia" w:hAnsi="Georgia"/>
          <w:b w:val="false"/>
          <w:bCs w:val="false"/>
          <w:sz w:val="22"/>
          <w:szCs w:val="22"/>
        </w:rPr>
        <w:t xml:space="preserve">Commercial structures used by PRC-affiliated actors to conceal state relationships are a recurring problem for enforcement and attribution practice: existing tools—OFAC beneficial ownership analysis, FinCEN due diligence requirements, and CFIUS covered-transaction review—address parts of this architecture in isolation but are not systematically applied to it as a unified analytical challenge. This paper proposes a structured methodology for assessing when nominally commercial actors carry a PRC commercial state nexus sufficient to support institutional screening, escalation, and threshold assessment for financial, trade, or attribution purposes. The methodology extends the four-level State Nexus Framework by inserting Enablement as a fifth, precisely defined rung—the category for actors who actively facilitate state operational requirements through commercial cover without documented direct tasking—and defines the Support/Enablement boundary with the specificity that existing practice lacks. The methodology operates at the ceiling of open-source analysis and is an input to institutional decision-making, not a substitute for classified corroboration or compulsory legal process.</w:t>
      </w:r>
    </w:p>
    <w:p>
      <w:r>
        <w:br w:type="page"/>
      </w:r>
    </w:p>
    <w:p>
      <w:pPr>
        <w:pStyle w:val="Heading1"/>
        <w:spacing w:after="80" w:before="360"/>
      </w:pPr>
      <w:r>
        <w:rPr>
          <w:rFonts w:ascii="Arial" w:cs="Arial" w:eastAsia="Arial" w:hAnsi="Arial"/>
          <w:b/>
          <w:bCs/>
          <w:color w:val="1F3864"/>
          <w:sz w:val="28"/>
          <w:szCs w:val="28"/>
        </w:rPr>
        <w:t xml:space="preserve">EXECUTIVE SUMMARY</w:t>
      </w:r>
    </w:p>
    <w:p>
      <w:pPr>
        <w:pBdr>
          <w:bottom w:val="single" w:color="2F5496" w:sz="10" w:space="1"/>
        </w:pBdr>
        <w:spacing w:after="80" w:before="0"/>
      </w:pPr>
    </w:p>
    <w:p>
      <w:pPr>
        <w:spacing w:after="60" w:before="0"/>
      </w:pPr>
    </w:p>
    <w:p>
      <w:pPr>
        <w:spacing w:after="100" w:before="60"/>
        <w:jc w:val="both"/>
      </w:pPr>
      <w:r>
        <w:rPr>
          <w:rFonts w:ascii="Georgia" w:cs="Georgia" w:eastAsia="Georgia" w:hAnsi="Georgia"/>
          <w:sz w:val="22"/>
          <w:szCs w:val="22"/>
        </w:rPr>
        <w:t xml:space="preserve">The central failure in PRC commercial state-nexus analysis is categorical, not evidentiary. Agencies and institutional consumers rarely lack suspicious indicators. They lack a structured method for placing those indicators on a hierarchy that distinguishes mere commercial proximity from active facilitation of state objectives—and that maps each level to a defensible institutional consequence.</w:t>
      </w:r>
    </w:p>
    <w:p>
      <w:pPr>
        <w:spacing w:after="100" w:before="60"/>
        <w:jc w:val="both"/>
      </w:pPr>
      <w:r>
        <w:rPr>
          <w:rFonts w:ascii="Georgia" w:cs="Georgia" w:eastAsia="Georgia" w:hAnsi="Georgia"/>
          <w:sz w:val="22"/>
          <w:szCs w:val="22"/>
        </w:rPr>
        <w:t xml:space="preserve">This paper proposes the Five-Rung Commercial State Nexus Ladder: Presence, Linkage, Support, Enablement, and Direct Tasking. The ladder extends existing attribution methodology by inserting Enablement as a distinct fifth rung—defined as the active facilitation of PRC state operational requirements through commercial cover, where the entity’s structure provides concealment value the state could not easily replicate directly. The Support/Enablement boundary is the paper’s primary analytic contribution.</w:t>
      </w:r>
    </w:p>
    <w:p>
      <w:pPr>
        <w:spacing w:after="100" w:before="60"/>
        <w:jc w:val="both"/>
      </w:pPr>
      <w:r>
        <w:rPr>
          <w:rFonts w:ascii="Georgia" w:cs="Georgia" w:eastAsia="Georgia" w:hAnsi="Georgia"/>
          <w:sz w:val="22"/>
          <w:szCs w:val="22"/>
        </w:rPr>
        <w:t xml:space="preserve">Existing frameworks distinguish ownership, control, and support, but they do not provide a standard method for assessing the commercial actor whose structure is itself part of the concealment architecture. That is the gap this paper addresses.</w:t>
      </w:r>
    </w:p>
    <w:p>
      <w:pPr>
        <w:spacing w:after="100" w:before="60"/>
        <w:jc w:val="both"/>
      </w:pPr>
      <w:r>
        <w:rPr>
          <w:rFonts w:ascii="Georgia" w:cs="Georgia" w:eastAsia="Georgia" w:hAnsi="Georgia"/>
          <w:sz w:val="22"/>
          <w:szCs w:val="22"/>
        </w:rPr>
        <w:t xml:space="preserve">The paper applies OFAC’s 50 Percent Rule, FinCEN’s CDD standards, and CFIUS’s effective-control test to the ownership structures, nominee arrangements, and VIE architectures most commonly used for commercial concealment, and maps findings to differentiated institutional thresholds across OFAC, FinCEN, CFIUS, BIS, and DOJ. Confidence levels, failure modes, minimum conditions, and method limits are addressed in Sections 7–9 and Appendix C.</w:t>
      </w:r>
    </w:p>
    <w:p>
      <w:r>
        <w:br w:type="page"/>
      </w:r>
    </w:p>
    <w:p>
      <w:pPr>
        <w:pStyle w:val="Heading1"/>
        <w:spacing w:after="80" w:before="360"/>
      </w:pPr>
      <w:r>
        <w:rPr>
          <w:rFonts w:ascii="Arial" w:cs="Arial" w:eastAsia="Arial" w:hAnsi="Arial"/>
          <w:b/>
          <w:bCs/>
          <w:color w:val="1F3864"/>
          <w:sz w:val="28"/>
          <w:szCs w:val="28"/>
        </w:rPr>
        <w:t xml:space="preserve">1. THE PROBLEM: COMMERCIAL CONCEALMENT AS A STRUCTURAL FEATURE</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Enforcement and attribution practice directed at PRC-affiliated commercial actors regularly encounters a recurring structural problem: the commercial actors that carry the most significant state relationships are often the least visibly connected to state institutions. This is not coincidental. In important sectors and contexts, commercial concealment operates as a deliberate feature of how PRC state operational requirements are met, not as an incidental byproduct of routine business structure.</w:t>
      </w:r>
    </w:p>
    <w:p>
      <w:pPr>
        <w:spacing w:after="100" w:before="60"/>
        <w:jc w:val="both"/>
      </w:pPr>
      <w:r>
        <w:rPr>
          <w:rFonts w:ascii="Georgia" w:cs="Georgia" w:eastAsia="Georgia" w:hAnsi="Georgia"/>
          <w:sz w:val="22"/>
          <w:szCs w:val="22"/>
        </w:rPr>
        <w:t xml:space="preserve">The consequence for institutional analysis is specific. It is not that suspicious indicators are absent. Layered ownership structures, nominee directors, offshore holding entities, pass-through financial arrangements, and tolerated proxies operating with preferential state access are observable in recurring patterns relevant to enforcement and attribution. The problem is that existing analytical frameworks treat each indicator category in isolation, calibrated to the needs of a specific regulatory program, and do not integrate them into a common evidentiary methodology capable of supporting differentiated institutional responses.</w:t>
      </w:r>
    </w:p>
    <w:p>
      <w:pPr>
        <w:spacing w:after="100" w:before="60"/>
        <w:jc w:val="both"/>
      </w:pPr>
      <w:r>
        <w:rPr>
          <w:rFonts w:ascii="Georgia" w:cs="Georgia" w:eastAsia="Georgia" w:hAnsi="Georgia"/>
          <w:sz w:val="22"/>
          <w:szCs w:val="22"/>
        </w:rPr>
        <w:t xml:space="preserve">That question is not answered by cataloging shell companies or listing opaque jurisdictions. It requires a structured evidentiary methodology that separates presence from linkage, linkage from support, support from enablement, and enablement from direct tasking—and that maps each level to a specific institutional consequence. This paper supplies that methodology for the commercial concealment layer that sits between state-nexus assessment and downstream lawful enforcement or economic action.</w:t>
      </w:r>
    </w:p>
    <w:p>
      <w:pPr>
        <w:pStyle w:val="Heading2"/>
        <w:spacing w:after="80" w:before="240"/>
      </w:pPr>
      <w:r>
        <w:rPr>
          <w:rFonts w:ascii="Arial" w:cs="Arial" w:eastAsia="Arial" w:hAnsi="Arial"/>
          <w:b/>
          <w:bCs/>
          <w:color w:val="2F5496"/>
          <w:sz w:val="24"/>
          <w:szCs w:val="24"/>
        </w:rPr>
        <w:t xml:space="preserve">1.1 The Concealment Architecture</w:t>
      </w:r>
    </w:p>
    <w:p>
      <w:pPr>
        <w:spacing w:after="100" w:before="60"/>
        <w:jc w:val="both"/>
      </w:pPr>
      <w:r>
        <w:rPr>
          <w:rFonts w:ascii="Georgia" w:cs="Georgia" w:eastAsia="Georgia" w:hAnsi="Georgia"/>
          <w:sz w:val="22"/>
          <w:szCs w:val="22"/>
        </w:rPr>
        <w:t xml:space="preserve">PRC commercial concealment relevant to enforcement and attribution operates through a combination of structural, personnel, financial, and regulatory mechanisms with a common functional objective: to sever the visible link between state authorization and commercial activity in ways that complicate attribution, frustrate designation, and raise the evidentiary cost of institutional response.</w:t>
      </w:r>
    </w:p>
    <w:p>
      <w:pPr>
        <w:spacing w:after="100" w:before="60"/>
        <w:jc w:val="both"/>
      </w:pPr>
      <w:r>
        <w:rPr>
          <w:rFonts w:ascii="Georgia" w:cs="Georgia" w:eastAsia="Georgia" w:hAnsi="Georgia"/>
          <w:sz w:val="22"/>
          <w:szCs w:val="22"/>
        </w:rPr>
        <w:t xml:space="preserve">The most frequently documented mechanisms include: layered holding structures using offshore jurisdictions that separate the nominal owner from the effective beneficial owner; nominee director and shareholder arrangements that replace documentable state connections with nominally independent commercial persons; variable interest entity architectures that retain contractual control while transferring nominal equity; single-customer or single-program commercial dependencies that make the entity’s commercial viability functionally inseparable from state operational requirements; and selective regulatory non-enforcement or preferential market access that signals protection without documenting direction.</w:t>
      </w:r>
    </w:p>
    <w:p>
      <w:pPr>
        <w:spacing w:after="100" w:before="60"/>
        <w:jc w:val="both"/>
      </w:pPr>
      <w:r>
        <w:rPr>
          <w:rFonts w:ascii="Georgia" w:cs="Georgia" w:eastAsia="Georgia" w:hAnsi="Georgia"/>
          <w:sz w:val="22"/>
          <w:szCs w:val="22"/>
        </w:rPr>
        <w:t xml:space="preserve">These mechanisms are not analytically invisible. They are analytically unstable when assessed using tools designed for a single institutional purpose. The evidentiary record that satisfies FinCEN’s beneficial ownership threshold may not satisfy OFAC’s totality-of-circumstances standard. The control finding sufficient for CFIUS may not support a DOJ charging theory. The same actor can simultaneously fall below the actionable threshold of every relevant tool while remaining above the suspicion threshold of all of them.</w:t>
      </w:r>
    </w:p>
    <w:p>
      <w:pPr>
        <w:pStyle w:val="Heading2"/>
        <w:spacing w:after="80" w:before="240"/>
      </w:pPr>
      <w:r>
        <w:rPr>
          <w:rFonts w:ascii="Arial" w:cs="Arial" w:eastAsia="Arial" w:hAnsi="Arial"/>
          <w:b/>
          <w:bCs/>
          <w:color w:val="2F5496"/>
          <w:sz w:val="24"/>
          <w:szCs w:val="24"/>
        </w:rPr>
        <w:t xml:space="preserve">1.2 The Missing Analytical Category</w:t>
      </w:r>
    </w:p>
    <w:p>
      <w:pPr>
        <w:spacing w:after="100" w:before="60"/>
        <w:jc w:val="both"/>
      </w:pPr>
      <w:r>
        <w:rPr>
          <w:rFonts w:ascii="Georgia" w:cs="Georgia" w:eastAsia="Georgia" w:hAnsi="Georgia"/>
          <w:b w:val="false"/>
          <w:bCs w:val="false"/>
          <w:sz w:val="22"/>
          <w:szCs w:val="22"/>
        </w:rPr>
        <w:t xml:space="preserve">The specific gap that existing frameworks do not fill is the category of commercial actors who are neither purely private nor directly state-controlled. They are state-supported in ways that make their commercial existence functionally dependent on state relationships, and they provide concealment value to state operational requirements that the state apparatus could not easily achieve through direct action. That category does not have a standard institutional name, a standard evidentiary test, or a standard institutional consequence.</w:t>
      </w:r>
    </w:p>
    <w:p>
      <w:pPr>
        <w:spacing w:after="100" w:before="60"/>
        <w:jc w:val="both"/>
      </w:pPr>
      <w:r>
        <w:rPr>
          <w:rFonts w:ascii="Georgia" w:cs="Georgia" w:eastAsia="Georgia" w:hAnsi="Georgia"/>
          <w:sz w:val="22"/>
          <w:szCs w:val="22"/>
        </w:rPr>
        <w:t xml:space="preserve">This paper designates that category Enablement. The paper’s primary contribution is defining it with sufficient precision to distinguish it from Support and Direct Tasking—and specifying the evidentiary record that supports an Enablement assessment under existing institutional standards.</w:t>
      </w:r>
    </w:p>
    <w:p>
      <w:r>
        <w:br w:type="page"/>
      </w:r>
    </w:p>
    <w:p>
      <w:pPr>
        <w:pStyle w:val="Heading1"/>
        <w:spacing w:after="80" w:before="360"/>
      </w:pPr>
      <w:r>
        <w:rPr>
          <w:rFonts w:ascii="Arial" w:cs="Arial" w:eastAsia="Arial" w:hAnsi="Arial"/>
          <w:b/>
          <w:bCs/>
          <w:color w:val="1F3864"/>
          <w:sz w:val="28"/>
          <w:szCs w:val="28"/>
        </w:rPr>
        <w:t xml:space="preserve">2. THE FIVE-RUNG COMMERCIAL STATE NEXUS LADDER</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The Five-Rung Commercial State Nexus Ladder extends the Four-Level State Nexus Framework (WP-2026) by inserting Enablement as a fifth, precisely defined rung between Support and Direct Tasking. The missing category is Enablement—the rung that captures actors who actively facilitate state operational requirements through commercial cover without documented direct tasking. Each rung carries a distinct evidentiary threshold and a distinct institutional consequence.</w:t>
      </w:r>
    </w:p>
    <w:p>
      <w:pPr>
        <w:spacing w:after="100" w:before="60"/>
        <w:jc w:val="both"/>
      </w:pPr>
      <w:r>
        <w:rPr>
          <w:rFonts w:ascii="Georgia" w:cs="Georgia" w:eastAsia="Georgia" w:hAnsi="Georgia"/>
          <w:sz w:val="22"/>
          <w:szCs w:val="22"/>
        </w:rPr>
        <w:t xml:space="preserve">The ladder is not a scoring system. An actor may exhibit indicators associated with multiple rungs, and the appropriate rung assignment turns on the weight and corroboration of the available evidentiary record rather than on the number of indicators present. The corroboration rule stated below governs throughout.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BBD0" w:sz="4"/>
              <w:left w:val="single" w:color="AABBD0" w:sz="4"/>
              <w:bottom w:val="single" w:color="AABBD0" w:sz="4"/>
              <w:right w:val="none"/>
            </w:tcBorders>
            <w:shd w:fill="1F3864" w:val="clear"/>
            <w:tcMar>
              <w:top w:type="dxa" w:w="120"/>
              <w:left w:type="dxa" w:w="160"/>
              <w:bottom w:type="dxa" w:w="120"/>
              <w:right w:type="dxa" w:w="100"/>
            </w:tcMar>
            <w:vAlign w:val="center"/>
          </w:tcPr>
          <w:p>
            <w:pPr>
              <w:spacing w:after="0" w:before="0"/>
              <w:jc w:val="center"/>
            </w:pPr>
            <w:r>
              <w:rPr>
                <w:rFonts w:ascii="Arial" w:cs="Arial" w:eastAsia="Arial" w:hAnsi="Arial"/>
                <w:b/>
                <w:bCs/>
                <w:color w:val="FFFFFF"/>
                <w:sz w:val="18"/>
                <w:szCs w:val="18"/>
              </w:rPr>
              <w:t xml:space="preserve">Rung 1</w:t>
            </w:r>
          </w:p>
          <w:p>
            <w:pPr>
              <w:spacing w:after="0" w:before="40"/>
              <w:jc w:val="center"/>
            </w:pPr>
            <w:r>
              <w:rPr>
                <w:rFonts w:ascii="Arial" w:cs="Arial" w:eastAsia="Arial" w:hAnsi="Arial"/>
                <w:b/>
                <w:bCs/>
                <w:color w:val="E8C96A"/>
                <w:sz w:val="22"/>
                <w:szCs w:val="22"/>
              </w:rPr>
              <w:t xml:space="preserve">PRESENCE</w:t>
            </w:r>
          </w:p>
        </w:tc>
        <w:tc>
          <w:tcPr>
            <w:tcW w:type="dxa" w:w="8260"/>
            <w:tcBorders>
              <w:top w:val="single" w:color="AABBD0" w:sz="4"/>
              <w:left w:val="none"/>
              <w:bottom w:val="single" w:color="AABBD0" w:sz="4"/>
              <w:right w:val="single" w:color="AABBD0" w:sz="4"/>
            </w:tcBorders>
            <w:shd w:fill="F7F9FC"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Jurisdictional Context Only</w:t>
            </w:r>
          </w:p>
          <w:p>
            <w:pPr>
              <w:spacing w:after="0" w:before="0"/>
              <w:jc w:val="both"/>
            </w:pPr>
            <w:r>
              <w:rPr>
                <w:rFonts w:ascii="Georgia" w:cs="Georgia" w:eastAsia="Georgia" w:hAnsi="Georgia"/>
                <w:color w:val="222222"/>
                <w:sz w:val="22"/>
                <w:szCs w:val="22"/>
              </w:rPr>
              <w:t xml:space="preserve">The entity is incorporated under PRC law, operates within PRC jurisdiction, or is owned or controlled by PRC nationals. Presence establishes the jurisdictional and regulatory context for further analysis. It does not support any inference about the entity’s relationship to PRC state institutions or objectives. No state-nexus characterization is warranted from Presence evidence alone.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BBD0" w:sz="4"/>
              <w:left w:val="single" w:color="AABBD0" w:sz="4"/>
              <w:bottom w:val="single" w:color="AABBD0" w:sz="4"/>
              <w:right w:val="none"/>
            </w:tcBorders>
            <w:shd w:fill="1F3864" w:val="clear"/>
            <w:tcMar>
              <w:top w:type="dxa" w:w="120"/>
              <w:left w:type="dxa" w:w="160"/>
              <w:bottom w:type="dxa" w:w="120"/>
              <w:right w:type="dxa" w:w="100"/>
            </w:tcMar>
            <w:vAlign w:val="center"/>
          </w:tcPr>
          <w:p>
            <w:pPr>
              <w:spacing w:after="0" w:before="0"/>
              <w:jc w:val="center"/>
            </w:pPr>
            <w:r>
              <w:rPr>
                <w:rFonts w:ascii="Arial" w:cs="Arial" w:eastAsia="Arial" w:hAnsi="Arial"/>
                <w:b/>
                <w:bCs/>
                <w:color w:val="FFFFFF"/>
                <w:sz w:val="18"/>
                <w:szCs w:val="18"/>
              </w:rPr>
              <w:t xml:space="preserve">Rung 2</w:t>
            </w:r>
          </w:p>
          <w:p>
            <w:pPr>
              <w:spacing w:after="0" w:before="40"/>
              <w:jc w:val="center"/>
            </w:pPr>
            <w:r>
              <w:rPr>
                <w:rFonts w:ascii="Arial" w:cs="Arial" w:eastAsia="Arial" w:hAnsi="Arial"/>
                <w:b/>
                <w:bCs/>
                <w:color w:val="E8C96A"/>
                <w:sz w:val="22"/>
                <w:szCs w:val="22"/>
              </w:rPr>
              <w:t xml:space="preserve">LINKAGE</w:t>
            </w:r>
          </w:p>
        </w:tc>
        <w:tc>
          <w:tcPr>
            <w:tcW w:type="dxa" w:w="8260"/>
            <w:tcBorders>
              <w:top w:val="single" w:color="AABBD0" w:sz="4"/>
              <w:left w:val="none"/>
              <w:bottom w:val="single" w:color="AABBD0" w:sz="4"/>
              <w:right w:val="single" w:color="AABBD0" w:sz="4"/>
            </w:tcBorders>
            <w:shd w:fill="F7F9FC"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Documented Relational Connection</w:t>
            </w:r>
          </w:p>
          <w:p>
            <w:pPr>
              <w:spacing w:after="0" w:before="0"/>
              <w:jc w:val="both"/>
            </w:pPr>
            <w:r>
              <w:rPr>
                <w:rFonts w:ascii="Georgia" w:cs="Georgia" w:eastAsia="Georgia" w:hAnsi="Georgia"/>
                <w:color w:val="222222"/>
                <w:sz w:val="22"/>
                <w:szCs w:val="22"/>
              </w:rPr>
              <w:t xml:space="preserve">The entity has documented organizational, personnel, or financial connections to PRC state institutions or state-affiliated entities. Linkage reflects a pattern relationship, not a control relationship. It supports a low-to-moderate-confidence assessment of state-adjacent activity and is sufficient to trigger enhanced due diligence, compliance screening, and procurement review. Linkage does not establish that the entity acts on behalf of, or in furtherance of, PRC state operational requirements.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BBD0" w:sz="4"/>
              <w:left w:val="single" w:color="AABBD0" w:sz="4"/>
              <w:bottom w:val="single" w:color="AABBD0" w:sz="4"/>
              <w:right w:val="none"/>
            </w:tcBorders>
            <w:shd w:fill="1F3864" w:val="clear"/>
            <w:tcMar>
              <w:top w:type="dxa" w:w="120"/>
              <w:left w:type="dxa" w:w="160"/>
              <w:bottom w:type="dxa" w:w="120"/>
              <w:right w:type="dxa" w:w="100"/>
            </w:tcMar>
            <w:vAlign w:val="center"/>
          </w:tcPr>
          <w:p>
            <w:pPr>
              <w:spacing w:after="0" w:before="0"/>
              <w:jc w:val="center"/>
            </w:pPr>
            <w:r>
              <w:rPr>
                <w:rFonts w:ascii="Arial" w:cs="Arial" w:eastAsia="Arial" w:hAnsi="Arial"/>
                <w:b/>
                <w:bCs/>
                <w:color w:val="FFFFFF"/>
                <w:sz w:val="18"/>
                <w:szCs w:val="18"/>
              </w:rPr>
              <w:t xml:space="preserve">Rung 3</w:t>
            </w:r>
          </w:p>
          <w:p>
            <w:pPr>
              <w:spacing w:after="0" w:before="40"/>
              <w:jc w:val="center"/>
            </w:pPr>
            <w:r>
              <w:rPr>
                <w:rFonts w:ascii="Arial" w:cs="Arial" w:eastAsia="Arial" w:hAnsi="Arial"/>
                <w:b/>
                <w:bCs/>
                <w:color w:val="E8C96A"/>
                <w:sz w:val="22"/>
                <w:szCs w:val="22"/>
              </w:rPr>
              <w:t xml:space="preserve">SUPPORT</w:t>
            </w:r>
          </w:p>
        </w:tc>
        <w:tc>
          <w:tcPr>
            <w:tcW w:type="dxa" w:w="8260"/>
            <w:tcBorders>
              <w:top w:val="single" w:color="AABBD0" w:sz="4"/>
              <w:left w:val="none"/>
              <w:bottom w:val="single" w:color="AABBD0" w:sz="4"/>
              <w:right w:val="single" w:color="AABBD0" w:sz="4"/>
            </w:tcBorders>
            <w:shd w:fill="F7F9FC"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Material State Benefit Without Operational Direction</w:t>
            </w:r>
          </w:p>
          <w:p>
            <w:pPr>
              <w:spacing w:after="0" w:before="0"/>
              <w:jc w:val="both"/>
            </w:pPr>
            <w:r>
              <w:rPr>
                <w:rFonts w:ascii="Georgia" w:cs="Georgia" w:eastAsia="Georgia" w:hAnsi="Georgia"/>
                <w:color w:val="222222"/>
                <w:sz w:val="22"/>
                <w:szCs w:val="22"/>
              </w:rPr>
              <w:t xml:space="preserve">The entity receives material, financial, technical, or institutional benefit from PRC state organs or state-affiliated entities in a manner consistent with PRC state objectives. Support may be passive—toleration, regulatory non-interference, selective protection from enforcement—or active—funding, preferential access, state-directed procurement. Support does not require evidence of operational direction or reciprocal facilitation. An entity that benefits substantially from state proximity, without evidence that its commercial function is structurally integrated into state operational requirements, is appropriately assessed at the Support level. Support is sufficient to trigger sanctions screening, beneficial ownership review, and in some contexts CFIUS analysis. It does not independently support a designation finding or criminal referral without additional evidentiary development.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BBD0" w:sz="4"/>
              <w:left w:val="single" w:color="AABBD0" w:sz="4"/>
              <w:bottom w:val="single" w:color="AABBD0" w:sz="4"/>
              <w:right w:val="none"/>
            </w:tcBorders>
            <w:shd w:fill="1F3864" w:val="clear"/>
            <w:tcMar>
              <w:top w:type="dxa" w:w="120"/>
              <w:left w:type="dxa" w:w="160"/>
              <w:bottom w:type="dxa" w:w="120"/>
              <w:right w:type="dxa" w:w="100"/>
            </w:tcMar>
            <w:vAlign w:val="center"/>
          </w:tcPr>
          <w:p>
            <w:pPr>
              <w:spacing w:after="0" w:before="0"/>
              <w:jc w:val="center"/>
            </w:pPr>
            <w:r>
              <w:rPr>
                <w:rFonts w:ascii="Arial" w:cs="Arial" w:eastAsia="Arial" w:hAnsi="Arial"/>
                <w:b/>
                <w:bCs/>
                <w:color w:val="FFFFFF"/>
                <w:sz w:val="18"/>
                <w:szCs w:val="18"/>
              </w:rPr>
              <w:t xml:space="preserve">Rung 4</w:t>
            </w:r>
          </w:p>
          <w:p>
            <w:pPr>
              <w:spacing w:after="0" w:before="40"/>
              <w:jc w:val="center"/>
            </w:pPr>
            <w:r>
              <w:rPr>
                <w:rFonts w:ascii="Arial" w:cs="Arial" w:eastAsia="Arial" w:hAnsi="Arial"/>
                <w:b/>
                <w:bCs/>
                <w:color w:val="E8C96A"/>
                <w:sz w:val="22"/>
                <w:szCs w:val="22"/>
              </w:rPr>
              <w:t xml:space="preserve">ENABLEMENT</w:t>
            </w:r>
          </w:p>
        </w:tc>
        <w:tc>
          <w:tcPr>
            <w:tcW w:type="dxa" w:w="8260"/>
            <w:tcBorders>
              <w:top w:val="single" w:color="AABBD0" w:sz="4"/>
              <w:left w:val="none"/>
              <w:bottom w:val="single" w:color="AABBD0" w:sz="4"/>
              <w:right w:val="single" w:color="AABBD0" w:sz="4"/>
            </w:tcBorders>
            <w:shd w:fill="EEF6FF"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Active Facilitation of State Operational Requirements Through Commercial Cover</w:t>
            </w:r>
          </w:p>
          <w:p>
            <w:pPr>
              <w:spacing w:after="0" w:before="0"/>
              <w:jc w:val="both"/>
            </w:pPr>
            <w:r>
              <w:rPr>
                <w:rFonts w:ascii="Georgia" w:cs="Georgia" w:eastAsia="Georgia" w:hAnsi="Georgia"/>
                <w:color w:val="222222"/>
                <w:sz w:val="22"/>
                <w:szCs w:val="22"/>
              </w:rPr>
              <w:t xml:space="preserve">The entity actively facilitates PRC state operational requirements through its commercial structure, function, or position—providing concealment value, jurisdictional insulation, transactional opacity, or operational access that the state apparatus could not as readily achieve through direct action. Distinguishing features: benefit flows in both directions (the state derives operational value from the entity’s commercial architecture; the entity derives protection or access from its state relationship); the entity’s commercial function is structurally integrated into, rather than merely proximate to, state operational requirements; and the entity’s specific structure, access, or capability serves a function the state would otherwise need to perform differently. Enablement is not a suspicion category, a state-subsidy category, a structural-complexity category, or a PRC priority-sector category. It is a functional integration plus concealment utility category. The Support/Enablement boundary is defined in Section 5 with specificity, including disconfirmation criteria. A well-supported Enablement assessment is best understood as an escalation-grade analytical finding: it can justify sanctions screening, SAR consideration, CFIUS concern elevation, and further evidentiary development, but it does not substitute for the institution-specific legal or evidentiary predicates those actions require.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BBD0" w:sz="4"/>
              <w:left w:val="single" w:color="AABBD0" w:sz="4"/>
              <w:bottom w:val="single" w:color="AABBD0" w:sz="4"/>
              <w:right w:val="none"/>
            </w:tcBorders>
            <w:shd w:fill="1F3864" w:val="clear"/>
            <w:tcMar>
              <w:top w:type="dxa" w:w="120"/>
              <w:left w:type="dxa" w:w="160"/>
              <w:bottom w:type="dxa" w:w="120"/>
              <w:right w:type="dxa" w:w="100"/>
            </w:tcMar>
            <w:vAlign w:val="center"/>
          </w:tcPr>
          <w:p>
            <w:pPr>
              <w:spacing w:after="0" w:before="0"/>
              <w:jc w:val="center"/>
            </w:pPr>
            <w:r>
              <w:rPr>
                <w:rFonts w:ascii="Arial" w:cs="Arial" w:eastAsia="Arial" w:hAnsi="Arial"/>
                <w:b/>
                <w:bCs/>
                <w:color w:val="FFFFFF"/>
                <w:sz w:val="18"/>
                <w:szCs w:val="18"/>
              </w:rPr>
              <w:t xml:space="preserve">Rung 5</w:t>
            </w:r>
          </w:p>
          <w:p>
            <w:pPr>
              <w:spacing w:after="0" w:before="40"/>
              <w:jc w:val="center"/>
            </w:pPr>
            <w:r>
              <w:rPr>
                <w:rFonts w:ascii="Arial" w:cs="Arial" w:eastAsia="Arial" w:hAnsi="Arial"/>
                <w:b/>
                <w:bCs/>
                <w:color w:val="E8C96A"/>
                <w:sz w:val="22"/>
                <w:szCs w:val="22"/>
              </w:rPr>
              <w:t xml:space="preserve">DIRECT TASKING</w:t>
            </w:r>
          </w:p>
        </w:tc>
        <w:tc>
          <w:tcPr>
            <w:tcW w:type="dxa" w:w="8260"/>
            <w:tcBorders>
              <w:top w:val="single" w:color="AABBD0" w:sz="4"/>
              <w:left w:val="none"/>
              <w:bottom w:val="single" w:color="AABBD0" w:sz="4"/>
              <w:right w:val="single" w:color="AABBD0" w:sz="4"/>
            </w:tcBorders>
            <w:shd w:fill="F7F9FC"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Documented State Authorization or Direction</w:t>
            </w:r>
          </w:p>
          <w:p>
            <w:pPr>
              <w:spacing w:after="0" w:before="0"/>
              <w:jc w:val="both"/>
            </w:pPr>
            <w:r>
              <w:rPr>
                <w:rFonts w:ascii="Georgia" w:cs="Georgia" w:eastAsia="Georgia" w:hAnsi="Georgia"/>
                <w:color w:val="222222"/>
                <w:sz w:val="22"/>
                <w:szCs w:val="22"/>
              </w:rPr>
              <w:t xml:space="preserve">The entity acts under documented authorization, direction, or control of a PRC state organ. Direct Tasking requires evidence of the tasking relationship itself—not merely its inferential plausibility from the evidentiary record. In most cases involving sophisticated PRC commercial concealment, the available open-source record will not reach Direct Tasking on its own. That limitation is analytically significant and should be reflected accurately in findings language; it does not reduce the institutional utility of a well-supported Enablement assessment.</w:t>
            </w:r>
          </w:p>
        </w:tc>
      </w:tr>
    </w:tbl>
    <w:p>
      <w:pPr>
        <w:spacing w:after="100" w:before="0"/>
      </w:pPr>
    </w:p>
    <w:p>
      <w:pPr>
        <w:pBdr>
          <w:left w:val="single" w:color="2F5496" w:sz="24"/>
        </w:pBdr>
        <w:spacing w:after="120" w:before="120"/>
        <w:ind w:left="440" w:right="440"/>
        <w:jc w:val="both"/>
      </w:pPr>
      <w:r>
        <w:rPr>
          <w:rFonts w:ascii="Georgia" w:cs="Georgia" w:eastAsia="Georgia" w:hAnsi="Georgia"/>
          <w:b/>
          <w:bCs/>
          <w:sz w:val="22"/>
          <w:szCs w:val="22"/>
        </w:rPr>
        <w:t xml:space="preserve">Corroboration Rule. </w:t>
      </w:r>
      <w:r>
        <w:rPr>
          <w:rFonts w:ascii="Georgia" w:cs="Georgia" w:eastAsia="Georgia" w:hAnsi="Georgia"/>
          <w:b w:val="false"/>
          <w:bCs w:val="false"/>
          <w:sz w:val="22"/>
          <w:szCs w:val="22"/>
        </w:rPr>
        <w:t xml:space="preserve">No single indicator—incorporation, funding pattern, personnel affiliation, transaction structure, or protection pattern—is ordinarily sufficient to support an assessment at the Support level or above. Higher-confidence assessments require convergent, independently corroborated evidence drawn from multiple domains whose underlying evidentiary bases do not share a common source. This rule applies with particular force at the Enablement level, where the stakes of overclaiming are highest. Enablement should not be assessed from structure, subsidy, or state proximity alone; the record must support both functional integration and concealment utility.</w:t>
      </w:r>
    </w:p>
    <w:p>
      <w:pPr>
        <w:pStyle w:val="Heading2"/>
        <w:spacing w:after="80" w:before="240"/>
      </w:pPr>
      <w:r>
        <w:rPr>
          <w:rFonts w:ascii="Arial" w:cs="Arial" w:eastAsia="Arial" w:hAnsi="Arial"/>
          <w:b/>
          <w:bCs/>
          <w:color w:val="2F5496"/>
          <w:sz w:val="24"/>
          <w:szCs w:val="24"/>
        </w:rPr>
        <w:t xml:space="preserve">2.1 Illustrative Application</w:t>
      </w:r>
    </w:p>
    <w:p>
      <w:pPr>
        <w:spacing w:after="100" w:before="60"/>
        <w:jc w:val="both"/>
      </w:pPr>
      <w:r>
        <w:rPr>
          <w:rFonts w:ascii="Georgia" w:cs="Georgia" w:eastAsia="Georgia" w:hAnsi="Georgia"/>
          <w:sz w:val="22"/>
          <w:szCs w:val="22"/>
        </w:rPr>
        <w:t xml:space="preserve">The following stylized example illustrates how the ladder applies in practice. It is hypothetical and does not represent any specific entity or case.</w:t>
      </w:r>
    </w:p>
    <w:p>
      <w:pPr>
        <w:spacing w:after="100" w:before="60"/>
        <w:jc w:val="both"/>
      </w:pPr>
      <w:r>
        <w:rPr>
          <w:rFonts w:ascii="Georgia" w:cs="Georgia" w:eastAsia="Georgia" w:hAnsi="Georgia"/>
          <w:sz w:val="22"/>
          <w:szCs w:val="22"/>
        </w:rPr>
        <w:t xml:space="preserve">Entity A is a PRC-domiciled technology company with a BVI holding structure, incorporated and operating in the mainland. At intake, it presents at Rung 1 (Presence)—PRC incorporation, PRC-national ownership, no additional information. A registry review identifies that the BVI holding entity shares a registered agent with several entities that appear on OFAC’s SDN List as associates of a designated PRC state-affiliated technology program. This elevates the assessment to Rung 2 (Linkage) at low confidence, sufficient to trigger enhanced due diligence.</w:t>
      </w:r>
    </w:p>
    <w:p>
      <w:pPr>
        <w:spacing w:after="100" w:before="60"/>
        <w:jc w:val="both"/>
      </w:pPr>
      <w:r>
        <w:rPr>
          <w:rFonts w:ascii="Georgia" w:cs="Georgia" w:eastAsia="Georgia" w:hAnsi="Georgia"/>
          <w:sz w:val="22"/>
          <w:szCs w:val="22"/>
        </w:rPr>
        <w:t xml:space="preserve">Further review identifies that Entity A has received three capital infusions over two years from a PRC policy bank at below-market rates, and that its primary customer—accounting for approximately 80 percent of revenue—is a PRC state-owned enterprise in a military-civil fusion priority sector. The financial dependency and customer concentration are consistent with a Support relationship. The assessment moves to Rung 3 (Support) at moderate confidence, sufficient for sanctions screening escalation and SAR filing consideration. Absent evidence that the entity’s structure provides operational value to the state beyond commercial dependence, the record remains at Support rather than Enablement.</w:t>
      </w:r>
    </w:p>
    <w:p>
      <w:pPr>
        <w:spacing w:after="100" w:before="60"/>
        <w:jc w:val="both"/>
      </w:pPr>
      <w:r>
        <w:rPr>
          <w:rFonts w:ascii="Georgia" w:cs="Georgia" w:eastAsia="Georgia" w:hAnsi="Georgia"/>
          <w:sz w:val="22"/>
          <w:szCs w:val="22"/>
        </w:rPr>
        <w:t xml:space="preserve">A subsequent operational review identifies that Entity A’s commercial function—procurement of dual-use components through non-PRC intermediaries—is structurally dependent on its non-PRC legal personality and its offshore holding structure, which provide jurisdictional insulation that the PRC state-owned enterprise customer could not obtain through direct procurement. Before elevating to Enablement, the disconfirmation criteria in Section 5.5 are applied. Entity A’s commercial activity is not economically viable independently of its state relationship: 80 percent customer concentration in a single SOE makes independent viability implausible. It is not one of multiple similarly situated actors: its specific BVI structure with SDN-adjacent registered agent connections is not typical of comparable private procurement intermediaries. The structural complexity serves an identifiable concealment function—jurisdictional insulation for restricted procurement—that the entity’s nominal commercial activity does not independently require. The innocent explanation—that BVI structures are standard commercial practice—is given reduced weight on specific grounds: the combination of SDN-adjacent structural indicators, single-SOE customer concentration, and policy-bank funding at non-commercial terms is not consistent with independent commercial motivation. The concealment function is operative. Combined with the financial dependency and structural indicators, this supports an Enablement assessment at moderate-to-high confidence. The record does not establish Direct Tasking; no specific operational directive has been identified. The assessment turns not on opacity alone, but on the documented role of that opacity in enabling a procurement function the state actor could not as readily perform directly. Findings language is calibrated accordingly.</w:t>
      </w:r>
    </w:p>
    <w:p>
      <w:r>
        <w:br w:type="page"/>
      </w:r>
    </w:p>
    <w:p>
      <w:pPr>
        <w:pStyle w:val="Heading1"/>
        <w:spacing w:after="80" w:before="360"/>
      </w:pPr>
      <w:r>
        <w:rPr>
          <w:rFonts w:ascii="Arial" w:cs="Arial" w:eastAsia="Arial" w:hAnsi="Arial"/>
          <w:b/>
          <w:bCs/>
          <w:color w:val="1F3864"/>
          <w:sz w:val="28"/>
          <w:szCs w:val="28"/>
        </w:rPr>
        <w:t xml:space="preserve">3. BENEFICIAL OWNERSHIP AND CONTROL: OFAC / FINCEN / CFIUS DOCTRINE APPLIED</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Existing tools for assessing beneficial ownership and control were developed for distinct institutional purposes and calibrated to distinct evidentiary standards. OFAC’s beneficial ownership analysis supports designation decisions. FinCEN’s Customer Due Diligence rule creates compliance obligations for covered financial institutions. CFIUS’s control test governs foreign investment review. Each tool performs well within its scope. None was designed to answer the integrated question that recurs across all of them: when does a commercially structured actor’s relationship to a foreign state cross from proximity into functional integration with state operational requirements? The sections below identify where each tool is individually capable, where it falls short in the PRC commercial concealment context, and what integrated application adds.</w:t>
      </w:r>
    </w:p>
    <w:p>
      <w:pPr>
        <w:pStyle w:val="Heading2"/>
        <w:spacing w:after="80" w:before="240"/>
      </w:pPr>
      <w:r>
        <w:rPr>
          <w:rFonts w:ascii="Arial" w:cs="Arial" w:eastAsia="Arial" w:hAnsi="Arial"/>
          <w:b/>
          <w:bCs/>
          <w:color w:val="2F5496"/>
          <w:sz w:val="24"/>
          <w:szCs w:val="24"/>
        </w:rPr>
        <w:t xml:space="preserve">3.1 The Ownership / Control Distinction</w:t>
      </w:r>
    </w:p>
    <w:p>
      <w:pPr>
        <w:spacing w:after="100" w:before="60"/>
        <w:jc w:val="both"/>
      </w:pPr>
      <w:r>
        <w:rPr>
          <w:rFonts w:ascii="Georgia" w:cs="Georgia" w:eastAsia="Georgia" w:hAnsi="Georgia"/>
          <w:sz w:val="22"/>
          <w:szCs w:val="22"/>
        </w:rPr>
        <w:t xml:space="preserve">Ownership and control are analytically distinct concepts that are frequently conflated in practice. The distinction matters because PRC commercial concealment architecture is specifically designed to separate them: nominal ownership is held by one party while effective operational control is exercised by another. An analysis that examines only the equity structure will miss the control relationship; an analysis that identifies control without documenting the ownership chain cannot satisfy the 50 Percent Rule.</w:t>
      </w:r>
    </w:p>
    <w:p>
      <w:pPr>
        <w:spacing w:after="100" w:before="60"/>
        <w:jc w:val="both"/>
      </w:pPr>
      <w:r>
        <w:rPr>
          <w:rFonts w:ascii="Georgia" w:cs="Georgia" w:eastAsia="Georgia" w:hAnsi="Georgia"/>
          <w:sz w:val="22"/>
          <w:szCs w:val="22"/>
        </w:rPr>
        <w:t xml:space="preserve">Ownership is a legal determination based on documented equity interests—who holds shares, in what proportion, through what chain of intermediate entities. For OFAC purposes, ownership is assessed on an aggregate basis: an entity owned 50 percent or more in the aggregate by one or more blocked persons is itself treated as blocked, regardless of whether it is separately listed on the SDN List.</w:t>
      </w:r>
    </w:p>
    <w:p>
      <w:pPr>
        <w:spacing w:after="100" w:before="60"/>
        <w:jc w:val="both"/>
      </w:pPr>
      <w:r>
        <w:rPr>
          <w:rFonts w:ascii="Georgia" w:cs="Georgia" w:eastAsia="Georgia" w:hAnsi="Georgia"/>
          <w:sz w:val="22"/>
          <w:szCs w:val="22"/>
        </w:rPr>
        <w:t xml:space="preserve">Control is operationally broader and documentarily harder. For OFAC purposes, control refers to the ability to determine the major actions of an entity—through ownership, contract, financing, board appointment, or any other mechanism. For CFIUS purposes, control means the power to determine, direct, or decide important matters affecting the entity, including through veto rights, board composition, approval authority over significant decisions, and access to sensitive information.</w:t>
      </w:r>
    </w:p>
    <w:p>
      <w:pPr>
        <w:spacing w:after="100" w:before="60"/>
        <w:jc w:val="both"/>
      </w:pPr>
      <w:r>
        <w:rPr>
          <w:rFonts w:ascii="Georgia" w:cs="Georgia" w:eastAsia="Georgia" w:hAnsi="Georgia"/>
          <w:sz w:val="22"/>
          <w:szCs w:val="22"/>
        </w:rPr>
        <w:t xml:space="preserve">An entity may therefore be below the 50 Percent Rule threshold on equity ownership while remaining subject to effective PRC state control through contractual arrangements, financing dependency, board appointments, or operational integration. Both inquiries must be conducted independently; examining only the equity structure will miss the control relationship, and identifying control without documenting the ownership chain cannot satisfy the 50 Percent Rule.</w:t>
      </w:r>
    </w:p>
    <w:p>
      <w:pPr>
        <w:pStyle w:val="Heading2"/>
        <w:spacing w:after="80" w:before="240"/>
      </w:pPr>
      <w:r>
        <w:rPr>
          <w:rFonts w:ascii="Arial" w:cs="Arial" w:eastAsia="Arial" w:hAnsi="Arial"/>
          <w:b/>
          <w:bCs/>
          <w:color w:val="2F5496"/>
          <w:sz w:val="24"/>
          <w:szCs w:val="24"/>
        </w:rPr>
        <w:t xml:space="preserve">3.2 OFAC’s 50 Percent Rule and Its Limits</w:t>
      </w:r>
    </w:p>
    <w:p>
      <w:pPr>
        <w:spacing w:after="100" w:before="60"/>
        <w:jc w:val="both"/>
      </w:pPr>
      <w:r>
        <w:rPr>
          <w:rFonts w:ascii="Georgia" w:cs="Georgia" w:eastAsia="Georgia" w:hAnsi="Georgia"/>
          <w:sz w:val="22"/>
          <w:szCs w:val="22"/>
        </w:rPr>
        <w:t xml:space="preserve">OFAC’s 50 Percent Rule is the most operationally specific beneficial ownership test in the U.S. enforcement toolkit. It provides a bright-line threshold—aggregate ownership of 50 percent or more by one or more blocked persons—and applies automatically, without a separate designation, to entities meeting that threshold. The rule was designed to prevent circumvention of designation through the interposition of nominally undesignated entities in an ownership chain.</w:t>
      </w:r>
    </w:p>
    <w:p>
      <w:pPr>
        <w:spacing w:after="100" w:before="60"/>
        <w:jc w:val="both"/>
      </w:pPr>
      <w:r>
        <w:rPr>
          <w:rFonts w:ascii="Georgia" w:cs="Georgia" w:eastAsia="Georgia" w:hAnsi="Georgia"/>
          <w:sz w:val="22"/>
          <w:szCs w:val="22"/>
        </w:rPr>
        <w:t xml:space="preserve">Applied to PRC commercial concealment, the 50 Percent Rule has two practical limitations that integrated methodology must account for. First, it is a threshold test applied to equity ownership. It does not capture effective control exercised through mechanisms other than equity—management contracts, loan agreements with control provisions, nominee arrangements, VIE structures, or state-directed appointment authority. An entity that is 49 percent owned by a blocked person but operationally controlled through contractual mechanisms falls outside the rule’s automatic application, even though its functional relationship to the blocked person may be indistinguishable from one that triggers the rule.</w:t>
      </w:r>
    </w:p>
    <w:p>
      <w:pPr>
        <w:spacing w:after="100" w:before="60"/>
        <w:jc w:val="both"/>
      </w:pPr>
      <w:r>
        <w:rPr>
          <w:rFonts w:ascii="Georgia" w:cs="Georgia" w:eastAsia="Georgia" w:hAnsi="Georgia"/>
          <w:sz w:val="22"/>
          <w:szCs w:val="22"/>
        </w:rPr>
        <w:t xml:space="preserve">Second, layered ownership structures are specifically designed to prevent any single link from crossing the threshold: a multi-layer chain with each link held below 50 percent can maintain effective operational connectivity while keeping aggregate ownership well below the trigger level. Open-source tracing of such chains is analytically challenging and produces probabilistic rather than definitive conclusions. The 50 Percent Rule analysis is a necessary starting point, not a sufficient endpoint.</w:t>
      </w:r>
    </w:p>
    <w:p>
      <w:pPr>
        <w:spacing w:after="100" w:before="60"/>
        <w:jc w:val="both"/>
      </w:pPr>
      <w:r>
        <w:rPr>
          <w:rFonts w:ascii="Georgia" w:cs="Georgia" w:eastAsia="Georgia" w:hAnsi="Georgia"/>
          <w:sz w:val="22"/>
          <w:szCs w:val="22"/>
        </w:rPr>
        <w:t xml:space="preserve">Where open-source ownership tracing cannot establish a threshold-triggering ownership chain, the analysis shifts to OFAC’s totality-of-circumstances standard, which applies in designation analysis independent of the 50 Percent Rule. That standard permits OFAC to consider all available evidence of the relationship between an entity and a designated person, including non-equity control mechanisms. For state-nexus analysis, this standard is more analytically useful than the 50 Percent Rule in cases of sophisticated concealment, because it permits evidence of functional integration—operational dependency, financial flows, personnel overlap, and protective state relationships—to inform the designation analysis even where the equity structure does not independently support it.</w:t>
      </w:r>
    </w:p>
    <w:p>
      <w:pPr>
        <w:pStyle w:val="Heading2"/>
        <w:spacing w:after="80" w:before="240"/>
      </w:pPr>
      <w:r>
        <w:rPr>
          <w:rFonts w:ascii="Arial" w:cs="Arial" w:eastAsia="Arial" w:hAnsi="Arial"/>
          <w:b/>
          <w:bCs/>
          <w:color w:val="2F5496"/>
          <w:sz w:val="24"/>
          <w:szCs w:val="24"/>
        </w:rPr>
        <w:t xml:space="preserve">3.3 Nominee and Layered Ownership Structures</w:t>
      </w:r>
    </w:p>
    <w:p>
      <w:pPr>
        <w:spacing w:after="100" w:before="60"/>
        <w:jc w:val="both"/>
      </w:pPr>
      <w:r>
        <w:rPr>
          <w:rFonts w:ascii="Georgia" w:cs="Georgia" w:eastAsia="Georgia" w:hAnsi="Georgia"/>
          <w:sz w:val="22"/>
          <w:szCs w:val="22"/>
        </w:rPr>
        <w:t xml:space="preserve">Nominee arrangements are the most basic beneficial ownership concealment mechanism. A nominee holds legal title to shares or a directorship on behalf of the actual beneficial owner, who retains effective control through a private agreement. From the perspective of a corporate registry, the nominee appears to be the owner or director. The beneficial owner does not appear at all.</w:t>
      </w:r>
    </w:p>
    <w:p>
      <w:pPr>
        <w:spacing w:after="100" w:before="60"/>
        <w:jc w:val="both"/>
      </w:pPr>
      <w:r>
        <w:rPr>
          <w:rFonts w:ascii="Georgia" w:cs="Georgia" w:eastAsia="Georgia" w:hAnsi="Georgia"/>
          <w:sz w:val="22"/>
          <w:szCs w:val="22"/>
        </w:rPr>
        <w:t xml:space="preserve">Indicators of nominee arrangements in PRC commercial structures include: registered agents or professional nominee service providers appearing as directors or shareholders across multiple unrelated entities; natural-person directors with no discoverable independent commercial activity outside their nominal directorship roles; director and shareholder addresses that are shared with known nominee service providers in concealment jurisdictions; and corporate structures with multiple layers of identical or near-identical ownership proportions that do not reflect any discernible commercial rationale.</w:t>
      </w:r>
    </w:p>
    <w:p>
      <w:pPr>
        <w:spacing w:after="100" w:before="60"/>
        <w:jc w:val="both"/>
      </w:pPr>
      <w:r>
        <w:rPr>
          <w:rFonts w:ascii="Georgia" w:cs="Georgia" w:eastAsia="Georgia" w:hAnsi="Georgia"/>
          <w:sz w:val="22"/>
          <w:szCs w:val="22"/>
        </w:rPr>
        <w:t xml:space="preserve">FinCEN’s Customer Due Diligence rule requires covered financial institutions to identify and verify the beneficial owners of legal entity customers—defined as natural persons who directly or indirectly own 25 percent or more of the equity interests of the entity, plus one individual with significant management responsibility. The rule applies at account opening and at triggering events. It creates a compliance obligation but does not itself produce a verified beneficial ownership record for enforcement purposes; the quality of CDD beneficial ownership information depends on the accuracy of customer-provided documentation, which is precisely the variable that PRC commercial concealment is designed to manipulate.</w:t>
      </w:r>
    </w:p>
    <w:p>
      <w:pPr>
        <w:spacing w:after="100" w:before="60"/>
        <w:jc w:val="both"/>
      </w:pPr>
      <w:r>
        <w:rPr>
          <w:rFonts w:ascii="Georgia" w:cs="Georgia" w:eastAsia="Georgia" w:hAnsi="Georgia"/>
          <w:sz w:val="22"/>
          <w:szCs w:val="22"/>
        </w:rPr>
        <w:t xml:space="preserve">For open-source beneficial ownership tracing, the most productive sources are corporate registries in jurisdictions with meaningful disclosure requirements (the United Kingdom, Australia, the EU post-AMLD5), cross-referenced against known PRC state-affiliated entity registries, OFAC SDN List cross-references, and published investigative records. Ownership chains passing through low-disclosure jurisdictions—BVI, Cayman Islands, Seychelles—create a structural ceiling that compulsory legal process is required to pierce; the appropriate response is to document the tracing ceiling explicitly and specify what additional process would close the gap.</w:t>
      </w:r>
    </w:p>
    <w:p>
      <w:pPr>
        <w:pStyle w:val="Heading2"/>
        <w:spacing w:after="80" w:before="240"/>
      </w:pPr>
      <w:r>
        <w:rPr>
          <w:rFonts w:ascii="Arial" w:cs="Arial" w:eastAsia="Arial" w:hAnsi="Arial"/>
          <w:b/>
          <w:bCs/>
          <w:color w:val="2F5496"/>
          <w:sz w:val="24"/>
          <w:szCs w:val="24"/>
        </w:rPr>
        <w:t xml:space="preserve">3.4 Variable Interest Entity Architecture</w:t>
      </w:r>
    </w:p>
    <w:p>
      <w:pPr>
        <w:spacing w:after="100" w:before="60"/>
        <w:jc w:val="both"/>
      </w:pPr>
      <w:r>
        <w:rPr>
          <w:rFonts w:ascii="Georgia" w:cs="Georgia" w:eastAsia="Georgia" w:hAnsi="Georgia"/>
          <w:sz w:val="22"/>
          <w:szCs w:val="22"/>
        </w:rPr>
        <w:t xml:space="preserve">The variable interest entity structure is a PRC-specific ownership architecture developed to enable PRC technology and media companies to attract foreign capital while maintaining nominal PRC ownership of regulated assets. The VIE structure does not transfer equity to the foreign investor. Instead, a PRC-domiciled operating company (the VIE) enters into contractual arrangements with a wholly foreign-owned enterprise (WFOE)—typically held through an offshore entity that foreign investors can own—that give the WFOE effective operational control and economic rights without equity ownership.</w:t>
      </w:r>
    </w:p>
    <w:p>
      <w:pPr>
        <w:spacing w:after="100" w:before="60"/>
        <w:jc w:val="both"/>
      </w:pPr>
      <w:r>
        <w:rPr>
          <w:rFonts w:ascii="Georgia" w:cs="Georgia" w:eastAsia="Georgia" w:hAnsi="Georgia"/>
          <w:sz w:val="22"/>
          <w:szCs w:val="22"/>
        </w:rPr>
        <w:t xml:space="preserve">The contractual arrangements typically include an exclusive services agreement under which the VIE pays substantially all of its revenue to the WFOE; a loan agreement under which the WFOE finances the VIE’s registered capital; a share pledge agreement under which the VIE’s PRC shareholders pledge their shares to the WFOE; and an option agreement giving the WFOE the right to purchase the VIE’s equity when and if permitted by PRC law. Together, these agreements replicate the economic and control position of ownership without the equity transfer.</w:t>
      </w:r>
    </w:p>
    <w:p>
      <w:pPr>
        <w:spacing w:after="100" w:before="60"/>
        <w:jc w:val="both"/>
      </w:pPr>
      <w:r>
        <w:rPr>
          <w:rFonts w:ascii="Georgia" w:cs="Georgia" w:eastAsia="Georgia" w:hAnsi="Georgia"/>
          <w:sz w:val="22"/>
          <w:szCs w:val="22"/>
        </w:rPr>
        <w:t xml:space="preserve">For CFIUS purposes, VIE architecture raises a covered-transaction question when a foreign investor acquires the offshore holding entity that contractually controls the PRC VIE, potentially resulting in foreign government control of a U.S. nexus business. CFIUS has examined VIE structures in mandatory declaration contexts, particularly where the VIE holds or processes sensitive U.S. personal data or operates critical infrastructure.</w:t>
      </w:r>
    </w:p>
    <w:p>
      <w:pPr>
        <w:spacing w:after="100" w:before="60"/>
        <w:jc w:val="both"/>
      </w:pPr>
      <w:r>
        <w:rPr>
          <w:rFonts w:ascii="Georgia" w:cs="Georgia" w:eastAsia="Georgia" w:hAnsi="Georgia"/>
          <w:sz w:val="22"/>
          <w:szCs w:val="22"/>
        </w:rPr>
        <w:t xml:space="preserve">For PRC commercial state-nexus analysis, the VIE structure is analytically significant in a different direction. The same contractual-control architecture that enables foreign investors to hold economic rights in PRC regulated entities also enables PRC state organs to exercise effective operational control over nominally foreign-held commercial structures without appearing in the equity record. A VIE-style contractual arrangement in which the contractual counterparty is a PRC state-affiliated entity—rather than a WFOE—creates effective state control without OFAC-threshold-triggering equity ownership. Identifying this pattern requires examining the contractual architecture, not just the equity chain.</w:t>
      </w:r>
    </w:p>
    <w:p>
      <w:pPr>
        <w:spacing w:after="100" w:before="60"/>
        <w:jc w:val="both"/>
      </w:pPr>
      <w:r>
        <w:rPr>
          <w:rFonts w:ascii="Georgia" w:cs="Georgia" w:eastAsia="Georgia" w:hAnsi="Georgia"/>
          <w:sz w:val="22"/>
          <w:szCs w:val="22"/>
        </w:rPr>
        <w:t xml:space="preserve">VIE structures also present a common innocent explanation problem: VIE architecture is standard commercial practice for PRC technology companies seeking foreign investment and does not, by itself, indicate state nexus. The relevant question is not whether the structure uses VIE-style contractual arrangements but whether the counterparty has a documented PRC state relationship and whether the arrangements serve a concealment function the equity structure alone cannot explain.</w:t>
      </w:r>
    </w:p>
    <w:p>
      <w:pPr>
        <w:pStyle w:val="Heading2"/>
        <w:spacing w:after="80" w:before="240"/>
      </w:pPr>
      <w:r>
        <w:rPr>
          <w:rFonts w:ascii="Arial" w:cs="Arial" w:eastAsia="Arial" w:hAnsi="Arial"/>
          <w:b/>
          <w:bCs/>
          <w:color w:val="2F5496"/>
          <w:sz w:val="24"/>
          <w:szCs w:val="24"/>
        </w:rPr>
        <w:t xml:space="preserve">3.5 Layered Holding Structures and Aggregation</w:t>
      </w:r>
    </w:p>
    <w:p>
      <w:pPr>
        <w:spacing w:after="100" w:before="60"/>
        <w:jc w:val="both"/>
      </w:pPr>
      <w:r>
        <w:rPr>
          <w:rFonts w:ascii="Georgia" w:cs="Georgia" w:eastAsia="Georgia" w:hAnsi="Georgia"/>
          <w:sz w:val="22"/>
          <w:szCs w:val="22"/>
        </w:rPr>
        <w:t xml:space="preserve">Layered holding structures use intermediate entities—commonly in offshore or low-transparency jurisdictions—interposed between the ultimate beneficial owner and the operating entity. The architecture serves multiple concealment functions simultaneously: it separates each visible link in the ownership chain from the ultimate beneficial owner by a jurisdictional boundary; it reduces the visibility of any single link below disclosure and threshold-triggering levels; and it creates aggregation problems that prevent any single analytical tool from capturing the full ownership picture.</w:t>
      </w:r>
    </w:p>
    <w:p>
      <w:pPr>
        <w:spacing w:after="100" w:before="60"/>
        <w:jc w:val="both"/>
      </w:pPr>
      <w:r>
        <w:rPr>
          <w:rFonts w:ascii="Georgia" w:cs="Georgia" w:eastAsia="Georgia" w:hAnsi="Georgia"/>
          <w:sz w:val="22"/>
          <w:szCs w:val="22"/>
        </w:rPr>
        <w:t xml:space="preserve">The aggregation problem is specific to threshold-based rules. OFAC’s 50 Percent Rule aggregates ownership interests held by one or more blocked persons. But open-source analysis rarely permits reliable aggregation across a multi-jurisdictional layered structure, because intermediate-layer ownership records are often confidential or incomplete. An analyst who can document only the first two links in a four-layer chain cannot reliably apply the aggregation rule to the operating entity.</w:t>
      </w:r>
    </w:p>
    <w:p>
      <w:pPr>
        <w:spacing w:after="100" w:before="60"/>
        <w:jc w:val="both"/>
      </w:pPr>
      <w:r>
        <w:rPr>
          <w:rFonts w:ascii="Georgia" w:cs="Georgia" w:eastAsia="Georgia" w:hAnsi="Georgia"/>
          <w:sz w:val="22"/>
          <w:szCs w:val="22"/>
        </w:rPr>
        <w:t xml:space="preserve">The methodology response to layered structures is to document the chain as far as open-source records permit, identify the jurisdictional ceiling where tracing becomes unreliable or impossible, and assess the structural pattern—not just the documented links—as evidence. A holding structure that is architecturally more complex than its commercial activity warrants, uses multiple jurisdictions known for nominee services, and has no discernible commercial rationale for the intermediate layers is itself an indicator relevant to the Enablement assessment, even where the terminal ownership cannot be conclusively documented. That indicator requires corroboration from other domains before it supports an Enablement finding, but it is not analytically inert.</w:t>
      </w:r>
    </w:p>
    <w:p>
      <w:pPr>
        <w:pStyle w:val="Heading2"/>
        <w:spacing w:after="80" w:before="240"/>
      </w:pPr>
      <w:r>
        <w:rPr>
          <w:rFonts w:ascii="Arial" w:cs="Arial" w:eastAsia="Arial" w:hAnsi="Arial"/>
          <w:b/>
          <w:bCs/>
          <w:color w:val="2F5496"/>
          <w:sz w:val="24"/>
          <w:szCs w:val="24"/>
        </w:rPr>
        <w:t xml:space="preserve">3.6 The Effective Control Standard and Its Application</w:t>
      </w:r>
    </w:p>
    <w:p>
      <w:pPr>
        <w:spacing w:after="100" w:before="60"/>
        <w:jc w:val="both"/>
      </w:pPr>
      <w:r>
        <w:rPr>
          <w:rFonts w:ascii="Georgia" w:cs="Georgia" w:eastAsia="Georgia" w:hAnsi="Georgia"/>
          <w:sz w:val="22"/>
          <w:szCs w:val="22"/>
        </w:rPr>
        <w:t xml:space="preserve">Where the equity tracing analysis does not independently support an ownership-based finding, the effective control standard provides an alternative analytical path. Control, as the concept is used across OFAC, CFIUS, and FinCEN frameworks, is not limited to formal equity ownership. It encompasses any mechanism through which a person can determine the major actions of an entity—including contractual rights, financing dependency, board appointment authority, veto rights over significant decisions, and access to sensitive operational information.</w:t>
      </w:r>
    </w:p>
    <w:p>
      <w:pPr>
        <w:spacing w:after="100" w:before="60"/>
        <w:jc w:val="both"/>
      </w:pPr>
      <w:r>
        <w:rPr>
          <w:rFonts w:ascii="Georgia" w:cs="Georgia" w:eastAsia="Georgia" w:hAnsi="Georgia"/>
          <w:sz w:val="22"/>
          <w:szCs w:val="22"/>
        </w:rPr>
        <w:t xml:space="preserve">For open-source analysis, effective control indicators relevant to PRC state-nexus assessment include: executive appointment patterns in which senior officers have prior documented service in PRC state organs or military-affiliated institutions, in roles that are operationally inconsistent with independent commercial appointment; financing arrangements in which the entity’s capital is sourced from PRC policy banks, state-controlled funds, or entities with documented PRC state affiliations at terms inconsistent with arm’s-length commercial lending; single-customer or single-program commercial dependencies in which the entity’s revenue is concentrated in PRC state entities to a degree that makes the state the effective determinant of the entity’s commercial survival; and access to state-restricted goods, infrastructure, or data that is inconsistent with the entity’s nominal commercial status and that would require state authorization to obtain.</w:t>
      </w:r>
    </w:p>
    <w:p>
      <w:pPr>
        <w:spacing w:after="100" w:before="60"/>
        <w:jc w:val="both"/>
      </w:pPr>
      <w:r>
        <w:rPr>
          <w:rFonts w:ascii="Georgia" w:cs="Georgia" w:eastAsia="Georgia" w:hAnsi="Georgia"/>
          <w:sz w:val="22"/>
          <w:szCs w:val="22"/>
        </w:rPr>
        <w:t xml:space="preserve">The effective control standard is the most analytically flexible of the available tools and the most vulnerable to overclaiming: each indicator must be assessed against its common innocent explanation before it is treated as probative of state control, and no single effective-control indicator independently supports a control finding at high confidence without corroboration from other domains.</w:t>
      </w:r>
    </w:p>
    <w:p>
      <w:r>
        <w:br w:type="page"/>
      </w:r>
    </w:p>
    <w:p>
      <w:pPr>
        <w:pStyle w:val="Heading1"/>
        <w:spacing w:after="80" w:before="360"/>
      </w:pPr>
      <w:r>
        <w:rPr>
          <w:rFonts w:ascii="Arial" w:cs="Arial" w:eastAsia="Arial" w:hAnsi="Arial"/>
          <w:b/>
          <w:bCs/>
          <w:color w:val="1F3864"/>
          <w:sz w:val="28"/>
          <w:szCs w:val="28"/>
        </w:rPr>
        <w:t xml:space="preserve">4. PROXY AND CUTOUT INDICATORS: THE ENABLEMENT EVIDENTIARY MATRIX</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An Enablement assessment requires convergent evidence across multiple indicator categories. No single indicator type is independently sufficient. The matrix below maps the six primary evidence domains to their evidentiary strengths, reliability concerns, and institutional relevance. The corroboration rule governs throughout: indicators from independent domains must be assessed in combination; single-domain findings support at most a moderate-confidence Support assessment. Each indicator must also be assessed against its common innocent explanation. An innocent explanation is not disqualified by being improbable in a specific case; it must be affirmatively weighed against the specific evidentiary record and found wanting on identifiable grounds before the indicator is treated as probative of Enablement rather than Support. Indicators that are common across large PRC commercial structures are not probative of Enablement unless the record also supports a specific concealment or insulation function tied to state operational requirements.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380"/>
        <w:gridCol w:w="1100"/>
        <w:gridCol w:w="1280"/>
        <w:gridCol w:w="1280"/>
        <w:gridCol w:w="1080"/>
        <w:gridCol w:w="1080"/>
        <w:gridCol w:w="1080"/>
      </w:tblGrid>
      <w:tr>
        <w:trPr>
          <w:tblHeader/>
        </w:trPr>
        <w:tc>
          <w:tcPr>
            <w:tcW w:type="dxa" w:w="108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tcPr>
          <w:p>
            <w:pPr>
              <w:spacing w:after="0" w:before="0"/>
              <w:jc w:val="left"/>
            </w:pPr>
            <w:r>
              <w:rPr>
                <w:rFonts w:ascii="Arial" w:cs="Arial" w:eastAsia="Arial" w:hAnsi="Arial"/>
                <w:b/>
                <w:bCs/>
                <w:color w:val="FFFFFF"/>
                <w:sz w:val="18"/>
                <w:szCs w:val="18"/>
              </w:rPr>
              <w:t xml:space="preserve">Evidence Domain</w:t>
            </w:r>
          </w:p>
        </w:tc>
        <w:tc>
          <w:tcPr>
            <w:tcW w:type="dxa" w:w="138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tcPr>
          <w:p>
            <w:pPr>
              <w:spacing w:after="0" w:before="0"/>
              <w:jc w:val="left"/>
            </w:pPr>
            <w:r>
              <w:rPr>
                <w:rFonts w:ascii="Arial" w:cs="Arial" w:eastAsia="Arial" w:hAnsi="Arial"/>
                <w:b/>
                <w:bCs/>
                <w:color w:val="FFFFFF"/>
                <w:sz w:val="18"/>
                <w:szCs w:val="18"/>
              </w:rPr>
              <w:t xml:space="preserve">Example Indicators</w:t>
            </w:r>
          </w:p>
        </w:tc>
        <w:tc>
          <w:tcPr>
            <w:tcW w:type="dxa" w:w="11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tcPr>
          <w:p>
            <w:pPr>
              <w:spacing w:after="0" w:before="0"/>
              <w:jc w:val="left"/>
            </w:pPr>
            <w:r>
              <w:rPr>
                <w:rFonts w:ascii="Arial" w:cs="Arial" w:eastAsia="Arial" w:hAnsi="Arial"/>
                <w:b/>
                <w:bCs/>
                <w:color w:val="FFFFFF"/>
                <w:sz w:val="18"/>
                <w:szCs w:val="18"/>
              </w:rPr>
              <w:t xml:space="preserve">Reliability Concerns</w:t>
            </w:r>
          </w:p>
        </w:tc>
        <w:tc>
          <w:tcPr>
            <w:tcW w:type="dxa" w:w="128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tcPr>
          <w:p>
            <w:pPr>
              <w:spacing w:after="0" w:before="0"/>
              <w:jc w:val="left"/>
            </w:pPr>
            <w:r>
              <w:rPr>
                <w:rFonts w:ascii="Arial" w:cs="Arial" w:eastAsia="Arial" w:hAnsi="Arial"/>
                <w:b/>
                <w:bCs/>
                <w:color w:val="FFFFFF"/>
                <w:sz w:val="18"/>
                <w:szCs w:val="18"/>
              </w:rPr>
              <w:t xml:space="preserve">What It May Support</w:t>
            </w:r>
          </w:p>
        </w:tc>
        <w:tc>
          <w:tcPr>
            <w:tcW w:type="dxa" w:w="128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tcPr>
          <w:p>
            <w:pPr>
              <w:spacing w:after="0" w:before="0"/>
              <w:jc w:val="left"/>
            </w:pPr>
            <w:r>
              <w:rPr>
                <w:rFonts w:ascii="Arial" w:cs="Arial" w:eastAsia="Arial" w:hAnsi="Arial"/>
                <w:b/>
                <w:bCs/>
                <w:color w:val="FFFFFF"/>
                <w:sz w:val="18"/>
                <w:szCs w:val="18"/>
              </w:rPr>
              <w:t xml:space="preserve">What It Does Not Establish</w:t>
            </w:r>
          </w:p>
        </w:tc>
        <w:tc>
          <w:tcPr>
            <w:tcW w:type="dxa" w:w="108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tcPr>
          <w:p>
            <w:pPr>
              <w:spacing w:after="0" w:before="0"/>
              <w:jc w:val="left"/>
            </w:pPr>
            <w:r>
              <w:rPr>
                <w:rFonts w:ascii="Arial" w:cs="Arial" w:eastAsia="Arial" w:hAnsi="Arial"/>
                <w:b/>
                <w:bCs/>
                <w:color w:val="FFFFFF"/>
                <w:sz w:val="18"/>
                <w:szCs w:val="18"/>
              </w:rPr>
              <w:t xml:space="preserve">Common Innocent Explanation</w:t>
            </w:r>
          </w:p>
        </w:tc>
        <w:tc>
          <w:tcPr>
            <w:tcW w:type="dxa" w:w="108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tcPr>
          <w:p>
            <w:pPr>
              <w:spacing w:after="0" w:before="0"/>
              <w:jc w:val="left"/>
            </w:pPr>
            <w:r>
              <w:rPr>
                <w:rFonts w:ascii="Arial" w:cs="Arial" w:eastAsia="Arial" w:hAnsi="Arial"/>
                <w:b/>
                <w:bCs/>
                <w:color w:val="FFFFFF"/>
                <w:sz w:val="18"/>
                <w:szCs w:val="18"/>
              </w:rPr>
              <w:t xml:space="preserve">Required Corroboration</w:t>
            </w:r>
          </w:p>
        </w:tc>
        <w:tc>
          <w:tcPr>
            <w:tcW w:type="dxa" w:w="108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tcPr>
          <w:p>
            <w:pPr>
              <w:spacing w:after="0" w:before="0"/>
              <w:jc w:val="left"/>
            </w:pPr>
            <w:r>
              <w:rPr>
                <w:rFonts w:ascii="Arial" w:cs="Arial" w:eastAsia="Arial" w:hAnsi="Arial"/>
                <w:b/>
                <w:bCs/>
                <w:color w:val="FFFFFF"/>
                <w:sz w:val="18"/>
                <w:szCs w:val="18"/>
              </w:rPr>
              <w:t xml:space="preserve">Institutional Relevance</w:t>
            </w:r>
          </w:p>
        </w:tc>
      </w:tr>
      <w:tr>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Structural / Corporate</w:t>
            </w:r>
          </w:p>
        </w:tc>
        <w:tc>
          <w:tcPr>
            <w:tcW w:type="dxa" w:w="13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Incorporation docs, registry filings, beneficial ownership records, UBO declarations</w:t>
            </w:r>
          </w:p>
        </w:tc>
        <w:tc>
          <w:tcPr>
            <w:tcW w:type="dxa" w:w="110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May be incomplete or falsified in concealment jurisdictions; nominees may be undisclosed</w:t>
            </w:r>
          </w:p>
        </w:tc>
        <w:tc>
          <w:tcPr>
            <w:tcW w:type="dxa" w:w="12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Presence, Linkage, Linkage-to-Support boundary</w:t>
            </w:r>
          </w:p>
        </w:tc>
        <w:tc>
          <w:tcPr>
            <w:tcW w:type="dxa" w:w="12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Does not establish operational direction or Enablement alone</w:t>
            </w:r>
          </w:p>
        </w:tc>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Legitimate complex ownership for tax, liability, or capital-raise purposes</w:t>
            </w:r>
          </w:p>
        </w:tc>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Two or more independent domains</w:t>
            </w:r>
          </w:p>
        </w:tc>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OFAC, FinCEN, CFIUS</w:t>
            </w:r>
          </w:p>
        </w:tc>
      </w:tr>
      <w:tr>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Financial Flows</w:t>
            </w:r>
          </w:p>
        </w:tc>
        <w:tc>
          <w:tcPr>
            <w:tcW w:type="dxa" w:w="13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Transaction records, correspondent banking data, FinCEN filings, OFAC SDN cross-reference</w:t>
            </w:r>
          </w:p>
        </w:tc>
        <w:tc>
          <w:tcPr>
            <w:tcW w:type="dxa" w:w="110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Layered intermediaries may obscure origin/destination; open-source tracing limited at depth</w:t>
            </w:r>
          </w:p>
        </w:tc>
        <w:tc>
          <w:tcPr>
            <w:tcW w:type="dxa" w:w="12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Support (funding pattern), Enablement (pass-through or no independent commercial purpose)</w:t>
            </w:r>
          </w:p>
        </w:tc>
        <w:tc>
          <w:tcPr>
            <w:tcW w:type="dxa" w:w="12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Does not establish Direct Tasking without operational evidence</w:t>
            </w:r>
          </w:p>
        </w:tc>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Intercompany transfers, capital management, trade financing standard in PRC commercial groups</w:t>
            </w:r>
          </w:p>
        </w:tc>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Corporate records + operational indicators</w:t>
            </w:r>
          </w:p>
        </w:tc>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OFAC, FinCEN, DOJ</w:t>
            </w:r>
          </w:p>
        </w:tc>
      </w:tr>
      <w:tr>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Personnel / Appointment</w:t>
            </w:r>
          </w:p>
        </w:tc>
        <w:tc>
          <w:tcPr>
            <w:tcW w:type="dxa" w:w="13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Corporate registry, publicly available CVs, prior state-service records, board composition</w:t>
            </w:r>
          </w:p>
        </w:tc>
        <w:tc>
          <w:tcPr>
            <w:tcW w:type="dxa" w:w="110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Subject to deliberate obfuscation; quality varies by jurisdiction; silent appointments common</w:t>
            </w:r>
          </w:p>
        </w:tc>
        <w:tc>
          <w:tcPr>
            <w:tcW w:type="dxa" w:w="12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Linkage (affiliation), Support, Enablement (state-appointment pattern inconsistent with function)</w:t>
            </w:r>
          </w:p>
        </w:tc>
        <w:tc>
          <w:tcPr>
            <w:tcW w:type="dxa" w:w="12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Does not establish operational control without corroboration</w:t>
            </w:r>
          </w:p>
        </w:tc>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Revolving door between public and private sectors is common in many jurisdictions beyond PRC</w:t>
            </w:r>
          </w:p>
        </w:tc>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Financial or operational domain</w:t>
            </w:r>
          </w:p>
        </w:tc>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State, OFAC, CFIUS</w:t>
            </w:r>
          </w:p>
        </w:tc>
      </w:tr>
      <w:tr>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Operational Patterns</w:t>
            </w:r>
          </w:p>
        </w:tc>
        <w:tc>
          <w:tcPr>
            <w:tcW w:type="dxa" w:w="13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Procurement records, transaction counterparties, infrastructure access, client concentration</w:t>
            </w:r>
          </w:p>
        </w:tc>
        <w:tc>
          <w:tcPr>
            <w:tcW w:type="dxa" w:w="110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Requires independent sourcing; cannot rely on single investigative report</w:t>
            </w:r>
          </w:p>
        </w:tc>
        <w:tc>
          <w:tcPr>
            <w:tcW w:type="dxa" w:w="12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Support, Enablement (commercial function structurally inconsistent with independent operation)</w:t>
            </w:r>
          </w:p>
        </w:tc>
        <w:tc>
          <w:tcPr>
            <w:tcW w:type="dxa" w:w="12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Does not establish tasking relationship</w:t>
            </w:r>
          </w:p>
        </w:tc>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Specialization, niche markets, and government contracting are normal commercial activity</w:t>
            </w:r>
          </w:p>
        </w:tc>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Structural + financial corroboration</w:t>
            </w:r>
          </w:p>
        </w:tc>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OFAC, BIS, DOJ, State</w:t>
            </w:r>
          </w:p>
        </w:tc>
      </w:tr>
      <w:tr>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Protection / Toleration</w:t>
            </w:r>
          </w:p>
        </w:tc>
        <w:tc>
          <w:tcPr>
            <w:tcW w:type="dxa" w:w="13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Regulatory non-enforcement, preferential procurement, selective market access patterns</w:t>
            </w:r>
          </w:p>
        </w:tc>
        <w:tc>
          <w:tcPr>
            <w:tcW w:type="dxa" w:w="110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Difficult to document at high confidence without government process; may reflect corruption rather than state direction</w:t>
            </w:r>
          </w:p>
        </w:tc>
        <w:tc>
          <w:tcPr>
            <w:tcW w:type="dxa" w:w="12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Support (passive), Enablement (structural dependency on state protection to sustain commercial viability)</w:t>
            </w:r>
          </w:p>
        </w:tc>
        <w:tc>
          <w:tcPr>
            <w:tcW w:type="dxa" w:w="12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Does not establish active direction or operational tasking</w:t>
            </w:r>
          </w:p>
        </w:tc>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Regulatory capture and preferential treatment occur in commercial contexts without state-nexus implications</w:t>
            </w:r>
          </w:p>
        </w:tc>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At least two other independent domains</w:t>
            </w:r>
          </w:p>
        </w:tc>
        <w:tc>
          <w:tcPr>
            <w:tcW w:type="dxa" w:w="1080"/>
            <w:tcBorders>
              <w:top w:val="single" w:color="AABBD0" w:sz="2"/>
              <w:left w:val="single" w:color="AABBD0" w:sz="2"/>
              <w:bottom w:val="single" w:color="AABBD0" w:sz="2"/>
              <w:right w:val="single" w:color="AABBD0" w:sz="2"/>
            </w:tcBorders>
            <w:shd w:fill="FFFFFF"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OFAC, FinCEN, State</w:t>
            </w:r>
          </w:p>
        </w:tc>
      </w:tr>
      <w:tr>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VIE / Contractual Control</w:t>
            </w:r>
          </w:p>
        </w:tc>
        <w:tc>
          <w:tcPr>
            <w:tcW w:type="dxa" w:w="13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VIE agreements, management contracts, loan agreements with control provisions, option structures</w:t>
            </w:r>
          </w:p>
        </w:tc>
        <w:tc>
          <w:tcPr>
            <w:tcW w:type="dxa" w:w="110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Jurisdictional complexity; contract terms may be confidential; enforceability varies</w:t>
            </w:r>
          </w:p>
        </w:tc>
        <w:tc>
          <w:tcPr>
            <w:tcW w:type="dxa" w:w="12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Effective control finding (CFIUS standard); Enablement-level assessment where contractual integration serves concealment function</w:t>
            </w:r>
          </w:p>
        </w:tc>
        <w:tc>
          <w:tcPr>
            <w:tcW w:type="dxa" w:w="12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Does not satisfy OFAC 50% Rule without equity analysis; does not establish Direct Tasking</w:t>
            </w:r>
          </w:p>
        </w:tc>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VIE structures are standard for PRC technology companies seeking foreign investment and do not independently indicate state nexus</w:t>
            </w:r>
          </w:p>
        </w:tc>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Equity chain analysis required to establish OFAC ownership threshold</w:t>
            </w:r>
          </w:p>
        </w:tc>
        <w:tc>
          <w:tcPr>
            <w:tcW w:type="dxa" w:w="1080"/>
            <w:tcBorders>
              <w:top w:val="single" w:color="AABBD0" w:sz="2"/>
              <w:left w:val="single" w:color="AABBD0" w:sz="2"/>
              <w:bottom w:val="single" w:color="AABBD0" w:sz="2"/>
              <w:right w:val="single" w:color="AABBD0" w:sz="2"/>
            </w:tcBorders>
            <w:shd w:fill="EEF2F7" w:val="clear"/>
            <w:tcMar>
              <w:top w:type="dxa" w:w="80"/>
              <w:left w:type="dxa" w:w="100"/>
              <w:bottom w:type="dxa" w:w="80"/>
              <w:right w:type="dxa" w:w="100"/>
            </w:tcMar>
          </w:tcPr>
          <w:p>
            <w:pPr>
              <w:spacing w:after="0" w:before="0"/>
              <w:jc w:val="both"/>
            </w:pPr>
            <w:r>
              <w:rPr>
                <w:rFonts w:ascii="Georgia" w:cs="Georgia" w:eastAsia="Georgia" w:hAnsi="Georgia"/>
                <w:b w:val="false"/>
                <w:bCs w:val="false"/>
                <w:color w:val="222222"/>
                <w:sz w:val="20"/>
                <w:szCs w:val="20"/>
              </w:rPr>
              <w:t xml:space="preserve">CFIUS, OFAC, DOJ</w:t>
            </w:r>
          </w:p>
        </w:tc>
      </w:tr>
    </w:tbl>
    <w:p>
      <w:pPr>
        <w:spacing w:after="80" w:before="0"/>
      </w:pPr>
    </w:p>
    <w:p>
      <w:pPr>
        <w:pStyle w:val="Heading2"/>
        <w:spacing w:after="80" w:before="240"/>
      </w:pPr>
      <w:r>
        <w:rPr>
          <w:rFonts w:ascii="Arial" w:cs="Arial" w:eastAsia="Arial" w:hAnsi="Arial"/>
          <w:b/>
          <w:bCs/>
          <w:color w:val="2F5496"/>
          <w:sz w:val="24"/>
          <w:szCs w:val="24"/>
        </w:rPr>
        <w:t xml:space="preserve">4.1 Structural and Corporate Indicators</w:t>
      </w:r>
    </w:p>
    <w:p>
      <w:pPr>
        <w:spacing w:after="100" w:before="60"/>
        <w:jc w:val="both"/>
      </w:pPr>
      <w:r>
        <w:rPr>
          <w:rFonts w:ascii="Georgia" w:cs="Georgia" w:eastAsia="Georgia" w:hAnsi="Georgia"/>
          <w:sz w:val="22"/>
          <w:szCs w:val="22"/>
        </w:rPr>
        <w:t xml:space="preserve">Structural indicators are the most accessible category for open-source analysis and the most susceptible to innocent explanation. Incorporation in a concealment jurisdiction, use of nominee services, and multi-layer holding architecture are all common in legitimate commercial structures for tax, liability, and capital-raise purposes. The analytical question is not whether any of these features are present but whether their combination and character are consistent with an independent commercial purpose or whether the structural complexity serves a function that the entity’s commercial activity does not require.</w:t>
      </w:r>
    </w:p>
    <w:p>
      <w:pPr>
        <w:spacing w:after="100" w:before="60"/>
        <w:jc w:val="both"/>
      </w:pPr>
      <w:r>
        <w:rPr>
          <w:rFonts w:ascii="Georgia" w:cs="Georgia" w:eastAsia="Georgia" w:hAnsi="Georgia"/>
          <w:sz w:val="22"/>
          <w:szCs w:val="22"/>
        </w:rPr>
        <w:t xml:space="preserve">Indicators that shift the structural analysis toward Enablement: holding structures that are more complex than the commercial activity warrants, with no discernible commercial rationale for intermediate layers; repeated use of the same nominee service providers, registered agents, or legal counsel across multiple entities in an interconnected network; ownership proportions that are architecturally designed to fall just below threshold-triggering levels across multiple layers; and rapid incorporation and dissolution patterns in concealment jurisdictions that track known PRC operational timelines rather than commercial cycles.</w:t>
      </w:r>
    </w:p>
    <w:p>
      <w:pPr>
        <w:pStyle w:val="Heading2"/>
        <w:spacing w:after="80" w:before="240"/>
      </w:pPr>
      <w:r>
        <w:rPr>
          <w:rFonts w:ascii="Arial" w:cs="Arial" w:eastAsia="Arial" w:hAnsi="Arial"/>
          <w:b/>
          <w:bCs/>
          <w:color w:val="2F5496"/>
          <w:sz w:val="24"/>
          <w:szCs w:val="24"/>
        </w:rPr>
        <w:t xml:space="preserve">4.2 Financial Flow Indicators</w:t>
      </w:r>
    </w:p>
    <w:p>
      <w:pPr>
        <w:spacing w:after="100" w:before="60"/>
        <w:jc w:val="both"/>
      </w:pPr>
      <w:r>
        <w:rPr>
          <w:rFonts w:ascii="Georgia" w:cs="Georgia" w:eastAsia="Georgia" w:hAnsi="Georgia"/>
          <w:sz w:val="22"/>
          <w:szCs w:val="22"/>
        </w:rPr>
        <w:t xml:space="preserve">Financial flow analysis is among the most probative categories for Enablement assessments and among the most technically demanding for open-source work. The most significant financial indicators are those that are inconsistent with an independent commercial purpose: pass-through payment structures in which funds enter and exit an entity with no evident value-added commercial function; capital infusions from opaque sources at terms inconsistent with arm’s-length commercial lending; round-trip financing arrangements in which funds leave the entity and return through a different pathway with no evident commercial explanation; and pricing structures—below-market inputs, above-market procurement, or sustained commercial losses—that cannot be explained by normal business conditions.</w:t>
      </w:r>
    </w:p>
    <w:p>
      <w:pPr>
        <w:spacing w:after="100" w:before="60"/>
        <w:jc w:val="both"/>
      </w:pPr>
      <w:r>
        <w:rPr>
          <w:rFonts w:ascii="Georgia" w:cs="Georgia" w:eastAsia="Georgia" w:hAnsi="Georgia"/>
          <w:sz w:val="22"/>
          <w:szCs w:val="22"/>
        </w:rPr>
        <w:t xml:space="preserve">The common innocent explanation for complex financial structures in PRC-affiliated commercial groups is legitimate intercompany financial management, which is standard practice in large commercial conglomerates. The analytical discipline is to identify whether the specific financial pattern serves an evident commercial function or whether it serves only a concealment function. Financial flows with no evident commercial purpose, flowing between entities with documented PRC state affiliations, represent the strongest financial indicator of an Enablement relationship.</w:t>
      </w:r>
    </w:p>
    <w:p>
      <w:pPr>
        <w:pStyle w:val="Heading2"/>
        <w:spacing w:after="80" w:before="240"/>
      </w:pPr>
      <w:r>
        <w:rPr>
          <w:rFonts w:ascii="Arial" w:cs="Arial" w:eastAsia="Arial" w:hAnsi="Arial"/>
          <w:b/>
          <w:bCs/>
          <w:color w:val="2F5496"/>
          <w:sz w:val="24"/>
          <w:szCs w:val="24"/>
        </w:rPr>
        <w:t xml:space="preserve">4.3 Personnel and Appointment Indicators</w:t>
      </w:r>
    </w:p>
    <w:p>
      <w:pPr>
        <w:spacing w:after="100" w:before="60"/>
        <w:jc w:val="both"/>
      </w:pPr>
      <w:r>
        <w:rPr>
          <w:rFonts w:ascii="Georgia" w:cs="Georgia" w:eastAsia="Georgia" w:hAnsi="Georgia"/>
          <w:sz w:val="22"/>
          <w:szCs w:val="22"/>
        </w:rPr>
        <w:t xml:space="preserve">Personnel indicators are probative of state relationship but require careful handling. The presence of individuals with prior PRC government, military, or intelligence service in senior positions is a Linkage indicator, not independently an Enablement indicator. The Enablement-relevant question is whether the appointment pattern is inconsistent with the entity’s nominal commercial function: executives with military-industrial background in roles that require that background to serve the state’s operational requirements, rather than the entity’s commercial requirements, represent a stronger indicator than prior state service alone.</w:t>
      </w:r>
    </w:p>
    <w:p>
      <w:pPr>
        <w:spacing w:after="100" w:before="60"/>
        <w:jc w:val="both"/>
      </w:pPr>
      <w:r>
        <w:rPr>
          <w:rFonts w:ascii="Georgia" w:cs="Georgia" w:eastAsia="Georgia" w:hAnsi="Georgia"/>
          <w:sz w:val="22"/>
          <w:szCs w:val="22"/>
        </w:rPr>
        <w:t xml:space="preserve">Patterns of personnel circulation between a nominally private entity and PRC state-affiliated institutions—where individuals move from state institutions to the entity and back on timelines that track operational rather than commercial cycles—are particularly probative. The common innocent explanation is that PRC private-sector talent regularly comes from state-sector backgrounds, which is accurate and must be weighed. The analytical discipline is to assess whether the specific appointment pattern serves a discernible commercial function or whether it tracks state operational requirements.</w:t>
      </w:r>
    </w:p>
    <w:p>
      <w:pPr>
        <w:pStyle w:val="Heading2"/>
        <w:spacing w:after="80" w:before="240"/>
      </w:pPr>
      <w:r>
        <w:rPr>
          <w:rFonts w:ascii="Arial" w:cs="Arial" w:eastAsia="Arial" w:hAnsi="Arial"/>
          <w:b/>
          <w:bCs/>
          <w:color w:val="2F5496"/>
          <w:sz w:val="24"/>
          <w:szCs w:val="24"/>
        </w:rPr>
        <w:t xml:space="preserve">4.4 Operational Pattern Indicators</w:t>
      </w:r>
    </w:p>
    <w:p>
      <w:pPr>
        <w:spacing w:after="100" w:before="60"/>
        <w:jc w:val="both"/>
      </w:pPr>
      <w:r>
        <w:rPr>
          <w:rFonts w:ascii="Georgia" w:cs="Georgia" w:eastAsia="Georgia" w:hAnsi="Georgia"/>
          <w:sz w:val="22"/>
          <w:szCs w:val="22"/>
        </w:rPr>
        <w:t xml:space="preserve">Operational indicators address what the entity actually does as a commercial actor, and whether that activity is consistent with independent commercial operation or with service to state operational requirements. The most probative operational indicators are commercial activities that the entity could not plausibly sustain as an independent commercial actor: access to state-restricted goods, infrastructure, or procurement channels that require state authorization; single-customer dependencies on PRC state entities at a concentration level that makes commercial independence implausible; and commercial activities in sectors designated as military-civil fusion priorities that require technical access or authorizations inconsistent with private commercial status.</w:t>
      </w:r>
    </w:p>
    <w:p>
      <w:pPr>
        <w:spacing w:after="100" w:before="60"/>
        <w:jc w:val="both"/>
      </w:pPr>
      <w:r>
        <w:rPr>
          <w:rFonts w:ascii="Georgia" w:cs="Georgia" w:eastAsia="Georgia" w:hAnsi="Georgia"/>
          <w:sz w:val="22"/>
          <w:szCs w:val="22"/>
        </w:rPr>
        <w:t xml:space="preserve">Operational indicators are among the most difficult to document through open-source means and among the most convincing to institutional audiences when documented. Convergent operational evidence across multiple domains—technology-sector activity, state-entity customer concentration, and personnel with relevant state-institutional backgrounds—is difficult to attribute to coincidence and is directly relevant to the Enablement assessment.</w:t>
      </w:r>
    </w:p>
    <w:p>
      <w:pPr>
        <w:pStyle w:val="Heading2"/>
        <w:spacing w:after="80" w:before="240"/>
      </w:pPr>
      <w:r>
        <w:rPr>
          <w:rFonts w:ascii="Arial" w:cs="Arial" w:eastAsia="Arial" w:hAnsi="Arial"/>
          <w:b/>
          <w:bCs/>
          <w:color w:val="2F5496"/>
          <w:sz w:val="24"/>
          <w:szCs w:val="24"/>
        </w:rPr>
        <w:t xml:space="preserve">4.5 Protection and Toleration Indicators</w:t>
      </w:r>
    </w:p>
    <w:p>
      <w:pPr>
        <w:spacing w:after="100" w:before="60"/>
        <w:jc w:val="both"/>
      </w:pPr>
      <w:r>
        <w:rPr>
          <w:rFonts w:ascii="Georgia" w:cs="Georgia" w:eastAsia="Georgia" w:hAnsi="Georgia"/>
          <w:sz w:val="22"/>
          <w:szCs w:val="22"/>
        </w:rPr>
        <w:t xml:space="preserve">State protection and toleration indicators address the state’s side of the Enablement relationship: what does the state provide to the entity that sustains its commercial existence and its concealment function? The most probative indicators are patterns of selective non-enforcement—regulatory, tax, or law enforcement—that cannot be explained by the entity’s independent commercial merit; preferential access to state procurement, state-restricted markets, or state-controlled infrastructure that is not available to comparable private entities; and patterns of protection from foreign enforcement actions, sanctions exposure, or export control review that the entity’s commercial status would not independently warrant.</w:t>
      </w:r>
    </w:p>
    <w:p>
      <w:pPr>
        <w:spacing w:after="100" w:before="60"/>
        <w:jc w:val="both"/>
      </w:pPr>
      <w:r>
        <w:rPr>
          <w:rFonts w:ascii="Georgia" w:cs="Georgia" w:eastAsia="Georgia" w:hAnsi="Georgia"/>
          <w:sz w:val="22"/>
          <w:szCs w:val="22"/>
        </w:rPr>
        <w:t xml:space="preserve">Protection indicators are the hardest to document at high confidence through open-source means and the most subject to alternative explanation—selective enforcement and regulatory favoritism occur in commercial contexts across many jurisdictions without state-nexus implications. Their analytical value is as corroborating evidence in a multi-domain assessment, not as independent indicators of Enablement. A well-documented pattern of state protection for a specific entity, combined with structural, financial, and operational indicators, strengthens an Enablement assessment. Protection evidence alone does not.</w:t>
      </w:r>
    </w:p>
    <w:p>
      <w:r>
        <w:br w:type="page"/>
      </w:r>
    </w:p>
    <w:p>
      <w:pPr>
        <w:pStyle w:val="Heading1"/>
        <w:spacing w:after="80" w:before="360"/>
      </w:pPr>
      <w:r>
        <w:rPr>
          <w:rFonts w:ascii="Arial" w:cs="Arial" w:eastAsia="Arial" w:hAnsi="Arial"/>
          <w:b/>
          <w:bCs/>
          <w:color w:val="1F3864"/>
          <w:sz w:val="28"/>
          <w:szCs w:val="28"/>
        </w:rPr>
        <w:t xml:space="preserve">5. THE SUPPORT / ENABLEMENT BOUNDARY</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The boundary between Support and Enablement is the paper’s most consequential definitional line. It is also the place where analytical error most predictably occurs: analysts either collapse Support into Enablement without sufficient evidence of structural integration, or treat the absence of Direct Tasking proof as reason to withhold an Enablement assessment that the evidentiary record would support. Both errors produce institutional consequences—the first by overclaiming, the second by producing findings that no institutional consumer can act on.</w:t>
      </w:r>
    </w:p>
    <w:p>
      <w:pPr>
        <w:pStyle w:val="Heading2"/>
        <w:spacing w:after="80" w:before="240"/>
      </w:pPr>
      <w:r>
        <w:rPr>
          <w:rFonts w:ascii="Arial" w:cs="Arial" w:eastAsia="Arial" w:hAnsi="Arial"/>
          <w:b/>
          <w:bCs/>
          <w:color w:val="2F5496"/>
          <w:sz w:val="24"/>
          <w:szCs w:val="24"/>
        </w:rPr>
        <w:t xml:space="preserve">5.1 The Core Distinction</w:t>
      </w:r>
    </w:p>
    <w:p>
      <w:pPr>
        <w:spacing w:after="100" w:before="60"/>
        <w:jc w:val="both"/>
      </w:pPr>
      <w:r>
        <w:rPr>
          <w:rFonts w:ascii="Georgia" w:cs="Georgia" w:eastAsia="Georgia" w:hAnsi="Georgia"/>
          <w:sz w:val="22"/>
          <w:szCs w:val="22"/>
        </w:rPr>
        <w:t xml:space="preserve">Support describes a relationship in which the state provides material benefit to a commercial actor. The benefit may be significant—funding, protection, preferential access—but the commercial actor’s function is not structurally integrated into the state’s operational requirements. The state could, in principle, withdraw the benefit without losing a specific operational capability. The commercial actor could, in principle, continue to exist commercially without the state relationship, though at a disadvantage.</w:t>
      </w:r>
    </w:p>
    <w:p>
      <w:pPr>
        <w:spacing w:after="100" w:before="60"/>
        <w:jc w:val="both"/>
      </w:pPr>
      <w:r>
        <w:rPr>
          <w:rFonts w:ascii="Georgia" w:cs="Georgia" w:eastAsia="Georgia" w:hAnsi="Georgia"/>
          <w:sz w:val="22"/>
          <w:szCs w:val="22"/>
        </w:rPr>
        <w:t xml:space="preserve">Enablement describes a relationship in which the commercial actor’s structure or function is integrated into the state’s operational architecture. The entity provides something the state apparatus requires: transactional opacity, jurisdictional insulation, commercial cover for restricted procurement, or access to counterparties the state could not engage directly. The relationship is mutually constitutive, not merely beneficial to one side. The state derives operational value from the entity’s commercial existence; the entity derives protection or enabling access from the state relationship.</w:t>
      </w:r>
    </w:p>
    <w:p>
      <w:pPr>
        <w:spacing w:after="100" w:before="60"/>
        <w:jc w:val="both"/>
      </w:pPr>
      <w:r>
        <w:rPr>
          <w:rFonts w:ascii="Georgia" w:cs="Georgia" w:eastAsia="Georgia" w:hAnsi="Georgia"/>
          <w:sz w:val="22"/>
          <w:szCs w:val="22"/>
        </w:rPr>
        <w:t xml:space="preserve">Enablement is an analytic judgment about functional integration—not a claim of formal agency status, constructive authority, or vicarious liability under any legal doctrine. An Enablement assessment states only that the available record supports a conclusion of functional integration between the entity’s commercial role and PRC state operational requirements. It does not assert that the entity has been formally designated as a state instrument, that its employees are state agents, or that its actions carry the legal consequences of state action under any particular doctrine. The legal and regulatory consequences of an Enablement finding are institution-specific and turn on the applicable program’s own standards, not on the analytic label alone.</w:t>
      </w:r>
    </w:p>
    <w:p>
      <w:pPr>
        <w:pStyle w:val="Heading2"/>
        <w:spacing w:after="80" w:before="240"/>
      </w:pPr>
      <w:r>
        <w:rPr>
          <w:rFonts w:ascii="Arial" w:cs="Arial" w:eastAsia="Arial" w:hAnsi="Arial"/>
          <w:b/>
          <w:bCs/>
          <w:color w:val="2F5496"/>
          <w:sz w:val="24"/>
          <w:szCs w:val="24"/>
        </w:rPr>
        <w:t xml:space="preserve">5.2 Four Distinguishing Tests</w:t>
      </w:r>
    </w:p>
    <w:p>
      <w:pPr>
        <w:spacing w:after="100" w:before="60"/>
        <w:jc w:val="both"/>
      </w:pPr>
      <w:r>
        <w:rPr>
          <w:rFonts w:ascii="Georgia" w:cs="Georgia" w:eastAsia="Georgia" w:hAnsi="Georgia"/>
          <w:sz w:val="22"/>
          <w:szCs w:val="22"/>
        </w:rPr>
        <w:t xml:space="preserve">Where the evidentiary record is ambiguous, four analytical tests help locate the Support/Enablement boundary.</w:t>
      </w:r>
    </w:p>
    <w:p>
      <w:pPr>
        <w:pStyle w:val="Heading3"/>
        <w:spacing w:after="60" w:before="160"/>
      </w:pPr>
      <w:r>
        <w:rPr>
          <w:rFonts w:ascii="Arial" w:cs="Arial" w:eastAsia="Arial" w:hAnsi="Arial"/>
          <w:b/>
          <w:bCs/>
          <w:color w:val="333333"/>
          <w:sz w:val="22"/>
          <w:szCs w:val="22"/>
        </w:rPr>
        <w:t xml:space="preserve">Directionality of Benefit</w:t>
      </w:r>
    </w:p>
    <w:p>
      <w:pPr>
        <w:spacing w:after="100" w:before="60"/>
        <w:jc w:val="both"/>
      </w:pPr>
      <w:r>
        <w:rPr>
          <w:rFonts w:ascii="Georgia" w:cs="Georgia" w:eastAsia="Georgia" w:hAnsi="Georgia"/>
          <w:sz w:val="22"/>
          <w:szCs w:val="22"/>
        </w:rPr>
        <w:t xml:space="preserve">In a Support relationship, benefit flows primarily from the state to the entity—the state enables, funds, or protects the commercial actor. In an Enablement relationship, benefit flows in both directions: the entity provides the state with something it requires, and the state provides the entity with something it requires. The question is not whether the commercial actor benefits from the state relationship. It is whether the state also derives specific operational value from the entity’s commercial function.</w:t>
      </w:r>
    </w:p>
    <w:p>
      <w:pPr>
        <w:pStyle w:val="Heading3"/>
        <w:spacing w:after="60" w:before="160"/>
      </w:pPr>
      <w:r>
        <w:rPr>
          <w:rFonts w:ascii="Arial" w:cs="Arial" w:eastAsia="Arial" w:hAnsi="Arial"/>
          <w:b/>
          <w:bCs/>
          <w:color w:val="333333"/>
          <w:sz w:val="22"/>
          <w:szCs w:val="22"/>
        </w:rPr>
        <w:t xml:space="preserve">Structural Necessity</w:t>
      </w:r>
    </w:p>
    <w:p>
      <w:pPr>
        <w:spacing w:after="100" w:before="60"/>
        <w:jc w:val="both"/>
      </w:pPr>
      <w:r>
        <w:rPr>
          <w:rFonts w:ascii="Georgia" w:cs="Georgia" w:eastAsia="Georgia" w:hAnsi="Georgia"/>
          <w:sz w:val="22"/>
          <w:szCs w:val="22"/>
        </w:rPr>
        <w:t xml:space="preserve">The relevant question is not whether the state prefers the entity’s existence but whether the state’s operational objective requires something the entity’s commercial architecture provides. If the state could achieve the same operational result through a different commercial actor or through direct action, the entity may be a beneficiary of state support but is not structurally necessary to state operations. If the entity’s specific structure—its jurisdiction, ownership opacity, counterparty relationships, or technical access—provides something the state cannot replicate without it, the structural necessity test supports an Enablement assessment.</w:t>
      </w:r>
    </w:p>
    <w:p>
      <w:pPr>
        <w:pStyle w:val="Heading3"/>
        <w:spacing w:after="60" w:before="160"/>
      </w:pPr>
      <w:r>
        <w:rPr>
          <w:rFonts w:ascii="Arial" w:cs="Arial" w:eastAsia="Arial" w:hAnsi="Arial"/>
          <w:b/>
          <w:bCs/>
          <w:color w:val="333333"/>
          <w:sz w:val="22"/>
          <w:szCs w:val="22"/>
        </w:rPr>
        <w:t xml:space="preserve">Substitutability</w:t>
      </w:r>
    </w:p>
    <w:p>
      <w:pPr>
        <w:spacing w:after="100" w:before="60"/>
        <w:jc w:val="both"/>
      </w:pPr>
      <w:r>
        <w:rPr>
          <w:rFonts w:ascii="Georgia" w:cs="Georgia" w:eastAsia="Georgia" w:hAnsi="Georgia"/>
          <w:sz w:val="22"/>
          <w:szCs w:val="22"/>
        </w:rPr>
        <w:t xml:space="preserve">An entity that is one of many similar commercial actors enjoying similar state proximity—where the state’s relationship to any one of them is interchangeable—is more likely to reflect a pattern of state support for a sector or category than a specific Enablement relationship. An entity that is not substitutable—whose specific commercial structure, access, or position serves a function the state would otherwise need to perform differently—is more likely to occupy the Enablement rung. The substitutability test is not conclusive, but it disciplines the inference from support patterns to structural integration.</w:t>
      </w:r>
    </w:p>
    <w:p>
      <w:pPr>
        <w:pStyle w:val="Heading3"/>
        <w:spacing w:after="60" w:before="160"/>
      </w:pPr>
      <w:r>
        <w:rPr>
          <w:rFonts w:ascii="Arial" w:cs="Arial" w:eastAsia="Arial" w:hAnsi="Arial"/>
          <w:b/>
          <w:bCs/>
          <w:color w:val="333333"/>
          <w:sz w:val="22"/>
          <w:szCs w:val="22"/>
        </w:rPr>
        <w:t xml:space="preserve">Concealment Function</w:t>
      </w:r>
    </w:p>
    <w:p>
      <w:pPr>
        <w:spacing w:after="100" w:before="60"/>
        <w:jc w:val="both"/>
      </w:pPr>
      <w:r>
        <w:rPr>
          <w:rFonts w:ascii="Georgia" w:cs="Georgia" w:eastAsia="Georgia" w:hAnsi="Georgia"/>
          <w:sz w:val="22"/>
          <w:szCs w:val="22"/>
        </w:rPr>
        <w:t xml:space="preserve">The most probative single indicator for Enablement is evidence that the entity’s commercial existence provides concealment value that has independent operational significance to the state apparatus. An entity whose ownership structure, jurisdiction, or transactional patterns are more complex than its commercial activity warrants—and where that complexity serves no evident independent commercial purpose—presents the strongest affirmative indicator of an Enablement relationship. The question is not whether the entity is opaque. It is whether the opacity itself serves a function for the state.</w:t>
      </w:r>
    </w:p>
    <w:p>
      <w:pPr>
        <w:pStyle w:val="Heading2"/>
        <w:spacing w:after="80" w:before="240"/>
      </w:pPr>
      <w:r>
        <w:rPr>
          <w:rFonts w:ascii="Arial" w:cs="Arial" w:eastAsia="Arial" w:hAnsi="Arial"/>
          <w:b/>
          <w:bCs/>
          <w:color w:val="2F5496"/>
          <w:sz w:val="24"/>
          <w:szCs w:val="24"/>
        </w:rPr>
        <w:t xml:space="preserve">5.3 Failure Modes at the Boundary</w:t>
      </w:r>
    </w:p>
    <w:p>
      <w:pPr>
        <w:spacing w:after="100" w:before="60"/>
        <w:jc w:val="both"/>
      </w:pPr>
      <w:r>
        <w:rPr>
          <w:rFonts w:ascii="Georgia" w:cs="Georgia" w:eastAsia="Georgia" w:hAnsi="Georgia"/>
          <w:sz w:val="22"/>
          <w:szCs w:val="22"/>
        </w:rPr>
        <w:t xml:space="preserve">Two failure modes are predictable at the Support/Enablement boundary and should be explicitly guarded against.</w:t>
      </w:r>
    </w:p>
    <w:p>
      <w:pPr>
        <w:spacing w:after="80" w:before="60"/>
        <w:jc w:val="both"/>
      </w:pPr>
      <w:r>
        <w:rPr>
          <w:rFonts w:ascii="Georgia" w:cs="Georgia" w:eastAsia="Georgia" w:hAnsi="Georgia"/>
          <w:b/>
          <w:bCs/>
          <w:sz w:val="22"/>
          <w:szCs w:val="22"/>
        </w:rPr>
        <w:t xml:space="preserve">Upward collapse. </w:t>
      </w:r>
      <w:r>
        <w:rPr>
          <w:rFonts w:ascii="Georgia" w:cs="Georgia" w:eastAsia="Georgia" w:hAnsi="Georgia"/>
          <w:b w:val="false"/>
          <w:bCs w:val="false"/>
          <w:sz w:val="22"/>
          <w:szCs w:val="22"/>
        </w:rPr>
        <w:t xml:space="preserve">An analyst treating all state-supported commercial actors as enablers—reasoning that significant state support implies structural integration—will systematically overclaim Enablement. Support is a necessary but not sufficient condition for Enablement. Significant financial support, preferential regulatory treatment, and protected market access are consistent with Support. They do not independently establish the structural integration that the Enablement definition requires.</w:t>
      </w:r>
    </w:p>
    <w:p>
      <w:pPr>
        <w:spacing w:after="80" w:before="60"/>
        <w:jc w:val="both"/>
      </w:pPr>
      <w:r>
        <w:rPr>
          <w:rFonts w:ascii="Georgia" w:cs="Georgia" w:eastAsia="Georgia" w:hAnsi="Georgia"/>
          <w:b/>
          <w:bCs/>
          <w:sz w:val="22"/>
          <w:szCs w:val="22"/>
        </w:rPr>
        <w:t xml:space="preserve">Downward collapse. </w:t>
      </w:r>
      <w:r>
        <w:rPr>
          <w:rFonts w:ascii="Georgia" w:cs="Georgia" w:eastAsia="Georgia" w:hAnsi="Georgia"/>
          <w:b w:val="false"/>
          <w:bCs w:val="false"/>
          <w:sz w:val="22"/>
          <w:szCs w:val="22"/>
        </w:rPr>
        <w:t xml:space="preserve">An analyst treating every actor without a documented tasking relationship as merely commercially proximate will systematically underclaim Enablement. The absence of Direct Tasking evidence does not reduce a well-supported Enablement assessment. Enablement does not require proof of a specific operational directive. It requires evidence that the entity’s commercial function is structurally integrated into state operational requirements—a conclusion that can be reached at high confidence without Direct Tasking evidence.</w:t>
      </w:r>
    </w:p>
    <w:p>
      <w:pPr>
        <w:pStyle w:val="Heading2"/>
        <w:spacing w:after="80" w:before="240"/>
      </w:pPr>
      <w:r>
        <w:rPr>
          <w:rFonts w:ascii="Arial" w:cs="Arial" w:eastAsia="Arial" w:hAnsi="Arial"/>
          <w:b/>
          <w:bCs/>
          <w:color w:val="2F5496"/>
          <w:sz w:val="24"/>
          <w:szCs w:val="24"/>
        </w:rPr>
        <w:t xml:space="preserve">5.4 Evidentiary Standard at the Boundary</w:t>
      </w:r>
    </w:p>
    <w:p>
      <w:pPr>
        <w:spacing w:after="100" w:before="60"/>
        <w:jc w:val="both"/>
      </w:pPr>
      <w:r>
        <w:rPr>
          <w:rFonts w:ascii="Georgia" w:cs="Georgia" w:eastAsia="Georgia" w:hAnsi="Georgia"/>
          <w:sz w:val="22"/>
          <w:szCs w:val="22"/>
        </w:rPr>
        <w:t xml:space="preserve">An Enablement assessment requires more than a moderate-confidence Support finding plus a plausible concealment inference. The record must independently support at least two of the four distinguishing tests above, with corroboration across at least two evidentiary domains that are independent in sourcing and methodology. A single high-quality indicator—for example, documented pass-through financial transactions with no evident commercial purpose combined with nominee ownership structures more complex than the entity’s commercial activity warrants—may approach the threshold, but should be stated at moderate confidence absent additional corroboration. High-confidence Enablement assessments require convergence across structural, financial, and either operational or personnel domains.</w:t>
      </w:r>
    </w:p>
    <w:p>
      <w:pPr>
        <w:spacing w:after="100" w:before="60"/>
        <w:jc w:val="both"/>
      </w:pPr>
      <w:r>
        <w:rPr>
          <w:rFonts w:ascii="Georgia" w:cs="Georgia" w:eastAsia="Georgia" w:hAnsi="Georgia"/>
          <w:sz w:val="22"/>
          <w:szCs w:val="22"/>
        </w:rPr>
        <w:t xml:space="preserve">Where the evidentiary record supports a well-documented Support assessment but the distinguishing tests do not independently yield Enablement, the appropriate finding is Support with a stated inference that the record is consistent with, but does not independently establish, Enablement. That finding is institutionally useful: it identifies the entity for further evidentiary development without overclaiming the current record’s reach.</w:t>
      </w:r>
    </w:p>
    <w:p>
      <w:pPr>
        <w:pStyle w:val="Heading2"/>
        <w:spacing w:after="80" w:before="240"/>
      </w:pPr>
      <w:r>
        <w:rPr>
          <w:rFonts w:ascii="Arial" w:cs="Arial" w:eastAsia="Arial" w:hAnsi="Arial"/>
          <w:b/>
          <w:bCs/>
          <w:color w:val="2F5496"/>
          <w:sz w:val="24"/>
          <w:szCs w:val="24"/>
        </w:rPr>
        <w:t xml:space="preserve">5.5 Disconfirmation Criteria</w:t>
      </w:r>
    </w:p>
    <w:p>
      <w:pPr>
        <w:spacing w:after="100" w:before="60"/>
        <w:jc w:val="both"/>
      </w:pPr>
      <w:r>
        <w:rPr>
          <w:rFonts w:ascii="Georgia" w:cs="Georgia" w:eastAsia="Georgia" w:hAnsi="Georgia"/>
          <w:sz w:val="22"/>
          <w:szCs w:val="22"/>
        </w:rPr>
        <w:t xml:space="preserve">The four distinguishing tests are necessary conditions for an Enablement assessment. They are not sufficient unless the analyst has also considered and found wanting the primary disconfirmation criteria—the conditions under which the same evidentiary pattern would support a Support assessment rather than an Enablement assessment. Enablement is not the default when Support indicators are strong. It requires affirmative evidence of structural integration that the disconfirmation review does not explain away.</w:t>
      </w:r>
    </w:p>
    <w:p>
      <w:pPr>
        <w:spacing w:after="100" w:before="60"/>
        <w:jc w:val="both"/>
      </w:pPr>
      <w:r>
        <w:rPr>
          <w:rFonts w:ascii="Georgia" w:cs="Georgia" w:eastAsia="Georgia" w:hAnsi="Georgia"/>
          <w:sz w:val="22"/>
          <w:szCs w:val="22"/>
        </w:rPr>
        <w:t xml:space="preserve">An assessment should be held at Support, not elevated to Enablement, where the record shows: (a) the entity’s commercial activity is economically viable independently of its state relationship and the state connection provides marginal advantage rather than structural necessity; (b) the entity is one of multiple similarly situated commercial actors receiving comparable state support in the same sector, consistent with a sector-support pattern rather than a specific operational dependency; (c) the structural complexity of the entity’s ownership or financial arrangements is consistent with the complexity typical of comparable private commercial groups in the same jurisdiction, without specific features that serve an identifiable concealment function; or (d) the apparent bidirectionality of benefit is adequately explained by normal commercial incentives—the state benefits from a productive domestic sector, and the entity benefits from state support, without evidence that the entity’s specific structure or function is required by the state’s operational architecture.</w:t>
      </w:r>
    </w:p>
    <w:p>
      <w:pPr>
        <w:spacing w:after="100" w:before="60"/>
        <w:jc w:val="both"/>
      </w:pPr>
      <w:r>
        <w:rPr>
          <w:rFonts w:ascii="Georgia" w:cs="Georgia" w:eastAsia="Georgia" w:hAnsi="Georgia"/>
          <w:sz w:val="22"/>
          <w:szCs w:val="22"/>
        </w:rPr>
        <w:t xml:space="preserve">Standing alone, the following do not support an Enablement finding: PRC incorporation, offshore layering, policy-bank exposure, priority-sector participation, former state-affiliated personnel, or concentrated state-sector revenue. Each of these features is common across large PRC commercial structures that do not carry a state-nexus relationship beyond Support. Their presence shifts the analysis toward enhanced due diligence and further evidentiary development; it does not shift the rung assignment without independent evidence of a specific concealment or insulation function.</w:t>
      </w:r>
    </w:p>
    <w:p>
      <w:pPr>
        <w:spacing w:after="100" w:before="60"/>
        <w:jc w:val="both"/>
      </w:pPr>
      <w:r>
        <w:rPr>
          <w:rFonts w:ascii="Georgia" w:cs="Georgia" w:eastAsia="Georgia" w:hAnsi="Georgia"/>
          <w:sz w:val="22"/>
          <w:szCs w:val="22"/>
        </w:rPr>
        <w:t xml:space="preserve">The disconfirmation review is not complete unless the analyst has stated which criteria apply, whether the record affirmatively excludes them or merely fails to confirm them, and what additional evidence would be required to exclude them. Failure to affirmatively weigh disconfirmation criteria—treating the innocent explanation as noted but set aside without evidentiary basis—is the most common path to upward collapse from Support to Enablement and the most damaging to the assessment’s institutional credibility. The burden of elevation from Support to Enablement is asymmetrical: ambiguity should preserve the lower rung unless the concealment function is independently supported.</w:t>
      </w:r>
    </w:p>
    <w:p>
      <w:r>
        <w:br w:type="page"/>
      </w:r>
    </w:p>
    <w:p>
      <w:pPr>
        <w:pStyle w:val="Heading1"/>
        <w:spacing w:after="80" w:before="360"/>
      </w:pPr>
      <w:r>
        <w:rPr>
          <w:rFonts w:ascii="Arial" w:cs="Arial" w:eastAsia="Arial" w:hAnsi="Arial"/>
          <w:b/>
          <w:bCs/>
          <w:color w:val="1F3864"/>
          <w:sz w:val="28"/>
          <w:szCs w:val="28"/>
        </w:rPr>
        <w:t xml:space="preserve">6. INSTITUTIONAL CALIBRATION</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Different institutional processes operate on different evidentiary thresholds, apply different legal standards, and serve different functions. An analytical product calibrated for OFAC designation analysis is not automatically usable for DOJ referral or CFIUS review. The five-rung ladder and beneficial ownership methodology map to each institution’s evidentiary and procedural logic as follows.</w:t>
      </w:r>
    </w:p>
    <w:p>
      <w:pPr>
        <w:pStyle w:val="Heading2"/>
        <w:spacing w:after="80" w:before="240"/>
      </w:pPr>
      <w:r>
        <w:rPr>
          <w:rFonts w:ascii="Arial" w:cs="Arial" w:eastAsia="Arial" w:hAnsi="Arial"/>
          <w:b/>
          <w:bCs/>
          <w:color w:val="2F5496"/>
          <w:sz w:val="24"/>
          <w:szCs w:val="24"/>
        </w:rPr>
        <w:t xml:space="preserve">6.1 OFAC — Designation and Sanctions Compliance</w:t>
      </w:r>
    </w:p>
    <w:p>
      <w:pPr>
        <w:spacing w:after="100" w:before="60"/>
        <w:jc w:val="both"/>
      </w:pPr>
      <w:r>
        <w:rPr>
          <w:rFonts w:ascii="Georgia" w:cs="Georgia" w:eastAsia="Georgia" w:hAnsi="Georgia"/>
          <w:sz w:val="22"/>
          <w:szCs w:val="22"/>
        </w:rPr>
        <w:t xml:space="preserve">OFAC designation requires a nexus to a sanctions program predicate: the entity must be owned or controlled by, or act for or on behalf of, a designated person or program, or must itself fall within the substantive scope of an applicable program. Ownership is assessed under the 50 Percent Rule. Control and the act-for/on-behalf-of standards are assessed under the totality of circumstances.</w:t>
      </w:r>
    </w:p>
    <w:p>
      <w:pPr>
        <w:spacing w:after="100" w:before="60"/>
        <w:jc w:val="both"/>
      </w:pPr>
      <w:r>
        <w:rPr>
          <w:rFonts w:ascii="Georgia" w:cs="Georgia" w:eastAsia="Georgia" w:hAnsi="Georgia"/>
          <w:sz w:val="22"/>
          <w:szCs w:val="22"/>
        </w:rPr>
        <w:t xml:space="preserve">A Linkage-level assessment supports enhanced due diligence and beneficial ownership screening. A Support-level assessment, where financial flows from a designated entity or state program are documented, supports designation analysis under the totality-of-circumstances standard and warrants compliance escalation. An Enablement-level assessment with documented ownership or control chains satisfying the 50 Percent Rule, or with convergent multi-domain evidence meeting the totality-of-circumstances threshold, provides the open-source component of a defensible evidentiary predicate for designation analysis referral. In practice, PRC-context designations under the act-for/on-behalf-of and control prongs frequently rely on classified intelligence or compelled discovery that is not available through open-source analysis. The open-source Enablement record is most accurately understood as a triage and prioritization product—identifying the entities whose relationship to the PRC state warrants the deeper evidentiary development that classified or legal-process sources can provide. Direct Tasking evidence, where available in open sources, strengthens the act-for/on-behalf-of prong.</w:t>
      </w:r>
    </w:p>
    <w:p>
      <w:pPr>
        <w:spacing w:after="100" w:before="60"/>
        <w:jc w:val="both"/>
      </w:pPr>
      <w:r>
        <w:rPr>
          <w:rFonts w:ascii="Georgia" w:cs="Georgia" w:eastAsia="Georgia" w:hAnsi="Georgia"/>
          <w:sz w:val="22"/>
          <w:szCs w:val="22"/>
        </w:rPr>
        <w:t xml:space="preserve">The totality-of-circumstances standard is the most practically significant OFAC concept for Enablement assessments: it permits evidence of functional integration—financial dependency, personnel overlap, operational patterns, and protective state relationships—to inform designation analysis even where the equity structure does not independently satisfy the 50 Percent Rule.</w:t>
      </w:r>
    </w:p>
    <w:p>
      <w:pPr>
        <w:spacing w:after="100" w:before="60"/>
        <w:jc w:val="both"/>
      </w:pPr>
      <w:r>
        <w:rPr>
          <w:rFonts w:ascii="Georgia" w:cs="Georgia" w:eastAsia="Georgia" w:hAnsi="Georgia"/>
          <w:sz w:val="22"/>
          <w:szCs w:val="22"/>
        </w:rPr>
        <w:t xml:space="preserve">Terms appropriate for OFAC-calibrated findings: beneficial ownership, 50 Percent Rule, blocked property, designated person, ownership and control, totality of circumstances, sanctions exposure, designation predicate, SDN cross-reference, IEEPA program nexus.</w:t>
      </w:r>
    </w:p>
    <w:p>
      <w:pPr>
        <w:pStyle w:val="Heading2"/>
        <w:spacing w:after="80" w:before="240"/>
      </w:pPr>
      <w:r>
        <w:rPr>
          <w:rFonts w:ascii="Arial" w:cs="Arial" w:eastAsia="Arial" w:hAnsi="Arial"/>
          <w:b/>
          <w:bCs/>
          <w:color w:val="2F5496"/>
          <w:sz w:val="24"/>
          <w:szCs w:val="24"/>
        </w:rPr>
        <w:t xml:space="preserve">6.2 FinCEN — Beneficial Ownership and Suspicious Activity</w:t>
      </w:r>
    </w:p>
    <w:p>
      <w:pPr>
        <w:spacing w:after="100" w:before="60"/>
        <w:jc w:val="both"/>
      </w:pPr>
      <w:r>
        <w:rPr>
          <w:rFonts w:ascii="Georgia" w:cs="Georgia" w:eastAsia="Georgia" w:hAnsi="Georgia"/>
          <w:sz w:val="22"/>
          <w:szCs w:val="22"/>
        </w:rPr>
        <w:t xml:space="preserve">FinCEN’s Customer Due Diligence rule requires covered financial institutions to collect and verify beneficial ownership information for legal entity customers at account opening and at triggering events. The 25 percent ownership threshold and the controlling-company identification requirement create baseline disclosure obligations. For PRC-affiliated entities using nominee and layered ownership structures, those obligations turn on the accuracy of customer-provided documentation—which is precisely the variable that concealment architecture is designed to manipulate.</w:t>
      </w:r>
    </w:p>
    <w:p>
      <w:pPr>
        <w:spacing w:after="100" w:before="60"/>
        <w:jc w:val="both"/>
      </w:pPr>
      <w:r>
        <w:rPr>
          <w:rFonts w:ascii="Georgia" w:cs="Georgia" w:eastAsia="Georgia" w:hAnsi="Georgia"/>
          <w:sz w:val="22"/>
          <w:szCs w:val="22"/>
        </w:rPr>
        <w:t xml:space="preserve">The SAR filing obligation applies when a covered institution knows, suspects, or has reason to suspect that a transaction involves funds from illegal activity, is designed to evade BSA reporting requirements, lacks a lawful purpose, or involves a pattern of transactions with no business purpose. Enablement-level indicators—particularly financial flow indicators showing pass-through transactions, round-trip financing, and capital infusions at non-commercial terms from opaque sources—map directly to SAR trigger criteria.</w:t>
      </w:r>
    </w:p>
    <w:p>
      <w:pPr>
        <w:spacing w:after="100" w:before="60"/>
        <w:jc w:val="both"/>
      </w:pPr>
      <w:r>
        <w:rPr>
          <w:rFonts w:ascii="Georgia" w:cs="Georgia" w:eastAsia="Georgia" w:hAnsi="Georgia"/>
          <w:sz w:val="22"/>
          <w:szCs w:val="22"/>
        </w:rPr>
        <w:t xml:space="preserve">FinCEN-calibrated findings should identify the specific beneficial ownership disclosure gap, the transaction patterns that trigger SAR consideration, and the correspondent banking due diligence implications where the entity operates through a U.S. financial institution. The opacity of the entity’s beneficial ownership structure is itself a reportable indicator, not merely a limitation of the analysis.</w:t>
      </w:r>
    </w:p>
    <w:p>
      <w:pPr>
        <w:spacing w:after="100" w:before="60"/>
        <w:jc w:val="both"/>
      </w:pPr>
      <w:r>
        <w:rPr>
          <w:rFonts w:ascii="Georgia" w:cs="Georgia" w:eastAsia="Georgia" w:hAnsi="Georgia"/>
          <w:sz w:val="22"/>
          <w:szCs w:val="22"/>
        </w:rPr>
        <w:t xml:space="preserve">Terms appropriate for FinCEN-calibrated findings: beneficial ownership, CDD rule, legal entity customer, controlling company, SAR trigger, correspondent banking, Bank Secrecy Act, shell company indicators, UBO disclosure gap, transaction pattern, suspicious activity.</w:t>
      </w:r>
    </w:p>
    <w:p>
      <w:pPr>
        <w:pStyle w:val="Heading2"/>
        <w:spacing w:after="80" w:before="240"/>
      </w:pPr>
      <w:r>
        <w:rPr>
          <w:rFonts w:ascii="Arial" w:cs="Arial" w:eastAsia="Arial" w:hAnsi="Arial"/>
          <w:b/>
          <w:bCs/>
          <w:color w:val="2F5496"/>
          <w:sz w:val="24"/>
          <w:szCs w:val="24"/>
        </w:rPr>
        <w:t xml:space="preserve">6.3 CFIUS — Foreign Investment and Control</w:t>
      </w:r>
    </w:p>
    <w:p>
      <w:pPr>
        <w:spacing w:after="100" w:before="60"/>
        <w:jc w:val="both"/>
      </w:pPr>
      <w:r>
        <w:rPr>
          <w:rFonts w:ascii="Georgia" w:cs="Georgia" w:eastAsia="Georgia" w:hAnsi="Georgia"/>
          <w:sz w:val="22"/>
          <w:szCs w:val="22"/>
        </w:rPr>
        <w:t xml:space="preserve">CFIUS jurisdiction covers covered transactions—foreign investments that could result in foreign control of a U.S. business, or certain other transactions involving TID U.S. businesses (those that produce, design, test, or develop critical technologies; operate or supply critical infrastructure; or maintain or collect sensitive personal data of U.S. persons). Under FIRRMA, mandatory declarations are required for certain covered transactions involving foreign government-controlled investors or investments in TID businesses at defined thresholds.</w:t>
      </w:r>
    </w:p>
    <w:p>
      <w:pPr>
        <w:spacing w:after="100" w:before="60"/>
        <w:jc w:val="both"/>
      </w:pPr>
      <w:r>
        <w:rPr>
          <w:rFonts w:ascii="Georgia" w:cs="Georgia" w:eastAsia="Georgia" w:hAnsi="Georgia"/>
          <w:sz w:val="22"/>
          <w:szCs w:val="22"/>
        </w:rPr>
        <w:t xml:space="preserve">PRC state-nexus findings are directly relevant to CFIUS review in two respects. First, they inform the “foreign government control” analysis: an Enablement-level finding for an investor—particularly one supported by effective-control evidence under Section 3.6—supports a CFIUS conclusion that the transaction could result in PRC state control of the target. Second, VIE structures (Section 3.4) and layered holding structures (Section 3.5) may require mandatory declaration where the offshore holding entity constitutes a covered transaction, even where the PRC-domiciled VIE is the operational entity.</w:t>
      </w:r>
    </w:p>
    <w:p>
      <w:pPr>
        <w:spacing w:after="100" w:before="60"/>
        <w:jc w:val="both"/>
      </w:pPr>
      <w:r>
        <w:rPr>
          <w:rFonts w:ascii="Georgia" w:cs="Georgia" w:eastAsia="Georgia" w:hAnsi="Georgia"/>
          <w:sz w:val="22"/>
          <w:szCs w:val="22"/>
        </w:rPr>
        <w:t xml:space="preserve">CFIUS-calibrated findings should address: whether the investor entity is subject to an Enablement or Direct Tasking assessment; whether effective control by a PRC state organ over the investor can be documented under the CFIUS control standard; whether the transaction structure (including any VIE or holding-company architecture) falls within the mandatory declaration threshold; and whether the target qualifies as a TID U.S. business.</w:t>
      </w:r>
    </w:p>
    <w:p>
      <w:pPr>
        <w:spacing w:after="100" w:before="60"/>
        <w:jc w:val="both"/>
      </w:pPr>
      <w:r>
        <w:rPr>
          <w:rFonts w:ascii="Georgia" w:cs="Georgia" w:eastAsia="Georgia" w:hAnsi="Georgia"/>
          <w:sz w:val="22"/>
          <w:szCs w:val="22"/>
        </w:rPr>
        <w:t xml:space="preserve">Terms appropriate for CFIUS-calibrated findings: covered transaction, foreign government control, TID business, mandatory declaration, FIRRMA, mitigation agreement, national security review, effective control, sensitive personal data, critical technology, critical infrastructure.</w:t>
      </w:r>
    </w:p>
    <w:p>
      <w:pPr>
        <w:pStyle w:val="Heading2"/>
        <w:spacing w:after="80" w:before="240"/>
      </w:pPr>
      <w:r>
        <w:rPr>
          <w:rFonts w:ascii="Arial" w:cs="Arial" w:eastAsia="Arial" w:hAnsi="Arial"/>
          <w:b/>
          <w:bCs/>
          <w:color w:val="2F5496"/>
          <w:sz w:val="24"/>
          <w:szCs w:val="24"/>
        </w:rPr>
        <w:t xml:space="preserve">6.4 Commerce / BIS — Export Controls and Entity List</w:t>
      </w:r>
    </w:p>
    <w:p>
      <w:pPr>
        <w:spacing w:after="100" w:before="60"/>
        <w:jc w:val="both"/>
      </w:pPr>
      <w:r>
        <w:rPr>
          <w:rFonts w:ascii="Georgia" w:cs="Georgia" w:eastAsia="Georgia" w:hAnsi="Georgia"/>
          <w:sz w:val="22"/>
          <w:szCs w:val="22"/>
        </w:rPr>
        <w:t xml:space="preserve">BIS administers the Export Administration Regulations, which control the export, reexport, and in-country transfer of items on the Commerce Control List based on end-user, end-use, and destination. The Entity List identifies specific persons subject to license requirements because they have been determined to present a risk of diversion to prohibited end-uses or end-users, including military-civil fusion entities, PRC military programs, and state-affiliated research institutions.</w:t>
      </w:r>
    </w:p>
    <w:p>
      <w:pPr>
        <w:spacing w:after="100" w:before="60"/>
        <w:jc w:val="both"/>
      </w:pPr>
      <w:r>
        <w:rPr>
          <w:rFonts w:ascii="Georgia" w:cs="Georgia" w:eastAsia="Georgia" w:hAnsi="Georgia"/>
          <w:sz w:val="22"/>
          <w:szCs w:val="22"/>
        </w:rPr>
        <w:t xml:space="preserve">Enablement-level findings for entities in controlled technology sectors are directly relevant to Entity List review where the entity’s operational patterns show access to or procurement of CCL-controlled items; where personnel indicators show state-institutional connections to PRC military or intelligence programs; or where the entity’s commercial function includes procurement or technology transfer that would require authorization under the EAR. Deemed export considerations apply where the entity employs PRC nationals with access to controlled technology, if their access would constitute an export to the PRC.</w:t>
      </w:r>
    </w:p>
    <w:p>
      <w:pPr>
        <w:spacing w:after="100" w:before="60"/>
        <w:jc w:val="both"/>
      </w:pPr>
      <w:r>
        <w:rPr>
          <w:rFonts w:ascii="Georgia" w:cs="Georgia" w:eastAsia="Georgia" w:hAnsi="Georgia"/>
          <w:sz w:val="22"/>
          <w:szCs w:val="22"/>
        </w:rPr>
        <w:t xml:space="preserve">Military-civil fusion is a specific BIS concern: PRC law requires entities within the MCF framework to support PRC military requirements on demand. An Enablement-level finding for an entity with documented MCF designation or operational integration into MCF priority sectors supports Entity List review and heightened end-user scrutiny. In practice, BIS Entity List additions in MCF contexts typically cite public military designations, known procurement patterns, or interagency referrals with classified support; an open-source Enablement assessment is best understood as a structured basis for referral and prioritization, not as independently sufficient for Entity List action.</w:t>
      </w:r>
    </w:p>
    <w:p>
      <w:pPr>
        <w:spacing w:after="100" w:before="60"/>
        <w:jc w:val="both"/>
      </w:pPr>
      <w:r>
        <w:rPr>
          <w:rFonts w:ascii="Georgia" w:cs="Georgia" w:eastAsia="Georgia" w:hAnsi="Georgia"/>
          <w:sz w:val="22"/>
          <w:szCs w:val="22"/>
        </w:rPr>
        <w:t xml:space="preserve">Terms appropriate for BIS-calibrated findings: Entity List, CCL, ECCN, license requirement, end-user, end-use, military end-use, military-civil fusion, deemed export, diversion risk, reexport control, EAR jurisdiction.</w:t>
      </w:r>
    </w:p>
    <w:p>
      <w:pPr>
        <w:pStyle w:val="Heading2"/>
        <w:spacing w:after="80" w:before="240"/>
      </w:pPr>
      <w:r>
        <w:rPr>
          <w:rFonts w:ascii="Arial" w:cs="Arial" w:eastAsia="Arial" w:hAnsi="Arial"/>
          <w:b/>
          <w:bCs/>
          <w:color w:val="2F5496"/>
          <w:sz w:val="24"/>
          <w:szCs w:val="24"/>
        </w:rPr>
        <w:t xml:space="preserve">6.5 DOJ — Criminal Referral and Prosecutorial Sufficiency</w:t>
      </w:r>
    </w:p>
    <w:p>
      <w:pPr>
        <w:spacing w:after="100" w:before="60"/>
        <w:jc w:val="both"/>
      </w:pPr>
      <w:r>
        <w:rPr>
          <w:rFonts w:ascii="Georgia" w:cs="Georgia" w:eastAsia="Georgia" w:hAnsi="Georgia"/>
          <w:sz w:val="22"/>
          <w:szCs w:val="22"/>
        </w:rPr>
        <w:t xml:space="preserve">Criminal referral requires a corroborated evidentiary record establishing specific criminal acts, specific actors, specific intent, and jurisdictional nexus. The prosecutorial threshold is categorically distinct from the administrative designation or public warning threshold; an Enablement-level assessment does not itself establish charging sufficiency and should not be presented as though it does.</w:t>
      </w:r>
    </w:p>
    <w:p>
      <w:pPr>
        <w:spacing w:after="100" w:before="60"/>
        <w:jc w:val="both"/>
      </w:pPr>
      <w:r>
        <w:rPr>
          <w:rFonts w:ascii="Georgia" w:cs="Georgia" w:eastAsia="Georgia" w:hAnsi="Georgia"/>
          <w:sz w:val="22"/>
          <w:szCs w:val="22"/>
        </w:rPr>
        <w:t xml:space="preserve">The relevance of Enablement-level findings to DOJ referral is through specific offense theories. In conspiracy and aiding-and-abetting analysis, an entity whose commercial function is structurally integrated into a scheme to violate IEEPA, export control statutes, sanctions programs, or financial crime statutes—and whose beneficial ownership concealment architecture was designed to facilitate that violation—presents a factual predicate relevant to conspiracy and aiding-and-abetting theories. The Enablement finding identifies the entity’s functional role in the scheme; the specific criminal theory requires independent legal analysis of the elements.</w:t>
      </w:r>
    </w:p>
    <w:p>
      <w:pPr>
        <w:spacing w:after="100" w:before="60"/>
        <w:jc w:val="both"/>
      </w:pPr>
      <w:r>
        <w:rPr>
          <w:rFonts w:ascii="Georgia" w:cs="Georgia" w:eastAsia="Georgia" w:hAnsi="Georgia"/>
          <w:sz w:val="22"/>
          <w:szCs w:val="22"/>
        </w:rPr>
        <w:t xml:space="preserve">Money laundering predicate analysis is directly served by financial flow indicators that meet the SAR trigger standard: transactions with no evident commercial purpose, pass-through structures, and capital infusions from sanctioned or state-affiliated sources. Bank fraud and wire fraud theories may be supported where an entity’s beneficial ownership misrepresentations were made to U.S. financial institutions in the course of account opening or transaction processing.</w:t>
      </w:r>
    </w:p>
    <w:p>
      <w:pPr>
        <w:spacing w:after="100" w:before="60"/>
        <w:jc w:val="both"/>
      </w:pPr>
      <w:r>
        <w:rPr>
          <w:rFonts w:ascii="Georgia" w:cs="Georgia" w:eastAsia="Georgia" w:hAnsi="Georgia"/>
          <w:sz w:val="22"/>
          <w:szCs w:val="22"/>
        </w:rPr>
        <w:t xml:space="preserve">DOJ-calibrated findings must distinguish between what the record establishes and what it suggests; must identify the specific offense elements and how the evidentiary record maps to each; and must acknowledge what additional evidence—compulsory process, human source confirmation, or authenticated internal records—would be required before the record could support a charging decision.</w:t>
      </w:r>
    </w:p>
    <w:p>
      <w:pPr>
        <w:spacing w:after="100" w:before="60"/>
        <w:jc w:val="both"/>
      </w:pPr>
      <w:r>
        <w:rPr>
          <w:rFonts w:ascii="Georgia" w:cs="Georgia" w:eastAsia="Georgia" w:hAnsi="Georgia"/>
          <w:sz w:val="22"/>
          <w:szCs w:val="22"/>
        </w:rPr>
        <w:t xml:space="preserve">Terms appropriate for DOJ-calibrated findings: specific intent, jurisdictional nexus, charging sufficiency, admissible evidence, corroborated record, offense elements, conspiracy, aiding and abetting, IEEPA violation, export control violation, money laundering predicate, referral threshold.</w:t>
      </w:r>
    </w:p>
    <w:p>
      <w:r>
        <w:br w:type="page"/>
      </w:r>
    </w:p>
    <w:p>
      <w:pPr>
        <w:pStyle w:val="Heading1"/>
        <w:spacing w:after="80" w:before="360"/>
      </w:pPr>
      <w:r>
        <w:rPr>
          <w:rFonts w:ascii="Arial" w:cs="Arial" w:eastAsia="Arial" w:hAnsi="Arial"/>
          <w:b/>
          <w:bCs/>
          <w:color w:val="1F3864"/>
          <w:sz w:val="28"/>
          <w:szCs w:val="28"/>
        </w:rPr>
        <w:t xml:space="preserve">7. CONFIDENCE LEVELS AND FINDINGS LANGUAGE</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Confidence levels reflect the quality, independence, and convergence of the underlying evidentiary record—not the analyst’s degree of suspicion. The framework applies four levels, aligned with standard estimative practice: Low, Moderate, High, and High with Direct Nexus Evidence. Each level carries a specified corroboration requirement and a findings language template that distinguishes what the record establishes from what it suggests and what it does not establish. Where corroboration weakens, the appropriate response is not rhetorical qualification at the same rung but reassessment at the lower rung.</w:t>
      </w:r>
    </w:p>
    <w:p>
      <w:pPr>
        <w:pStyle w:val="Heading2"/>
        <w:spacing w:after="80" w:before="240"/>
      </w:pPr>
      <w:r>
        <w:rPr>
          <w:rFonts w:ascii="Arial" w:cs="Arial" w:eastAsia="Arial" w:hAnsi="Arial"/>
          <w:b/>
          <w:bCs/>
          <w:color w:val="2F5496"/>
          <w:sz w:val="24"/>
          <w:szCs w:val="24"/>
        </w:rPr>
        <w:t xml:space="preserve">7.1 Low Confidence</w:t>
      </w:r>
    </w:p>
    <w:p>
      <w:pPr>
        <w:spacing w:after="100" w:before="60"/>
        <w:jc w:val="both"/>
      </w:pPr>
      <w:r>
        <w:rPr>
          <w:rFonts w:ascii="Georgia" w:cs="Georgia" w:eastAsia="Georgia" w:hAnsi="Georgia"/>
          <w:sz w:val="22"/>
          <w:szCs w:val="22"/>
        </w:rPr>
        <w:t xml:space="preserve">A Low-confidence assessment is warranted where the evidentiary record supports a Linkage or early Support characterization but is drawn from a single domain, relies on publicly available secondary sources rather than primary documentary records, or has not been independently corroborated. Low-confidence findings are appropriate for due diligence flagging, enhanced screening, and further investigative development. They do not support designation analysis, SAR filing as a primary predicate, or criminal referral.</w:t>
      </w:r>
    </w:p>
    <w:p>
      <w:pPr>
        <w:spacing w:after="100" w:before="60"/>
        <w:jc w:val="both"/>
      </w:pPr>
      <w:r>
        <w:rPr>
          <w:rFonts w:ascii="Georgia" w:cs="Georgia" w:eastAsia="Georgia" w:hAnsi="Georgia"/>
          <w:b/>
          <w:bCs/>
          <w:sz w:val="22"/>
          <w:szCs w:val="22"/>
        </w:rPr>
        <w:t xml:space="preserve">Model findings language (Low): </w:t>
      </w:r>
      <w:r>
        <w:rPr>
          <w:rFonts w:ascii="Georgia" w:cs="Georgia" w:eastAsia="Georgia" w:hAnsi="Georgia"/>
          <w:b w:val="false"/>
          <w:bCs w:val="false"/>
          <w:sz w:val="22"/>
          <w:szCs w:val="22"/>
        </w:rPr>
        <w:t xml:space="preserve">Available records are consistent with a Linkage-level relationship between [entity] and [PRC state-affiliated institution]. The record is drawn from [source category] and has not been independently corroborated. This finding is insufficient to support an assessment above the Linkage level and warrants further evidentiary development before any institutional action is considered.</w:t>
      </w:r>
    </w:p>
    <w:p>
      <w:pPr>
        <w:pStyle w:val="Heading2"/>
        <w:spacing w:after="80" w:before="240"/>
      </w:pPr>
      <w:r>
        <w:rPr>
          <w:rFonts w:ascii="Arial" w:cs="Arial" w:eastAsia="Arial" w:hAnsi="Arial"/>
          <w:b/>
          <w:bCs/>
          <w:color w:val="2F5496"/>
          <w:sz w:val="24"/>
          <w:szCs w:val="24"/>
        </w:rPr>
        <w:t xml:space="preserve">7.2 Moderate Confidence</w:t>
      </w:r>
    </w:p>
    <w:p>
      <w:pPr>
        <w:spacing w:after="100" w:before="60"/>
        <w:jc w:val="both"/>
      </w:pPr>
      <w:r>
        <w:rPr>
          <w:rFonts w:ascii="Georgia" w:cs="Georgia" w:eastAsia="Georgia" w:hAnsi="Georgia"/>
          <w:sz w:val="22"/>
          <w:szCs w:val="22"/>
        </w:rPr>
        <w:t xml:space="preserve">A Moderate-confidence assessment is warranted where the evidentiary record supports a Support or Enablement characterization based on corroborated evidence from two or more independent domains, but where the corroboration is incomplete, one or more domains rely on secondary rather than primary sources, or significant alternative explanations have not been fully excluded. Moderate-confidence findings can inform sanctions screening escalation, may support SAR filing where independently supported by transaction patterns, and can justify CFIUS concern elevation for further review. They do not independently support designation without further evidentiary development.</w:t>
      </w:r>
    </w:p>
    <w:p>
      <w:pPr>
        <w:spacing w:after="100" w:before="60"/>
        <w:jc w:val="both"/>
      </w:pPr>
      <w:r>
        <w:rPr>
          <w:rFonts w:ascii="Georgia" w:cs="Georgia" w:eastAsia="Georgia" w:hAnsi="Georgia"/>
          <w:b/>
          <w:bCs/>
          <w:sz w:val="22"/>
          <w:szCs w:val="22"/>
        </w:rPr>
        <w:t xml:space="preserve">Model findings language (Moderate): </w:t>
      </w:r>
      <w:r>
        <w:rPr>
          <w:rFonts w:ascii="Georgia" w:cs="Georgia" w:eastAsia="Georgia" w:hAnsi="Georgia"/>
          <w:b w:val="false"/>
          <w:bCs w:val="false"/>
          <w:sz w:val="22"/>
          <w:szCs w:val="22"/>
        </w:rPr>
        <w:t xml:space="preserve">The available record supports a moderate-confidence assessment that [entity] maintains a Support-level relationship with [PRC state institution or program]. This assessment is based on corroborated evidence from [domain A] and [domain B]. The record does not independently establish Enablement-level structural integration. The principal innocent explanation—[specify]—has been considered; it is given reduced weight on the following grounds: [specify evidentiary basis, not merely suspicion]. Additional evidence from [domain C] would be required to elevate this assessment.</w:t>
      </w:r>
    </w:p>
    <w:p>
      <w:pPr>
        <w:pStyle w:val="Heading2"/>
        <w:spacing w:after="80" w:before="240"/>
      </w:pPr>
      <w:r>
        <w:rPr>
          <w:rFonts w:ascii="Arial" w:cs="Arial" w:eastAsia="Arial" w:hAnsi="Arial"/>
          <w:b/>
          <w:bCs/>
          <w:color w:val="2F5496"/>
          <w:sz w:val="24"/>
          <w:szCs w:val="24"/>
        </w:rPr>
        <w:t xml:space="preserve">7.3 High Confidence</w:t>
      </w:r>
    </w:p>
    <w:p>
      <w:pPr>
        <w:spacing w:after="100" w:before="60"/>
        <w:jc w:val="both"/>
      </w:pPr>
      <w:r>
        <w:rPr>
          <w:rFonts w:ascii="Georgia" w:cs="Georgia" w:eastAsia="Georgia" w:hAnsi="Georgia"/>
          <w:sz w:val="22"/>
          <w:szCs w:val="22"/>
        </w:rPr>
        <w:t xml:space="preserve">A High-confidence assessment is warranted where the evidentiary record supports an Enablement characterization based on convergent, independently corroborated evidence from three or more domains, where primary documentary sources have been used where available, and where the principal alternative explanations have been assessed and found insufficient on the available record. High-confidence Enablement findings can inform OFAC totality-of-circumstances analysis, may support SAR filing, and can provide a basis for CFIUS mandatory declaration review and BIS Entity List referral consideration. Whether the open-source record meets the institution-specific threshold for any of these actions is a determination for the relevant institution, not a conclusion the finding itself compels.</w:t>
      </w:r>
    </w:p>
    <w:p>
      <w:pPr>
        <w:spacing w:after="100" w:before="60"/>
        <w:jc w:val="both"/>
      </w:pPr>
      <w:r>
        <w:rPr>
          <w:rFonts w:ascii="Georgia" w:cs="Georgia" w:eastAsia="Georgia" w:hAnsi="Georgia"/>
          <w:b/>
          <w:bCs/>
          <w:sz w:val="22"/>
          <w:szCs w:val="22"/>
        </w:rPr>
        <w:t xml:space="preserve">Model findings language (High): </w:t>
      </w:r>
      <w:r>
        <w:rPr>
          <w:rFonts w:ascii="Georgia" w:cs="Georgia" w:eastAsia="Georgia" w:hAnsi="Georgia"/>
          <w:b w:val="false"/>
          <w:bCs w:val="false"/>
          <w:sz w:val="22"/>
          <w:szCs w:val="22"/>
        </w:rPr>
        <w:t xml:space="preserve">The available record supports a high-confidence assessment that [entity] maintains an Enablement-level relationship with [PRC state institution or program]. This assessment is based on convergent evidence from [domain A], [domain B], and [domain C], independently corroborated. The record does not establish Direct Tasking. The principal alternative explanation—[specify]—is inconsistent with [specific evidentiary basis]. The following additional evidence would materially change this assessment: [specify]. This finding is relevant to [institution-specific threshold] and can support escalation for further evidentiary development; it does not substitute for institution-specific legal or policy review.</w:t>
      </w:r>
    </w:p>
    <w:p>
      <w:pPr>
        <w:pStyle w:val="Heading2"/>
        <w:spacing w:after="80" w:before="240"/>
      </w:pPr>
      <w:r>
        <w:rPr>
          <w:rFonts w:ascii="Arial" w:cs="Arial" w:eastAsia="Arial" w:hAnsi="Arial"/>
          <w:b/>
          <w:bCs/>
          <w:color w:val="2F5496"/>
          <w:sz w:val="24"/>
          <w:szCs w:val="24"/>
        </w:rPr>
        <w:t xml:space="preserve">7.4 High Confidence with Direct Nexus Evidence</w:t>
      </w:r>
    </w:p>
    <w:p>
      <w:pPr>
        <w:spacing w:after="100" w:before="60"/>
        <w:jc w:val="both"/>
      </w:pPr>
      <w:r>
        <w:rPr>
          <w:rFonts w:ascii="Georgia" w:cs="Georgia" w:eastAsia="Georgia" w:hAnsi="Georgia"/>
          <w:sz w:val="22"/>
          <w:szCs w:val="22"/>
        </w:rPr>
        <w:t xml:space="preserve">A High-confidence assessment with Direct Nexus Evidence is warranted where the evidentiary record includes primary documentary evidence—authenticated internal records, legal process results, confirmed human source reporting, or equivalent—establishing the tasking or control relationship directly. This level is rarely achievable on open-source evidence alone in cases of sophisticated PRC commercial concealment. Where it is achievable, it supports the full range of institutional consequences including designation, criminal referral predicate, and public attribution.</w:t>
      </w:r>
    </w:p>
    <w:p>
      <w:pPr>
        <w:spacing w:after="100" w:before="60"/>
        <w:jc w:val="both"/>
      </w:pPr>
      <w:r>
        <w:rPr>
          <w:rFonts w:ascii="Georgia" w:cs="Georgia" w:eastAsia="Georgia" w:hAnsi="Georgia"/>
          <w:b/>
          <w:bCs/>
          <w:sz w:val="22"/>
          <w:szCs w:val="22"/>
        </w:rPr>
        <w:t xml:space="preserve">Model findings language (High + Direct Nexus): </w:t>
      </w:r>
      <w:r>
        <w:rPr>
          <w:rFonts w:ascii="Georgia" w:cs="Georgia" w:eastAsia="Georgia" w:hAnsi="Georgia"/>
          <w:b w:val="false"/>
          <w:bCs w:val="false"/>
          <w:sz w:val="22"/>
          <w:szCs w:val="22"/>
        </w:rPr>
        <w:t xml:space="preserve">The available record supports a high-confidence assessment with direct nexus evidence that [entity] operates under the direction or control of [PRC state organ]. This assessment is based on [describe primary evidence] corroborated by [domain evidence]. The record establishes Direct Tasking as defined in the Five-Rung Commercial State Nexus Ladder. This finding supports [institution-specific consequence] without additional evidentiary development, subject to independent legal and policy review.</w:t>
      </w:r>
    </w:p>
    <w:p>
      <w:r>
        <w:br w:type="page"/>
      </w:r>
    </w:p>
    <w:p>
      <w:pPr>
        <w:pStyle w:val="Heading1"/>
        <w:spacing w:after="80" w:before="360"/>
      </w:pPr>
      <w:r>
        <w:rPr>
          <w:rFonts w:ascii="Arial" w:cs="Arial" w:eastAsia="Arial" w:hAnsi="Arial"/>
          <w:b/>
          <w:bCs/>
          <w:color w:val="1F3864"/>
          <w:sz w:val="28"/>
          <w:szCs w:val="28"/>
        </w:rPr>
        <w:t xml:space="preserve">8. FAILURE MODES</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The failure modes most likely to produce erroneous Enablement assessments fall into two categories: overclaiming failures that reach Enablement from insufficient evidence, and underclaiming failures that refuse an Enablement assessment despite a well-supported record. Both produce institutional consequences. Overclaiming damages the credibility of the methodology and produces findings that enforcement consumers cannot rely on. Underclaiming produces analytically empty findings that satisfy no institutional purpose.</w:t>
      </w:r>
    </w:p>
    <w:p>
      <w:pPr>
        <w:pStyle w:val="Heading2"/>
        <w:spacing w:after="80" w:before="240"/>
      </w:pPr>
      <w:r>
        <w:rPr>
          <w:rFonts w:ascii="Arial" w:cs="Arial" w:eastAsia="Arial" w:hAnsi="Arial"/>
          <w:b/>
          <w:bCs/>
          <w:color w:val="2F5496"/>
          <w:sz w:val="24"/>
          <w:szCs w:val="24"/>
        </w:rPr>
        <w:t xml:space="preserve">8.1 Complexity Conflation</w:t>
      </w:r>
    </w:p>
    <w:p>
      <w:pPr>
        <w:spacing w:after="100" w:before="60"/>
        <w:jc w:val="both"/>
      </w:pPr>
      <w:r>
        <w:rPr>
          <w:rFonts w:ascii="Georgia" w:cs="Georgia" w:eastAsia="Georgia" w:hAnsi="Georgia"/>
          <w:sz w:val="22"/>
          <w:szCs w:val="22"/>
        </w:rPr>
        <w:t xml:space="preserve">Treating corporate structure complexity as evidence of state control is the most common overclaiming failure in commercial state-nexus analysis. Complex ownership structures, multi-jurisdictional holding architectures, and offshore incorporation are standard features of large commercial groups operating across jurisdictions—including entirely private ones. The analytical question is not whether the structure is complex but whether its complexity serves an evident commercial purpose or whether it is more complex than the entity’s commercial activity independently warrants. Complexity without a discernible commercial rationale is an indicator; complexity alone is not.</w:t>
      </w:r>
    </w:p>
    <w:p>
      <w:pPr>
        <w:pStyle w:val="Heading2"/>
        <w:spacing w:after="80" w:before="240"/>
      </w:pPr>
      <w:r>
        <w:rPr>
          <w:rFonts w:ascii="Arial" w:cs="Arial" w:eastAsia="Arial" w:hAnsi="Arial"/>
          <w:b/>
          <w:bCs/>
          <w:color w:val="2F5496"/>
          <w:sz w:val="24"/>
          <w:szCs w:val="24"/>
        </w:rPr>
        <w:t xml:space="preserve">8.2 Jurisdiction Shortcuts</w:t>
      </w:r>
    </w:p>
    <w:p>
      <w:pPr>
        <w:spacing w:after="100" w:before="60"/>
        <w:jc w:val="both"/>
      </w:pPr>
      <w:r>
        <w:rPr>
          <w:rFonts w:ascii="Georgia" w:cs="Georgia" w:eastAsia="Georgia" w:hAnsi="Georgia"/>
          <w:sz w:val="22"/>
          <w:szCs w:val="22"/>
        </w:rPr>
        <w:t xml:space="preserve">Treating Hong Kong or BVI incorporation as evidence of PRC state direction is an undisciplined analytical shortcut. Both jurisdictions are among the most commonly used globally for legitimate commercial, tax, and capital-raise purposes entirely unconnected to PRC state relationships. Jurisdiction indicators are relevant to the structural analysis only where they occur in combination with other indicators—nominee service patterns, ownership chain architecture, and financial flows—that collectively suggest a concealment function rather than a commercial one.</w:t>
      </w:r>
    </w:p>
    <w:p>
      <w:pPr>
        <w:pStyle w:val="Heading2"/>
        <w:spacing w:after="80" w:before="240"/>
      </w:pPr>
      <w:r>
        <w:rPr>
          <w:rFonts w:ascii="Arial" w:cs="Arial" w:eastAsia="Arial" w:hAnsi="Arial"/>
          <w:b/>
          <w:bCs/>
          <w:color w:val="2F5496"/>
          <w:sz w:val="24"/>
          <w:szCs w:val="24"/>
        </w:rPr>
        <w:t xml:space="preserve">8.3 Circular Beneficial Ownership</w:t>
      </w:r>
    </w:p>
    <w:p>
      <w:pPr>
        <w:spacing w:after="100" w:before="60"/>
        <w:jc w:val="both"/>
      </w:pPr>
      <w:r>
        <w:rPr>
          <w:rFonts w:ascii="Georgia" w:cs="Georgia" w:eastAsia="Georgia" w:hAnsi="Georgia"/>
          <w:sz w:val="22"/>
          <w:szCs w:val="22"/>
        </w:rPr>
        <w:t xml:space="preserve">Using the same source—a single investigative report, a single corporate database entry, or a single secondary analysis—to establish both the ownership structure and the state-nexus characterization violates the corroboration rule. Circular sourcing produces apparent multi-domain convergence that is actually single-source confirmation. The independent corroboration requirement means that each domain’s evidence must be drawn from sources that do not share a common underlying evidentiary basis with the sources used in other domains. A network analysis report that documents both the ownership chain and the state-affiliation connection from a single investigative database is one source, not two.</w:t>
      </w:r>
    </w:p>
    <w:p>
      <w:pPr>
        <w:pStyle w:val="Heading2"/>
        <w:spacing w:after="80" w:before="240"/>
      </w:pPr>
      <w:r>
        <w:rPr>
          <w:rFonts w:ascii="Arial" w:cs="Arial" w:eastAsia="Arial" w:hAnsi="Arial"/>
          <w:b/>
          <w:bCs/>
          <w:color w:val="2F5496"/>
          <w:sz w:val="24"/>
          <w:szCs w:val="24"/>
        </w:rPr>
        <w:t xml:space="preserve">8.4 VIE Overclaiming</w:t>
      </w:r>
    </w:p>
    <w:p>
      <w:pPr>
        <w:spacing w:after="100" w:before="60"/>
        <w:jc w:val="both"/>
      </w:pPr>
      <w:r>
        <w:rPr>
          <w:rFonts w:ascii="Georgia" w:cs="Georgia" w:eastAsia="Georgia" w:hAnsi="Georgia"/>
          <w:sz w:val="22"/>
          <w:szCs w:val="22"/>
        </w:rPr>
        <w:t xml:space="preserve">Treating VIE contractual control as equivalent to direct PRC state ownership without identifying the state-affiliated counterparty to the VIE arrangements is a common analytic error. VIE architecture is standard commercial practice for PRC technology companies seeking foreign investment. The Enablement-relevant question is not whether the structure uses VIE arrangements but whether the contractual counterparty has a documented PRC state relationship and whether the arrangements serve a concealment function. A VIE in which the WFOE counterparty is a legitimate private foreign investor is not itself an Enablement indicator.</w:t>
      </w:r>
    </w:p>
    <w:p>
      <w:pPr>
        <w:pStyle w:val="Heading2"/>
        <w:spacing w:after="80" w:before="240"/>
      </w:pPr>
      <w:r>
        <w:rPr>
          <w:rFonts w:ascii="Arial" w:cs="Arial" w:eastAsia="Arial" w:hAnsi="Arial"/>
          <w:b/>
          <w:bCs/>
          <w:color w:val="2F5496"/>
          <w:sz w:val="24"/>
          <w:szCs w:val="24"/>
        </w:rPr>
        <w:t xml:space="preserve">8.5 Toleration as Tasking</w:t>
      </w:r>
    </w:p>
    <w:p>
      <w:pPr>
        <w:spacing w:after="100" w:before="60"/>
        <w:jc w:val="both"/>
      </w:pPr>
      <w:r>
        <w:rPr>
          <w:rFonts w:ascii="Georgia" w:cs="Georgia" w:eastAsia="Georgia" w:hAnsi="Georgia"/>
          <w:sz w:val="22"/>
          <w:szCs w:val="22"/>
        </w:rPr>
        <w:t xml:space="preserve">Treating documented state regulatory non-enforcement as evidence of active operational direction conflates passive Support with Enablement. Regulatory forbearance, selective enforcement, and preferential market access are consistent with a Support relationship—the state tolerates and benefits from the entity’s commercial existence without directing its operational activity. The distinction matters because the Enablement definition requires evidence of structural integration and bidirectional benefit, not merely evidence of state favor. Protection indicators support a Support assessment and may contribute to a multi-domain Enablement assessment; they do not independently establish Enablement.</w:t>
      </w:r>
    </w:p>
    <w:p>
      <w:pPr>
        <w:pStyle w:val="Heading2"/>
        <w:spacing w:after="80" w:before="240"/>
      </w:pPr>
      <w:r>
        <w:rPr>
          <w:rFonts w:ascii="Arial" w:cs="Arial" w:eastAsia="Arial" w:hAnsi="Arial"/>
          <w:b/>
          <w:bCs/>
          <w:color w:val="2F5496"/>
          <w:sz w:val="24"/>
          <w:szCs w:val="24"/>
        </w:rPr>
        <w:t xml:space="preserve">8.6 Single-Indicator Enablement</w:t>
      </w:r>
    </w:p>
    <w:p>
      <w:pPr>
        <w:spacing w:after="100" w:before="60"/>
        <w:jc w:val="both"/>
      </w:pPr>
      <w:r>
        <w:rPr>
          <w:rFonts w:ascii="Georgia" w:cs="Georgia" w:eastAsia="Georgia" w:hAnsi="Georgia"/>
          <w:sz w:val="22"/>
          <w:szCs w:val="22"/>
        </w:rPr>
        <w:t xml:space="preserve">Reaching an Enablement conclusion from any single indicator—however strong—without multi-domain corroboration violates the corroboration rule and produces a finding that no institutional consumer should accept. Single-indicator Enablement assessments are particularly tempting where one indicator is unusually probative—for example, a financial pass-through pattern that has no evident commercial explanation. That indicator supports a moderate-confidence finding that warrants further evidentiary development. It does not support a high-confidence Enablement assessment without corroboration from at least one other independent domain. The institutional stakes of an Enablement finding—designation analysis, SAR filing, CFIUS escalation—are sufficient to require the full corroboration standard before the finding is presented.</w:t>
      </w:r>
    </w:p>
    <w:p>
      <w:pPr>
        <w:pStyle w:val="Heading2"/>
        <w:spacing w:after="80" w:before="240"/>
      </w:pPr>
      <w:r>
        <w:rPr>
          <w:rFonts w:ascii="Arial" w:cs="Arial" w:eastAsia="Arial" w:hAnsi="Arial"/>
          <w:b/>
          <w:bCs/>
          <w:color w:val="2F5496"/>
          <w:sz w:val="24"/>
          <w:szCs w:val="24"/>
        </w:rPr>
        <w:t xml:space="preserve">8.7 Threshold Laundering</w:t>
      </w:r>
    </w:p>
    <w:p>
      <w:pPr>
        <w:spacing w:after="100" w:before="60"/>
        <w:jc w:val="both"/>
      </w:pPr>
      <w:r>
        <w:rPr>
          <w:rFonts w:ascii="Georgia" w:cs="Georgia" w:eastAsia="Georgia" w:hAnsi="Georgia"/>
          <w:sz w:val="22"/>
          <w:szCs w:val="22"/>
        </w:rPr>
        <w:t xml:space="preserve">Threshold laundering occurs when an Enablement analytic label is used to imply that institution-specific legal thresholds have already been met. An Enablement assessment is an analytic finding about functional integration and concealment utility. It is not a legal determination, a regulatory predicate, or an institutional decision. Presenting an Enablement finding in a form that suggests OFAC’s totality-of-circumstances standard has been satisfied, that a SAR filing is compelled, or that CFIUS has grounds for action exceeds what the analytic label supports and exposes the finding to justified dismissal. The correct posture is advisory: the finding provides an evidentiary basis for escalation and further development; whether institution-specific thresholds are met is a determination for the institution, made with tools and sources that may extend well beyond the open-source record.</w:t>
      </w:r>
    </w:p>
    <w:p>
      <w:r>
        <w:br w:type="page"/>
      </w:r>
    </w:p>
    <w:p>
      <w:pPr>
        <w:pStyle w:val="Heading1"/>
        <w:spacing w:after="80" w:before="360"/>
      </w:pPr>
      <w:r>
        <w:rPr>
          <w:rFonts w:ascii="Arial" w:cs="Arial" w:eastAsia="Arial" w:hAnsi="Arial"/>
          <w:b/>
          <w:bCs/>
          <w:color w:val="1F3864"/>
          <w:sz w:val="28"/>
          <w:szCs w:val="28"/>
        </w:rPr>
        <w:t xml:space="preserve">9. LIMITS OF THE METHOD</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The methodology described in this paper operates at the ceiling of what open-source evidentiary analysis can support. Several structural limits apply regardless of the quality of the analysis, and they must be reflected honestly in any findings produced under this framework.</w:t>
      </w:r>
    </w:p>
    <w:p>
      <w:pPr>
        <w:pStyle w:val="Heading2"/>
        <w:spacing w:after="80" w:before="240"/>
      </w:pPr>
      <w:r>
        <w:rPr>
          <w:rFonts w:ascii="Arial" w:cs="Arial" w:eastAsia="Arial" w:hAnsi="Arial"/>
          <w:b/>
          <w:bCs/>
          <w:color w:val="2F5496"/>
          <w:sz w:val="24"/>
          <w:szCs w:val="24"/>
        </w:rPr>
        <w:t xml:space="preserve">9.1 The Compulsory Process Ceiling</w:t>
      </w:r>
    </w:p>
    <w:p>
      <w:pPr>
        <w:spacing w:after="100" w:before="60"/>
        <w:jc w:val="both"/>
      </w:pPr>
      <w:r>
        <w:rPr>
          <w:rFonts w:ascii="Georgia" w:cs="Georgia" w:eastAsia="Georgia" w:hAnsi="Georgia"/>
          <w:sz w:val="22"/>
          <w:szCs w:val="22"/>
        </w:rPr>
        <w:t xml:space="preserve">Corporate registry information in concealment jurisdictions—BVI, Cayman Islands, Seychelles, and similar offshore financial centers—is often incomplete, unreliable, or deliberately falsified. Nominee arrangements are by design invisible to corporate registries. Beneficial ownership declarations in low-disclosure jurisdictions may be satisfied by nominal disclosure that does not capture the actual beneficial owner. The open-source methodology can document the existence of a concealment-jurisdiction holding entity and its structural features; it cannot pierce nominee arrangements or verify beneficial ownership declarations without compulsory legal process—subpoena, mutual legal assistance request, or equivalent authority. Any open-source beneficial ownership conclusion drawn from low-disclosure-jurisdiction registry data should be explicitly qualified as subject to revision when authoritative records become available through legal process.</w:t>
      </w:r>
    </w:p>
    <w:p>
      <w:pPr>
        <w:pStyle w:val="Heading2"/>
        <w:spacing w:after="80" w:before="240"/>
      </w:pPr>
      <w:r>
        <w:rPr>
          <w:rFonts w:ascii="Arial" w:cs="Arial" w:eastAsia="Arial" w:hAnsi="Arial"/>
          <w:b/>
          <w:bCs/>
          <w:color w:val="2F5496"/>
          <w:sz w:val="24"/>
          <w:szCs w:val="24"/>
        </w:rPr>
        <w:t xml:space="preserve">9.2 The Single-Source Problem in Open-Source Analysis</w:t>
      </w:r>
    </w:p>
    <w:p>
      <w:pPr>
        <w:spacing w:after="100" w:before="60"/>
        <w:jc w:val="both"/>
      </w:pPr>
      <w:r>
        <w:rPr>
          <w:rFonts w:ascii="Georgia" w:cs="Georgia" w:eastAsia="Georgia" w:hAnsi="Georgia"/>
          <w:sz w:val="22"/>
          <w:szCs w:val="22"/>
        </w:rPr>
        <w:t xml:space="preserve">A significant portion of publicly available analysis of PRC commercial concealment structures originates from a small number of investigative sources—a limited set of corporate intelligence databases, investigative journalism outlets, and think-tank research programs. Cross-referencing among these sources may produce apparent corroboration that is actually single-source reporting at different levels of aggregation. The corroboration rule requires that each domain’s evidence be independently sourced; where the independent sourcing cannot be established, the finding should be stated at a reduced confidence level reflecting the single-source limitation.</w:t>
      </w:r>
    </w:p>
    <w:p>
      <w:pPr>
        <w:pStyle w:val="Heading2"/>
        <w:spacing w:after="80" w:before="240"/>
      </w:pPr>
      <w:r>
        <w:rPr>
          <w:rFonts w:ascii="Arial" w:cs="Arial" w:eastAsia="Arial" w:hAnsi="Arial"/>
          <w:b/>
          <w:bCs/>
          <w:color w:val="2F5496"/>
          <w:sz w:val="24"/>
          <w:szCs w:val="24"/>
        </w:rPr>
        <w:t xml:space="preserve">9.3 The Open-Source Confidence Ceiling</w:t>
      </w:r>
    </w:p>
    <w:p>
      <w:pPr>
        <w:spacing w:after="100" w:before="60"/>
        <w:jc w:val="both"/>
      </w:pPr>
      <w:r>
        <w:rPr>
          <w:rFonts w:ascii="Georgia" w:cs="Georgia" w:eastAsia="Georgia" w:hAnsi="Georgia"/>
          <w:sz w:val="22"/>
          <w:szCs w:val="22"/>
        </w:rPr>
        <w:t xml:space="preserve">No open-source methodology can reach a Direct Tasking conclusion at high confidence in cases of sophisticated PRC commercial concealment. The tasking relationship itself—the specific authorization, directive, or control exercise that constitutes Direct Tasking—is by design not observable in open-source records. An open-source analysis that reaches a Direct Tasking conclusion without primary documentary evidence of the tasking relationship itself should be treated with significant skepticism. The appropriate analytical response is to state the highest supportable confidence level on the available record—typically High-confidence Enablement—and to specify what additional evidence would be required to reach Direct Tasking.</w:t>
      </w:r>
    </w:p>
    <w:p>
      <w:pPr>
        <w:pStyle w:val="Heading2"/>
        <w:spacing w:after="80" w:before="240"/>
      </w:pPr>
      <w:r>
        <w:rPr>
          <w:rFonts w:ascii="Arial" w:cs="Arial" w:eastAsia="Arial" w:hAnsi="Arial"/>
          <w:b/>
          <w:bCs/>
          <w:color w:val="2F5496"/>
          <w:sz w:val="24"/>
          <w:szCs w:val="24"/>
        </w:rPr>
        <w:t xml:space="preserve">9.4 Findings Are Not Institutional Actions</w:t>
      </w:r>
    </w:p>
    <w:p>
      <w:pPr>
        <w:spacing w:after="100" w:before="60"/>
        <w:jc w:val="both"/>
      </w:pPr>
      <w:r>
        <w:rPr>
          <w:rFonts w:ascii="Georgia" w:cs="Georgia" w:eastAsia="Georgia" w:hAnsi="Georgia"/>
          <w:sz w:val="22"/>
          <w:szCs w:val="22"/>
        </w:rPr>
        <w:t xml:space="preserve">An Enablement-level assessment, however well-corroborated, is an analytical judgment—not a designation, a SAR filing, a criminal referral, or an enforcement action. Each institutional consequence requires independent legal and policy review against the standards applicable to that institution’s process. The analytical finding identifies the evidentiary basis and confidence level that the available record supports. Whether that finding is sufficient for any particular institutional action is a determination that belongs to the relevant institution, not to the analyst. The methodology is designed to make that determination more informed and more defensible; it does not substitute for it.</w:t>
      </w:r>
    </w:p>
    <w:p>
      <w:pPr>
        <w:pStyle w:val="Heading2"/>
        <w:spacing w:after="80" w:before="240"/>
      </w:pPr>
      <w:r>
        <w:rPr>
          <w:rFonts w:ascii="Arial" w:cs="Arial" w:eastAsia="Arial" w:hAnsi="Arial"/>
          <w:b/>
          <w:bCs/>
          <w:color w:val="2F5496"/>
          <w:sz w:val="24"/>
          <w:szCs w:val="24"/>
        </w:rPr>
        <w:t xml:space="preserve">9.5 Known-Case Consistency and Validation Limits</w:t>
      </w:r>
    </w:p>
    <w:p>
      <w:pPr>
        <w:spacing w:after="100" w:before="60"/>
        <w:jc w:val="both"/>
      </w:pPr>
      <w:r>
        <w:rPr>
          <w:rFonts w:ascii="Georgia" w:cs="Georgia" w:eastAsia="Georgia" w:hAnsi="Georgia"/>
          <w:sz w:val="22"/>
          <w:szCs w:val="22"/>
        </w:rPr>
        <w:t xml:space="preserve">This methodology has not been formally validated against a population of known cases. A complete validation would require applying the ladder to entities with known institutional outcomes—designated, reviewed and not designated, and contested—using non-public designation records and classified evidentiary bases that open-source analysis cannot replicate. A partial consistency check is possible against public SDN List entries for PRC-affiliated entities under programs including EO 13959 (Chinese military-industrial complex), EO 14032 (surveillance technology), and the NS-CMIC List. Those records characteristically describe: documented ownership chains tracing to PRC state entities or designated persons (structural domain); financial flows from state-controlled funds or policy banks (financial domain); executive appointments with prior PRC military or intelligence institutional service (personnel domain); and procurement or technology-transfer activity inconsistent with independent commercial status (operational domain). Applied to those records, the ladder would classify designated entities at Enablement or Direct Tasking in most cases—consistent with the institutional outcome—and would not elevate entities to Enablement on the basis of PRC incorporation, policy-bank lending, or priority-sector activity alone, consistent with the disconfirmation criteria in Section 5.5. That consistency is a necessary but not sufficient condition for validity: it does not test whether the ladder produces false positives for entities a fully informed institutional review would classify at Support, which requires non-public records.</w:t>
      </w:r>
    </w:p>
    <w:p>
      <w:pPr>
        <w:spacing w:after="100" w:before="60"/>
        <w:jc w:val="both"/>
      </w:pPr>
      <w:r>
        <w:rPr>
          <w:rFonts w:ascii="Georgia" w:cs="Georgia" w:eastAsia="Georgia" w:hAnsi="Georgia"/>
          <w:sz w:val="22"/>
          <w:szCs w:val="22"/>
        </w:rPr>
        <w:t xml:space="preserve">The value of this methodology is in forcing the analyst to articulate, at each rung transition, what the record shows and what it does not—producing findings a downstream institutional consumer can interrogate, challenge, and supplement with non-public sources. It is designed to reduce analytic drift, not to eliminate uncertainty or collapse institutional process into open-source judgment.</w:t>
      </w:r>
    </w:p>
    <w:p>
      <w:r>
        <w:br w:type="page"/>
      </w:r>
    </w:p>
    <w:p>
      <w:pPr>
        <w:pStyle w:val="Heading1"/>
        <w:spacing w:after="80" w:before="360"/>
      </w:pPr>
      <w:r>
        <w:rPr>
          <w:rFonts w:ascii="Arial" w:cs="Arial" w:eastAsia="Arial" w:hAnsi="Arial"/>
          <w:b/>
          <w:bCs/>
          <w:color w:val="1F3864"/>
          <w:sz w:val="28"/>
          <w:szCs w:val="28"/>
        </w:rPr>
        <w:t xml:space="preserve">10. CONCLUSION</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The central problem in PRC commercial state-nexus analysis is not the absence of suspicious indicators. It is the absence of a structured evidentiary methodology for placing those indicators on a hierarchy that distinguishes commercial proximity from active facilitation of state objectives—and that maps each level to a defensible institutional consequence.</w:t>
      </w:r>
    </w:p>
    <w:p>
      <w:pPr>
        <w:spacing w:after="100" w:before="60"/>
        <w:jc w:val="both"/>
      </w:pPr>
      <w:r>
        <w:rPr>
          <w:rFonts w:ascii="Georgia" w:cs="Georgia" w:eastAsia="Georgia" w:hAnsi="Georgia"/>
          <w:sz w:val="22"/>
          <w:szCs w:val="22"/>
        </w:rPr>
        <w:t xml:space="preserve">The Five-Rung Commercial State Nexus Ladder addresses that problem by defining Enablement as a distinct analytic category between Support and Direct Tasking, applying OFAC, FinCEN, and CFIUS evidentiary standards to the concealment mechanisms most commonly used to obscure PRC commercial state relationships, and specifying the Support/Enablement boundary with the precision that existing practice lacks.</w:t>
      </w:r>
    </w:p>
    <w:p>
      <w:pPr>
        <w:spacing w:after="100" w:before="60"/>
        <w:jc w:val="both"/>
      </w:pPr>
      <w:r>
        <w:rPr>
          <w:rFonts w:ascii="Georgia" w:cs="Georgia" w:eastAsia="Georgia" w:hAnsi="Georgia"/>
          <w:sz w:val="22"/>
          <w:szCs w:val="22"/>
        </w:rPr>
        <w:t xml:space="preserve">The question is not whether commercial concealment is sophisticated. It is whether a disciplined evidentiary method can still produce a reviewable institutional judgment about the relationship between commercial actors and state operational requirements despite that sophistication.</w:t>
      </w:r>
    </w:p>
    <w:p>
      <w:r>
        <w:br w:type="page"/>
      </w:r>
    </w:p>
    <w:p>
      <w:pPr>
        <w:pStyle w:val="Heading1"/>
        <w:spacing w:after="80" w:before="360"/>
      </w:pPr>
      <w:r>
        <w:rPr>
          <w:rFonts w:ascii="Arial" w:cs="Arial" w:eastAsia="Arial" w:hAnsi="Arial"/>
          <w:b/>
          <w:bCs/>
          <w:color w:val="1F3864"/>
          <w:sz w:val="28"/>
          <w:szCs w:val="28"/>
        </w:rPr>
        <w:t xml:space="preserve">APPENDIX A: GLOSSARY OF KEY TERMS</w:t>
      </w:r>
    </w:p>
    <w:p>
      <w:pPr>
        <w:pBdr>
          <w:bottom w:val="single" w:color="2F5496" w:sz="10" w:space="1"/>
        </w:pBdr>
        <w:spacing w:after="80" w:before="0"/>
      </w:pPr>
    </w:p>
    <w:p>
      <w:pPr>
        <w:spacing w:after="40" w:before="0"/>
      </w:pPr>
    </w:p>
    <w:p>
      <w:pPr>
        <w:spacing w:after="40" w:before="80"/>
        <w:jc w:val="both"/>
      </w:pPr>
      <w:r>
        <w:rPr>
          <w:rFonts w:ascii="Georgia" w:cs="Georgia" w:eastAsia="Georgia" w:hAnsi="Georgia"/>
          <w:b/>
          <w:bCs/>
          <w:sz w:val="22"/>
          <w:szCs w:val="22"/>
        </w:rPr>
        <w:t xml:space="preserve">Beneficial Ownership. </w:t>
      </w:r>
      <w:r>
        <w:rPr>
          <w:rFonts w:ascii="Georgia" w:cs="Georgia" w:eastAsia="Georgia" w:hAnsi="Georgia"/>
          <w:b w:val="false"/>
          <w:bCs w:val="false"/>
          <w:sz w:val="22"/>
          <w:szCs w:val="22"/>
        </w:rPr>
        <w:t xml:space="preserve">The natural person or persons who ultimately own or control a legal entity, directly or indirectly, regardless of the nominal ownership structure. FinCEN’s Customer Due Diligence rule and OFAC beneficial ownership analysis both apply this concept, though with different thresholds and procedural implications.</w:t>
      </w:r>
    </w:p>
    <w:p>
      <w:pPr>
        <w:spacing w:after="40" w:before="80"/>
        <w:jc w:val="both"/>
      </w:pPr>
      <w:r>
        <w:rPr>
          <w:rFonts w:ascii="Georgia" w:cs="Georgia" w:eastAsia="Georgia" w:hAnsi="Georgia"/>
          <w:b/>
          <w:bCs/>
          <w:sz w:val="22"/>
          <w:szCs w:val="22"/>
        </w:rPr>
        <w:t xml:space="preserve">Blocked Property. </w:t>
      </w:r>
      <w:r>
        <w:rPr>
          <w:rFonts w:ascii="Georgia" w:cs="Georgia" w:eastAsia="Georgia" w:hAnsi="Georgia"/>
          <w:b w:val="false"/>
          <w:bCs w:val="false"/>
          <w:sz w:val="22"/>
          <w:szCs w:val="22"/>
        </w:rPr>
        <w:t xml:space="preserve">Under OFAC sanctions programs, property in which a designated person has any interest is blocked and may not be transferred, paid, exported, withdrawn, or otherwise dealt in without a license. Beneficial ownership analysis is relevant to determining whether property is blocked under the 50 Percent Rule.</w:t>
      </w:r>
    </w:p>
    <w:p>
      <w:pPr>
        <w:spacing w:after="40" w:before="80"/>
        <w:jc w:val="both"/>
      </w:pPr>
      <w:r>
        <w:rPr>
          <w:rFonts w:ascii="Georgia" w:cs="Georgia" w:eastAsia="Georgia" w:hAnsi="Georgia"/>
          <w:b/>
          <w:bCs/>
          <w:sz w:val="22"/>
          <w:szCs w:val="22"/>
        </w:rPr>
        <w:t xml:space="preserve">Commercial Cutout. </w:t>
      </w:r>
      <w:r>
        <w:rPr>
          <w:rFonts w:ascii="Georgia" w:cs="Georgia" w:eastAsia="Georgia" w:hAnsi="Georgia"/>
          <w:b w:val="false"/>
          <w:bCs w:val="false"/>
          <w:sz w:val="22"/>
          <w:szCs w:val="22"/>
        </w:rPr>
        <w:t xml:space="preserve">A nominally private commercial actor whose structure or function insulates state operational activity from direct attribution. Cutouts may be witting or unwitting; the distinction is analytically relevant to Direct Tasking but not to Enablement assessments.</w:t>
      </w:r>
    </w:p>
    <w:p>
      <w:pPr>
        <w:spacing w:after="40" w:before="80"/>
        <w:jc w:val="both"/>
      </w:pPr>
      <w:r>
        <w:rPr>
          <w:rFonts w:ascii="Georgia" w:cs="Georgia" w:eastAsia="Georgia" w:hAnsi="Georgia"/>
          <w:b/>
          <w:bCs/>
          <w:sz w:val="22"/>
          <w:szCs w:val="22"/>
        </w:rPr>
        <w:t xml:space="preserve">Covered Transaction. </w:t>
      </w:r>
      <w:r>
        <w:rPr>
          <w:rFonts w:ascii="Georgia" w:cs="Georgia" w:eastAsia="Georgia" w:hAnsi="Georgia"/>
          <w:b w:val="false"/>
          <w:bCs w:val="false"/>
          <w:sz w:val="22"/>
          <w:szCs w:val="22"/>
        </w:rPr>
        <w:t xml:space="preserve">Under FIRRMA, a transaction subject to CFIUS jurisdiction, including foreign investment that could result in control of a U.S. business by a foreign person, or certain other transactions involving sensitive U.S. data or infrastructure.</w:t>
      </w:r>
    </w:p>
    <w:p>
      <w:pPr>
        <w:spacing w:after="40" w:before="80"/>
        <w:jc w:val="both"/>
      </w:pPr>
      <w:r>
        <w:rPr>
          <w:rFonts w:ascii="Georgia" w:cs="Georgia" w:eastAsia="Georgia" w:hAnsi="Georgia"/>
          <w:b/>
          <w:bCs/>
          <w:sz w:val="22"/>
          <w:szCs w:val="22"/>
        </w:rPr>
        <w:t xml:space="preserve">Designated Person. </w:t>
      </w:r>
      <w:r>
        <w:rPr>
          <w:rFonts w:ascii="Georgia" w:cs="Georgia" w:eastAsia="Georgia" w:hAnsi="Georgia"/>
          <w:b w:val="false"/>
          <w:bCs w:val="false"/>
          <w:sz w:val="22"/>
          <w:szCs w:val="22"/>
        </w:rPr>
        <w:t xml:space="preserve">An individual, entity, or group listed on OFAC’s Specially Designated Nationals and Blocked Persons (SDN) List or subject to other OFAC-administered sanctions programs.</w:t>
      </w:r>
    </w:p>
    <w:p>
      <w:pPr>
        <w:spacing w:after="40" w:before="80"/>
        <w:jc w:val="both"/>
      </w:pPr>
      <w:r>
        <w:rPr>
          <w:rFonts w:ascii="Georgia" w:cs="Georgia" w:eastAsia="Georgia" w:hAnsi="Georgia"/>
          <w:b/>
          <w:bCs/>
          <w:sz w:val="22"/>
          <w:szCs w:val="22"/>
        </w:rPr>
        <w:t xml:space="preserve">Effective Control. </w:t>
      </w:r>
      <w:r>
        <w:rPr>
          <w:rFonts w:ascii="Georgia" w:cs="Georgia" w:eastAsia="Georgia" w:hAnsi="Georgia"/>
          <w:b w:val="false"/>
          <w:bCs w:val="false"/>
          <w:sz w:val="22"/>
          <w:szCs w:val="22"/>
        </w:rPr>
        <w:t xml:space="preserve">A standard applied in CFIUS analysis to assess whether a transaction could result in foreign government control of a U.S. business, considering not only formal ownership but contractual, financial, and informal mechanisms of operational direction.</w:t>
      </w:r>
    </w:p>
    <w:p>
      <w:pPr>
        <w:spacing w:after="40" w:before="80"/>
        <w:jc w:val="both"/>
      </w:pPr>
      <w:r>
        <w:rPr>
          <w:rFonts w:ascii="Georgia" w:cs="Georgia" w:eastAsia="Georgia" w:hAnsi="Georgia"/>
          <w:b/>
          <w:bCs/>
          <w:sz w:val="22"/>
          <w:szCs w:val="22"/>
        </w:rPr>
        <w:t xml:space="preserve">Enablement. </w:t>
      </w:r>
      <w:r>
        <w:rPr>
          <w:rFonts w:ascii="Georgia" w:cs="Georgia" w:eastAsia="Georgia" w:hAnsi="Georgia"/>
          <w:b w:val="false"/>
          <w:bCs w:val="false"/>
          <w:sz w:val="22"/>
          <w:szCs w:val="22"/>
        </w:rPr>
        <w:t xml:space="preserve">Rung 4 of the Five-Rung Commercial State Nexus Ladder. An entity that actively facilitates PRC state operational requirements through commercial cover—providing concealment value, jurisdictional insulation, transactional opacity, or operational access that the state apparatus could not as readily achieve through direct action. Distinguished from Support by the structural integration of the entity’s function into state operational requirements and the bidirectionality of benefit.</w:t>
      </w:r>
    </w:p>
    <w:p>
      <w:pPr>
        <w:spacing w:after="40" w:before="80"/>
        <w:jc w:val="both"/>
      </w:pPr>
      <w:r>
        <w:rPr>
          <w:rFonts w:ascii="Georgia" w:cs="Georgia" w:eastAsia="Georgia" w:hAnsi="Georgia"/>
          <w:b/>
          <w:bCs/>
          <w:sz w:val="22"/>
          <w:szCs w:val="22"/>
        </w:rPr>
        <w:t xml:space="preserve">50 Percent Rule. </w:t>
      </w:r>
      <w:r>
        <w:rPr>
          <w:rFonts w:ascii="Georgia" w:cs="Georgia" w:eastAsia="Georgia" w:hAnsi="Georgia"/>
          <w:b w:val="false"/>
          <w:bCs w:val="false"/>
          <w:sz w:val="22"/>
          <w:szCs w:val="22"/>
        </w:rPr>
        <w:t xml:space="preserve">OFAC’s policy that entities owned 50 percent or more in aggregate by one or more blocked persons are themselves treated as blocked, regardless of whether they are separately designated. The rule applies to direct and indirect ownership and aggregates across multiple blocked persons.</w:t>
      </w:r>
    </w:p>
    <w:p>
      <w:pPr>
        <w:spacing w:after="40" w:before="80"/>
        <w:jc w:val="both"/>
      </w:pPr>
      <w:r>
        <w:rPr>
          <w:rFonts w:ascii="Georgia" w:cs="Georgia" w:eastAsia="Georgia" w:hAnsi="Georgia"/>
          <w:b/>
          <w:bCs/>
          <w:sz w:val="22"/>
          <w:szCs w:val="22"/>
        </w:rPr>
        <w:t xml:space="preserve">Layered Holding Structure. </w:t>
      </w:r>
      <w:r>
        <w:rPr>
          <w:rFonts w:ascii="Georgia" w:cs="Georgia" w:eastAsia="Georgia" w:hAnsi="Georgia"/>
          <w:b w:val="false"/>
          <w:bCs w:val="false"/>
          <w:sz w:val="22"/>
          <w:szCs w:val="22"/>
        </w:rPr>
        <w:t xml:space="preserve">A multi-jurisdictional ownership architecture in which intermediate entities—often in offshore or low-transparency jurisdictions—are interposed between the ultimate beneficial owner and the operating entity. Used to reduce the visibility of the ultimate beneficial owner and to prevent any single ownership link from triggering threshold-based rules.</w:t>
      </w:r>
    </w:p>
    <w:p>
      <w:pPr>
        <w:spacing w:after="40" w:before="80"/>
        <w:jc w:val="both"/>
      </w:pPr>
      <w:r>
        <w:rPr>
          <w:rFonts w:ascii="Georgia" w:cs="Georgia" w:eastAsia="Georgia" w:hAnsi="Georgia"/>
          <w:b/>
          <w:bCs/>
          <w:sz w:val="22"/>
          <w:szCs w:val="22"/>
        </w:rPr>
        <w:t xml:space="preserve">Military-Civil Fusion. </w:t>
      </w:r>
      <w:r>
        <w:rPr>
          <w:rFonts w:ascii="Georgia" w:cs="Georgia" w:eastAsia="Georgia" w:hAnsi="Georgia"/>
          <w:b w:val="false"/>
          <w:bCs w:val="false"/>
          <w:sz w:val="22"/>
          <w:szCs w:val="22"/>
        </w:rPr>
        <w:t xml:space="preserve">PRC state policy directing the integration of civilian commercial and research activity with military and defense industrial requirements. Entities subject to military-civil fusion obligations may be required to support PRC state military or intelligence requirements regardless of their nominal commercial status.</w:t>
      </w:r>
    </w:p>
    <w:p>
      <w:pPr>
        <w:spacing w:after="40" w:before="80"/>
        <w:jc w:val="both"/>
      </w:pPr>
      <w:r>
        <w:rPr>
          <w:rFonts w:ascii="Georgia" w:cs="Georgia" w:eastAsia="Georgia" w:hAnsi="Georgia"/>
          <w:b/>
          <w:bCs/>
          <w:sz w:val="22"/>
          <w:szCs w:val="22"/>
        </w:rPr>
        <w:t xml:space="preserve">Nominee Arrangement. </w:t>
      </w:r>
      <w:r>
        <w:rPr>
          <w:rFonts w:ascii="Georgia" w:cs="Georgia" w:eastAsia="Georgia" w:hAnsi="Georgia"/>
          <w:b w:val="false"/>
          <w:bCs w:val="false"/>
          <w:sz w:val="22"/>
          <w:szCs w:val="22"/>
        </w:rPr>
        <w:t xml:space="preserve">A structure in which a person (the nominee) holds legal title to an asset, directorship, or shareholding on behalf of another person (the beneficial owner) who retains effective control. Nominee arrangements are used to obscure beneficial ownership in corporate registries and public records.</w:t>
      </w:r>
    </w:p>
    <w:p>
      <w:pPr>
        <w:spacing w:after="40" w:before="80"/>
        <w:jc w:val="both"/>
      </w:pPr>
      <w:r>
        <w:rPr>
          <w:rFonts w:ascii="Georgia" w:cs="Georgia" w:eastAsia="Georgia" w:hAnsi="Georgia"/>
          <w:b/>
          <w:bCs/>
          <w:sz w:val="22"/>
          <w:szCs w:val="22"/>
        </w:rPr>
        <w:t xml:space="preserve">Support. </w:t>
      </w:r>
      <w:r>
        <w:rPr>
          <w:rFonts w:ascii="Georgia" w:cs="Georgia" w:eastAsia="Georgia" w:hAnsi="Georgia"/>
          <w:b w:val="false"/>
          <w:bCs w:val="false"/>
          <w:sz w:val="22"/>
          <w:szCs w:val="22"/>
        </w:rPr>
        <w:t xml:space="preserve">Rung 3 of the Five-Rung Commercial State Nexus Ladder. An entity that receives material, financial, technical, or institutional benefit from PRC state organs or state-affiliated entities in a manner consistent with PRC state objectives. Distinguished from Enablement by the absence of evidence that the entity’s commercial function is structurally integrated into state operational requirements.</w:t>
      </w:r>
    </w:p>
    <w:p>
      <w:pPr>
        <w:spacing w:after="40" w:before="80"/>
        <w:jc w:val="both"/>
      </w:pPr>
      <w:r>
        <w:rPr>
          <w:rFonts w:ascii="Georgia" w:cs="Georgia" w:eastAsia="Georgia" w:hAnsi="Georgia"/>
          <w:b/>
          <w:bCs/>
          <w:sz w:val="22"/>
          <w:szCs w:val="22"/>
        </w:rPr>
        <w:t xml:space="preserve">Tolerated Proxy. </w:t>
      </w:r>
      <w:r>
        <w:rPr>
          <w:rFonts w:ascii="Georgia" w:cs="Georgia" w:eastAsia="Georgia" w:hAnsi="Georgia"/>
          <w:b w:val="false"/>
          <w:bCs w:val="false"/>
          <w:sz w:val="22"/>
          <w:szCs w:val="22"/>
        </w:rPr>
        <w:t xml:space="preserve">A nominally private commercial actor that operates with state protection—regulatory non-enforcement, selective market access, or other benefits—without documented state direction. Toleration indicators are relevant to Support assessments and may, in combination with other domain evidence, support an Enablement assessment.</w:t>
      </w:r>
    </w:p>
    <w:p>
      <w:pPr>
        <w:spacing w:after="40" w:before="80"/>
        <w:jc w:val="both"/>
      </w:pPr>
      <w:r>
        <w:rPr>
          <w:rFonts w:ascii="Georgia" w:cs="Georgia" w:eastAsia="Georgia" w:hAnsi="Georgia"/>
          <w:b/>
          <w:bCs/>
          <w:sz w:val="22"/>
          <w:szCs w:val="22"/>
        </w:rPr>
        <w:t xml:space="preserve">Variable Interest Entity (VIE). </w:t>
      </w:r>
      <w:r>
        <w:rPr>
          <w:rFonts w:ascii="Georgia" w:cs="Georgia" w:eastAsia="Georgia" w:hAnsi="Georgia"/>
          <w:b w:val="false"/>
          <w:bCs w:val="false"/>
          <w:sz w:val="22"/>
          <w:szCs w:val="22"/>
        </w:rPr>
        <w:t xml:space="preserve">A corporate structure in which an entity—typically offshore—holds the equity interest in a PRC-domiciled operating company through contractual arrangements (management contracts, loan agreements, option agreements) that convey effective operational control without formal equity ownership. Used extensively by PRC technology companies to attract foreign investment while retaining nominal PRC ownership of regulated assets.</w:t>
      </w:r>
    </w:p>
    <w:p>
      <w:r>
        <w:br w:type="page"/>
      </w:r>
    </w:p>
    <w:p>
      <w:pPr>
        <w:pStyle w:val="Heading1"/>
        <w:spacing w:after="80" w:before="360"/>
      </w:pPr>
      <w:r>
        <w:rPr>
          <w:rFonts w:ascii="Arial" w:cs="Arial" w:eastAsia="Arial" w:hAnsi="Arial"/>
          <w:b/>
          <w:bCs/>
          <w:color w:val="1F3864"/>
          <w:sz w:val="28"/>
          <w:szCs w:val="28"/>
        </w:rPr>
        <w:t xml:space="preserve">APPENDIX B: INSTITUTIONAL TERMINOLOGY REFERENCE</w:t>
      </w:r>
    </w:p>
    <w:p>
      <w:pPr>
        <w:pBdr>
          <w:bottom w:val="single" w:color="2F5496" w:sz="10" w:space="1"/>
        </w:pBdr>
        <w:spacing w:after="80" w:before="0"/>
      </w:pPr>
    </w:p>
    <w:p>
      <w:pPr>
        <w:spacing w:after="40" w:before="0"/>
      </w:pPr>
    </w:p>
    <w:p>
      <w:pPr>
        <w:spacing w:after="30" w:before="100"/>
        <w:jc w:val="both"/>
      </w:pPr>
      <w:r>
        <w:rPr>
          <w:rFonts w:ascii="Georgia" w:cs="Georgia" w:eastAsia="Georgia" w:hAnsi="Georgia"/>
          <w:b/>
          <w:bCs/>
          <w:sz w:val="22"/>
          <w:szCs w:val="22"/>
        </w:rPr>
        <w:t xml:space="preserve">OFAC (Office of Foreign Assets Control)</w:t>
      </w:r>
    </w:p>
    <w:p>
      <w:pPr>
        <w:spacing w:after="60" w:before="0"/>
        <w:jc w:val="both"/>
      </w:pPr>
      <w:r>
        <w:rPr>
          <w:rFonts w:ascii="Georgia" w:cs="Georgia" w:eastAsia="Georgia" w:hAnsi="Georgia"/>
          <w:b w:val="false"/>
          <w:bCs w:val="false"/>
          <w:color w:val="444444"/>
          <w:sz w:val="20"/>
          <w:szCs w:val="20"/>
        </w:rPr>
        <w:t xml:space="preserve">Treasury component. Key terms: SDN List, blocked property, designation, 50 Percent Rule, totality of circumstances, IEEPA, sanctions program, license, beneficial ownership, ownership and control.</w:t>
      </w:r>
    </w:p>
    <w:p>
      <w:pPr>
        <w:spacing w:after="30" w:before="100"/>
        <w:jc w:val="both"/>
      </w:pPr>
      <w:r>
        <w:rPr>
          <w:rFonts w:ascii="Georgia" w:cs="Georgia" w:eastAsia="Georgia" w:hAnsi="Georgia"/>
          <w:b/>
          <w:bCs/>
          <w:sz w:val="22"/>
          <w:szCs w:val="22"/>
        </w:rPr>
        <w:t xml:space="preserve">FinCEN (Financial Crimes Enforcement Network)</w:t>
      </w:r>
    </w:p>
    <w:p>
      <w:pPr>
        <w:spacing w:after="60" w:before="0"/>
        <w:jc w:val="both"/>
      </w:pPr>
      <w:r>
        <w:rPr>
          <w:rFonts w:ascii="Georgia" w:cs="Georgia" w:eastAsia="Georgia" w:hAnsi="Georgia"/>
          <w:b w:val="false"/>
          <w:bCs w:val="false"/>
          <w:color w:val="444444"/>
          <w:sz w:val="20"/>
          <w:szCs w:val="20"/>
        </w:rPr>
        <w:t xml:space="preserve">Treasury component. Key terms: beneficial ownership, Customer Due Diligence (CDD) rule, Suspicious Activity Report (SAR), Bank Secrecy Act, legal entity customer, covered financial institution, correspondent banking.</w:t>
      </w:r>
    </w:p>
    <w:p>
      <w:pPr>
        <w:spacing w:after="30" w:before="100"/>
        <w:jc w:val="both"/>
      </w:pPr>
      <w:r>
        <w:rPr>
          <w:rFonts w:ascii="Georgia" w:cs="Georgia" w:eastAsia="Georgia" w:hAnsi="Georgia"/>
          <w:b/>
          <w:bCs/>
          <w:sz w:val="22"/>
          <w:szCs w:val="22"/>
        </w:rPr>
        <w:t xml:space="preserve">CFIUS (Committee on Foreign Investment in the United States)</w:t>
      </w:r>
    </w:p>
    <w:p>
      <w:pPr>
        <w:spacing w:after="60" w:before="0"/>
        <w:jc w:val="both"/>
      </w:pPr>
      <w:r>
        <w:rPr>
          <w:rFonts w:ascii="Georgia" w:cs="Georgia" w:eastAsia="Georgia" w:hAnsi="Georgia"/>
          <w:b w:val="false"/>
          <w:bCs w:val="false"/>
          <w:color w:val="444444"/>
          <w:sz w:val="20"/>
          <w:szCs w:val="20"/>
        </w:rPr>
        <w:t xml:space="preserve">Interagency committee. Key terms: covered transaction, control, foreign person, mandatory declaration, FIRRMA, TID U.S. business (Technology, Infrastructure, Data), national security review, mitigation agreement.</w:t>
      </w:r>
    </w:p>
    <w:p>
      <w:pPr>
        <w:spacing w:after="30" w:before="100"/>
        <w:jc w:val="both"/>
      </w:pPr>
      <w:r>
        <w:rPr>
          <w:rFonts w:ascii="Georgia" w:cs="Georgia" w:eastAsia="Georgia" w:hAnsi="Georgia"/>
          <w:b/>
          <w:bCs/>
          <w:sz w:val="22"/>
          <w:szCs w:val="22"/>
        </w:rPr>
        <w:t xml:space="preserve">BIS (Bureau of Industry and Security)</w:t>
      </w:r>
    </w:p>
    <w:p>
      <w:pPr>
        <w:spacing w:after="60" w:before="0"/>
        <w:jc w:val="both"/>
      </w:pPr>
      <w:r>
        <w:rPr>
          <w:rFonts w:ascii="Georgia" w:cs="Georgia" w:eastAsia="Georgia" w:hAnsi="Georgia"/>
          <w:b w:val="false"/>
          <w:bCs w:val="false"/>
          <w:color w:val="444444"/>
          <w:sz w:val="20"/>
          <w:szCs w:val="20"/>
        </w:rPr>
        <w:t xml:space="preserve">Commerce component. Key terms: Entity List, Export Control Classification Number (ECCN), Export Administration Regulations (EAR), license requirement, end-user, end-use, deemed export, military end-use, military-civil fusion.</w:t>
      </w:r>
    </w:p>
    <w:p>
      <w:pPr>
        <w:spacing w:after="30" w:before="100"/>
        <w:jc w:val="both"/>
      </w:pPr>
      <w:r>
        <w:rPr>
          <w:rFonts w:ascii="Georgia" w:cs="Georgia" w:eastAsia="Georgia" w:hAnsi="Georgia"/>
          <w:b/>
          <w:bCs/>
          <w:sz w:val="22"/>
          <w:szCs w:val="22"/>
        </w:rPr>
        <w:t xml:space="preserve">DOJ (Department of Justice)</w:t>
      </w:r>
    </w:p>
    <w:p>
      <w:pPr>
        <w:spacing w:after="60" w:before="0"/>
        <w:jc w:val="both"/>
      </w:pPr>
      <w:r>
        <w:rPr>
          <w:rFonts w:ascii="Georgia" w:cs="Georgia" w:eastAsia="Georgia" w:hAnsi="Georgia"/>
          <w:b w:val="false"/>
          <w:bCs w:val="false"/>
          <w:color w:val="444444"/>
          <w:sz w:val="20"/>
          <w:szCs w:val="20"/>
        </w:rPr>
        <w:t xml:space="preserve">Law enforcement. Key terms: criminal referral, charging decision, burden of proof, admissible evidence, specific intent, jurisdictional nexus, IEEPA violation, export control violation, wire fraud, bank fraud, money laundering, conspiracy, aiding and abetting.</w:t>
      </w:r>
    </w:p>
    <w:p>
      <w:r>
        <w:br w:type="page"/>
      </w:r>
    </w:p>
    <w:p>
      <w:pPr>
        <w:pStyle w:val="Heading1"/>
        <w:spacing w:after="80" w:before="360"/>
      </w:pPr>
      <w:r>
        <w:rPr>
          <w:rFonts w:ascii="Arial" w:cs="Arial" w:eastAsia="Arial" w:hAnsi="Arial"/>
          <w:b/>
          <w:bCs/>
          <w:color w:val="1F3864"/>
          <w:sz w:val="28"/>
          <w:szCs w:val="28"/>
        </w:rPr>
        <w:t xml:space="preserve">APPENDIX C: MINIMUM CONDITIONS FOR AN ENABLEMENT ASSESSMENT</w:t>
      </w:r>
    </w:p>
    <w:p>
      <w:pPr>
        <w:pBdr>
          <w:bottom w:val="single" w:color="2F5496" w:sz="10" w:space="1"/>
        </w:pBdr>
        <w:spacing w:after="80" w:before="0"/>
      </w:pPr>
    </w:p>
    <w:p>
      <w:pPr>
        <w:spacing w:after="40" w:before="0"/>
      </w:pPr>
    </w:p>
    <w:p>
      <w:pPr>
        <w:spacing w:after="100" w:before="60"/>
        <w:jc w:val="both"/>
      </w:pPr>
      <w:r>
        <w:rPr>
          <w:rFonts w:ascii="Georgia" w:cs="Georgia" w:eastAsia="Georgia" w:hAnsi="Georgia"/>
          <w:sz w:val="22"/>
          <w:szCs w:val="22"/>
        </w:rPr>
        <w:t xml:space="preserve">The following conditions must all be satisfied before a record supports an Enablement assessment. They are necessary, not sufficient. Satisfaction of these conditions does not compel an Enablement finding; it establishes the floor below which an Enablement assessment is not warranted regardless of the strength of any individual indicator.</w:t>
      </w:r>
    </w:p>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1F3864"/>
            <w:tcMar>
              <w:top w:type="dxa" w:w="80"/>
              <w:left w:type="dxa" w:w="120"/>
              <w:bottom w:type="dxa" w:w="80"/>
              <w:right w:type="dxa" w:w="120"/>
            </w:tcMar>
          </w:tcPr>
          <w:p>
            <w:r>
              <w:rPr>
                <w:rFonts w:ascii="Georgia" w:cs="Georgia" w:eastAsia="Georgia" w:hAnsi="Georgia"/>
                <w:b/>
                <w:bCs/>
                <w:color w:val="FFFFFF"/>
                <w:sz w:val="22"/>
                <w:szCs w:val="22"/>
              </w:rPr>
              <w:t xml:space="preserve">#</w:t>
            </w:r>
          </w:p>
        </w:tc>
        <w:tc>
          <w:tcPr>
            <w:tcW w:type="dxa" w:w="2800"/>
            <w:shd w:fill="1F3864"/>
            <w:tcMar>
              <w:top w:type="dxa" w:w="80"/>
              <w:left w:type="dxa" w:w="120"/>
              <w:bottom w:type="dxa" w:w="80"/>
              <w:right w:type="dxa" w:w="120"/>
            </w:tcMar>
          </w:tcPr>
          <w:p>
            <w:r>
              <w:rPr>
                <w:rFonts w:ascii="Georgia" w:cs="Georgia" w:eastAsia="Georgia" w:hAnsi="Georgia"/>
                <w:b/>
                <w:bCs/>
                <w:color w:val="FFFFFF"/>
                <w:sz w:val="22"/>
                <w:szCs w:val="22"/>
              </w:rPr>
              <w:t xml:space="preserve">Condition</w:t>
            </w:r>
          </w:p>
        </w:tc>
        <w:tc>
          <w:tcPr>
            <w:tcW w:type="dxa" w:w="5800"/>
            <w:shd w:fill="1F3864"/>
            <w:tcMar>
              <w:top w:type="dxa" w:w="80"/>
              <w:left w:type="dxa" w:w="120"/>
              <w:bottom w:type="dxa" w:w="80"/>
              <w:right w:type="dxa" w:w="120"/>
            </w:tcMar>
          </w:tcPr>
          <w:p>
            <w:r>
              <w:rPr>
                <w:rFonts w:ascii="Georgia" w:cs="Georgia" w:eastAsia="Georgia" w:hAnsi="Georgia"/>
                <w:b/>
                <w:bCs/>
                <w:color w:val="FFFFFF"/>
                <w:sz w:val="22"/>
                <w:szCs w:val="22"/>
              </w:rPr>
              <w:t xml:space="preserve">What the Record Must Show</w:t>
            </w:r>
          </w:p>
        </w:tc>
      </w:tr>
      <w:tr>
        <w:tc>
          <w:tcPr>
            <w:tcW w:type="dxa" w:w="600"/>
            <w:shd w:fill="F5F7FA"/>
            <w:tcMar>
              <w:top w:type="dxa" w:w="80"/>
              <w:left w:type="dxa" w:w="120"/>
              <w:bottom w:type="dxa" w:w="80"/>
              <w:right w:type="dxa" w:w="120"/>
            </w:tcMar>
          </w:tcPr>
          <w:p>
            <w:r>
              <w:rPr>
                <w:rFonts w:ascii="Georgia" w:cs="Georgia" w:eastAsia="Georgia" w:hAnsi="Georgia"/>
                <w:color w:val="1F3864"/>
                <w:sz w:val="22"/>
                <w:szCs w:val="22"/>
              </w:rPr>
              <w:t xml:space="preserve">1</w:t>
            </w:r>
          </w:p>
        </w:tc>
        <w:tc>
          <w:tcPr>
            <w:tcW w:type="dxa" w:w="2800"/>
            <w:shd w:fill="F5F7FA"/>
            <w:tcMar>
              <w:top w:type="dxa" w:w="80"/>
              <w:left w:type="dxa" w:w="120"/>
              <w:bottom w:type="dxa" w:w="80"/>
              <w:right w:type="dxa" w:w="120"/>
            </w:tcMar>
          </w:tcPr>
          <w:p>
            <w:r>
              <w:rPr>
                <w:rFonts w:ascii="Georgia" w:cs="Georgia" w:eastAsia="Georgia" w:hAnsi="Georgia"/>
                <w:b/>
                <w:bCs/>
                <w:sz w:val="22"/>
                <w:szCs w:val="22"/>
              </w:rPr>
              <w:t xml:space="preserve">Multi-domain corroboration</w:t>
            </w:r>
          </w:p>
        </w:tc>
        <w:tc>
          <w:tcPr>
            <w:tcW w:type="dxa" w:w="5800"/>
            <w:shd w:fill="F5F7FA"/>
            <w:tcMar>
              <w:top w:type="dxa" w:w="80"/>
              <w:left w:type="dxa" w:w="120"/>
              <w:bottom w:type="dxa" w:w="80"/>
              <w:right w:type="dxa" w:w="120"/>
            </w:tcMar>
          </w:tcPr>
          <w:p>
            <w:r>
              <w:rPr>
                <w:rFonts w:ascii="Georgia" w:cs="Georgia" w:eastAsia="Georgia" w:hAnsi="Georgia"/>
                <w:sz w:val="22"/>
                <w:szCs w:val="22"/>
              </w:rPr>
              <w:t xml:space="preserve">Convergent evidence from at least two independent domains (structural/corporate, financial, personnel, operational, protection/toleration, or contractual control) whose underlying sources do not share a common origin.</w:t>
            </w:r>
          </w:p>
        </w:tc>
      </w:tr>
      <w:tr>
        <w:tc>
          <w:tcPr>
            <w:tcW w:type="dxa" w:w="600"/>
            <w:shd w:fill="FFFFFF"/>
            <w:tcMar>
              <w:top w:type="dxa" w:w="80"/>
              <w:left w:type="dxa" w:w="120"/>
              <w:bottom w:type="dxa" w:w="80"/>
              <w:right w:type="dxa" w:w="120"/>
            </w:tcMar>
          </w:tcPr>
          <w:p>
            <w:r>
              <w:rPr>
                <w:rFonts w:ascii="Georgia" w:cs="Georgia" w:eastAsia="Georgia" w:hAnsi="Georgia"/>
                <w:color w:val="1F3864"/>
                <w:sz w:val="22"/>
                <w:szCs w:val="22"/>
              </w:rPr>
              <w:t xml:space="preserve">2</w:t>
            </w:r>
          </w:p>
        </w:tc>
        <w:tc>
          <w:tcPr>
            <w:tcW w:type="dxa" w:w="2800"/>
            <w:shd w:fill="FFFFFF"/>
            <w:tcMar>
              <w:top w:type="dxa" w:w="80"/>
              <w:left w:type="dxa" w:w="120"/>
              <w:bottom w:type="dxa" w:w="80"/>
              <w:right w:type="dxa" w:w="120"/>
            </w:tcMar>
          </w:tcPr>
          <w:p>
            <w:r>
              <w:rPr>
                <w:rFonts w:ascii="Georgia" w:cs="Georgia" w:eastAsia="Georgia" w:hAnsi="Georgia"/>
                <w:b/>
                <w:bCs/>
                <w:sz w:val="22"/>
                <w:szCs w:val="22"/>
              </w:rPr>
              <w:t xml:space="preserve">Documented concealment or insulation function</w:t>
            </w:r>
          </w:p>
        </w:tc>
        <w:tc>
          <w:tcPr>
            <w:tcW w:type="dxa" w:w="5800"/>
            <w:shd w:fill="FFFFFF"/>
            <w:tcMar>
              <w:top w:type="dxa" w:w="80"/>
              <w:left w:type="dxa" w:w="120"/>
              <w:bottom w:type="dxa" w:w="80"/>
              <w:right w:type="dxa" w:w="120"/>
            </w:tcMar>
          </w:tcPr>
          <w:p>
            <w:r>
              <w:rPr>
                <w:rFonts w:ascii="Georgia" w:cs="Georgia" w:eastAsia="Georgia" w:hAnsi="Georgia"/>
                <w:sz w:val="22"/>
                <w:szCs w:val="22"/>
              </w:rPr>
              <w:t xml:space="preserve">The entity’s specific structure, access, or capability serves an identifiable concealment or insulation function—not merely opacity that is consistent with ordinary commercial practice in the jurisdiction.</w:t>
            </w:r>
          </w:p>
        </w:tc>
      </w:tr>
      <w:tr>
        <w:tc>
          <w:tcPr>
            <w:tcW w:type="dxa" w:w="600"/>
            <w:shd w:fill="F5F7FA"/>
            <w:tcMar>
              <w:top w:type="dxa" w:w="80"/>
              <w:left w:type="dxa" w:w="120"/>
              <w:bottom w:type="dxa" w:w="80"/>
              <w:right w:type="dxa" w:w="120"/>
            </w:tcMar>
          </w:tcPr>
          <w:p>
            <w:r>
              <w:rPr>
                <w:rFonts w:ascii="Georgia" w:cs="Georgia" w:eastAsia="Georgia" w:hAnsi="Georgia"/>
                <w:color w:val="1F3864"/>
                <w:sz w:val="22"/>
                <w:szCs w:val="22"/>
              </w:rPr>
              <w:t xml:space="preserve">3</w:t>
            </w:r>
          </w:p>
        </w:tc>
        <w:tc>
          <w:tcPr>
            <w:tcW w:type="dxa" w:w="2800"/>
            <w:shd w:fill="F5F7FA"/>
            <w:tcMar>
              <w:top w:type="dxa" w:w="80"/>
              <w:left w:type="dxa" w:w="120"/>
              <w:bottom w:type="dxa" w:w="80"/>
              <w:right w:type="dxa" w:w="120"/>
            </w:tcMar>
          </w:tcPr>
          <w:p>
            <w:r>
              <w:rPr>
                <w:rFonts w:ascii="Georgia" w:cs="Georgia" w:eastAsia="Georgia" w:hAnsi="Georgia"/>
                <w:b/>
                <w:bCs/>
                <w:sz w:val="22"/>
                <w:szCs w:val="22"/>
              </w:rPr>
              <w:t xml:space="preserve">Bidirectional utility</w:t>
            </w:r>
          </w:p>
        </w:tc>
        <w:tc>
          <w:tcPr>
            <w:tcW w:type="dxa" w:w="5800"/>
            <w:shd w:fill="F5F7FA"/>
            <w:tcMar>
              <w:top w:type="dxa" w:w="80"/>
              <w:left w:type="dxa" w:w="120"/>
              <w:bottom w:type="dxa" w:w="80"/>
              <w:right w:type="dxa" w:w="120"/>
            </w:tcMar>
          </w:tcPr>
          <w:p>
            <w:r>
              <w:rPr>
                <w:rFonts w:ascii="Georgia" w:cs="Georgia" w:eastAsia="Georgia" w:hAnsi="Georgia"/>
                <w:sz w:val="22"/>
                <w:szCs w:val="22"/>
              </w:rPr>
              <w:t xml:space="preserve">Benefit flows in both directions: the state derives operational value from the entity’s commercial architecture, and the entity derives protection, access, or structural advantage from its state relationship.</w:t>
            </w:r>
          </w:p>
        </w:tc>
      </w:tr>
      <w:tr>
        <w:tc>
          <w:tcPr>
            <w:tcW w:type="dxa" w:w="600"/>
            <w:shd w:fill="FFFFFF"/>
            <w:tcMar>
              <w:top w:type="dxa" w:w="80"/>
              <w:left w:type="dxa" w:w="120"/>
              <w:bottom w:type="dxa" w:w="80"/>
              <w:right w:type="dxa" w:w="120"/>
            </w:tcMar>
          </w:tcPr>
          <w:p>
            <w:r>
              <w:rPr>
                <w:rFonts w:ascii="Georgia" w:cs="Georgia" w:eastAsia="Georgia" w:hAnsi="Georgia"/>
                <w:color w:val="1F3864"/>
                <w:sz w:val="22"/>
                <w:szCs w:val="22"/>
              </w:rPr>
              <w:t xml:space="preserve">4</w:t>
            </w:r>
          </w:p>
        </w:tc>
        <w:tc>
          <w:tcPr>
            <w:tcW w:type="dxa" w:w="2800"/>
            <w:shd w:fill="FFFFFF"/>
            <w:tcMar>
              <w:top w:type="dxa" w:w="80"/>
              <w:left w:type="dxa" w:w="120"/>
              <w:bottom w:type="dxa" w:w="80"/>
              <w:right w:type="dxa" w:w="120"/>
            </w:tcMar>
          </w:tcPr>
          <w:p>
            <w:r>
              <w:rPr>
                <w:rFonts w:ascii="Georgia" w:cs="Georgia" w:eastAsia="Georgia" w:hAnsi="Georgia"/>
                <w:b/>
                <w:bCs/>
                <w:sz w:val="22"/>
                <w:szCs w:val="22"/>
              </w:rPr>
              <w:t xml:space="preserve">Functional integration not explained by ordinary state capitalism alone</w:t>
            </w:r>
          </w:p>
        </w:tc>
        <w:tc>
          <w:tcPr>
            <w:tcW w:type="dxa" w:w="5800"/>
            <w:shd w:fill="FFFFFF"/>
            <w:tcMar>
              <w:top w:type="dxa" w:w="80"/>
              <w:left w:type="dxa" w:w="120"/>
              <w:bottom w:type="dxa" w:w="80"/>
              <w:right w:type="dxa" w:w="120"/>
            </w:tcMar>
          </w:tcPr>
          <w:p>
            <w:r>
              <w:rPr>
                <w:rFonts w:ascii="Georgia" w:cs="Georgia" w:eastAsia="Georgia" w:hAnsi="Georgia"/>
                <w:sz w:val="22"/>
                <w:szCs w:val="22"/>
              </w:rPr>
              <w:t xml:space="preserve">The entity’s relationship to PRC state operational requirements exceeds what is explained by routine sector support, policy-bank financing, or state-owned enterprise customer concentration common across PRC commercial structures generally.</w:t>
            </w:r>
          </w:p>
        </w:tc>
      </w:tr>
      <w:tr>
        <w:tc>
          <w:tcPr>
            <w:tcW w:type="dxa" w:w="600"/>
            <w:shd w:fill="F5F7FA"/>
            <w:tcMar>
              <w:top w:type="dxa" w:w="80"/>
              <w:left w:type="dxa" w:w="120"/>
              <w:bottom w:type="dxa" w:w="80"/>
              <w:right w:type="dxa" w:w="120"/>
            </w:tcMar>
          </w:tcPr>
          <w:p>
            <w:r>
              <w:rPr>
                <w:rFonts w:ascii="Georgia" w:cs="Georgia" w:eastAsia="Georgia" w:hAnsi="Georgia"/>
                <w:color w:val="1F3864"/>
                <w:sz w:val="22"/>
                <w:szCs w:val="22"/>
              </w:rPr>
              <w:t xml:space="preserve">5</w:t>
            </w:r>
          </w:p>
        </w:tc>
        <w:tc>
          <w:tcPr>
            <w:tcW w:type="dxa" w:w="2800"/>
            <w:shd w:fill="F5F7FA"/>
            <w:tcMar>
              <w:top w:type="dxa" w:w="80"/>
              <w:left w:type="dxa" w:w="120"/>
              <w:bottom w:type="dxa" w:w="80"/>
              <w:right w:type="dxa" w:w="120"/>
            </w:tcMar>
          </w:tcPr>
          <w:p>
            <w:r>
              <w:rPr>
                <w:rFonts w:ascii="Georgia" w:cs="Georgia" w:eastAsia="Georgia" w:hAnsi="Georgia"/>
                <w:b/>
                <w:bCs/>
                <w:sz w:val="22"/>
                <w:szCs w:val="22"/>
              </w:rPr>
              <w:t xml:space="preserve">No unresolved innocent explanation that preserves the lower rung</w:t>
            </w:r>
          </w:p>
        </w:tc>
        <w:tc>
          <w:tcPr>
            <w:tcW w:type="dxa" w:w="5800"/>
            <w:shd w:fill="F5F7FA"/>
            <w:tcMar>
              <w:top w:type="dxa" w:w="80"/>
              <w:left w:type="dxa" w:w="120"/>
              <w:bottom w:type="dxa" w:w="80"/>
              <w:right w:type="dxa" w:w="120"/>
            </w:tcMar>
          </w:tcPr>
          <w:p>
            <w:r>
              <w:rPr>
                <w:rFonts w:ascii="Georgia" w:cs="Georgia" w:eastAsia="Georgia" w:hAnsi="Georgia"/>
                <w:sz w:val="22"/>
                <w:szCs w:val="22"/>
              </w:rPr>
              <w:t xml:space="preserve">The principal innocent explanation for each probative indicator has been affirmatively weighed and found insufficient on specific evidentiary grounds—not merely noted and set aside. Where an innocent explanation cannot be excluded, the assessment is held at Support.</w:t>
            </w:r>
          </w:p>
        </w:tc>
      </w:tr>
    </w:tbl>
    <w:p>
      <w:pPr>
        <w:spacing w:after="80" w:before="0"/>
      </w:pPr>
    </w:p>
    <w:p>
      <w:pPr>
        <w:spacing w:after="100" w:before="60"/>
        <w:jc w:val="both"/>
      </w:pPr>
      <w:r>
        <w:rPr>
          <w:rFonts w:ascii="Georgia" w:cs="Georgia" w:eastAsia="Georgia" w:hAnsi="Georgia"/>
          <w:sz w:val="22"/>
          <w:szCs w:val="22"/>
        </w:rPr>
        <w:t xml:space="preserve">Failure to satisfy any one of these conditions does not preclude a Support or Linkage assessment. It precludes an Enablement assessment. The analytic label should follow the record, not precede it.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4" w:space="1"/>
      </w:pBdr>
      <w:tabs>
        <w:tab w:val="right" w:pos="9360"/>
      </w:tabs>
      <w:spacing w:after="80" w:before="0"/>
    </w:pPr>
    <w:r>
      <w:rPr>
        <w:rFonts w:ascii="Arial" w:cs="Arial" w:eastAsia="Arial" w:hAnsi="Arial"/>
        <w:color w:val="888888"/>
        <w:sz w:val="16"/>
        <w:szCs w:val="16"/>
      </w:rPr>
      <w:t xml:space="preserve">WP-2026-CSE-01   CONCEALED STATE ENABLEMENT</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60" w:hanging="280"/>
      </w:pPr>
    </w:lvl>
  </w:abstractNum>
  <w:abstractNum w:abstractNumId="3" w15:restartNumberingAfterBreak="0">
    <w:multiLevelType w:val="hybridMultilevel"/>
    <w:lvl w:ilvl="0" w15:tentative="1">
      <w:start w:val="1"/>
      <w:numFmt w:val="bullet"/>
      <w:lvlText w:val="◦"/>
      <w:lvlJc w:val="left"/>
      <w:pPr>
        <w:spacing w:after="30" w:before="30"/>
        <w:ind w:left="9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F549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2026-03-08T10:39:57.029Z</dcterms:created>
  <dcterms:modified xsi:type="dcterms:W3CDTF">2026-03-08T10:39:57.030Z</dcterms:modified>
</cp:coreProperties>
</file>

<file path=docProps/custom.xml><?xml version="1.0" encoding="utf-8"?>
<Properties xmlns="http://schemas.openxmlformats.org/officeDocument/2006/custom-properties" xmlns:vt="http://schemas.openxmlformats.org/officeDocument/2006/docPropsVTypes"/>
</file>