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WP-2026-CONTAIN-01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 Conceptual Framework for Long-Term Sanctions Containment in Multipolar Environments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Integrated Systemic Attrition and Sustainable Pressure Doctrine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Analytical Draft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February 18, 2026</w:t>
      </w:r>
    </w:p>
    <w:p>
      <w:pPr>
        <w:spacing w:before="0"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Independent Policy Research Group</w:t>
      </w:r>
    </w:p>
    <w:p>
      <w:pPr>
        <w:shd w:fill="F0F4FA" w:val="clear"/>
        <w:spacing w:before="240" w:after="240"/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Disclaimer: This document is an independent analytical proposal based on open-source review of contemporary sanctions practice. It is not affiliated with, nor does it represent the views of, any U.S. government entity. It is intended for academic, think-tank, and strategic policy discussion purposes.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I. PURPOSE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paper presents a conceptual financial statecraft framework designed to operate under sustained major-power shielding conditions in multipolar environments.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establishes a structured approach to long-term containment of illicit financial and procurement networks. It does not assume regime collapse, immediate deterrence, or coercive breakthrough outcomes. It is designed for sustained application over a 24–60 month horizon.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integrates four components: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Systemic Attrition Doctrine (ISAD)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Sustainable Pressure and Alternatives Denial (SPAD)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Dollar Enforcement Effectiveness Index (DEEI) Control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Operational Observability Protocol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objective is controlled structural containment while preserving coalition cohesion and monetary system stability.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II. STRATEGIC CONTEXT AND PROBLEM STATEMENT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Sanctions regimes in multipolar environments face structural constraints: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Adaptive third-country facilitation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Financial and logistical rerouting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management costs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settlement system development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Escalation risk under incomplete information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Under sustained shielding by major powers, designation-based escalation alone does not produce durable containment. Closed-loop systems can sustain volume through substitution, state subsidy, or corridor diversification.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primary structural risk is tactical enforcement success combined with gradual erosion of monetary leverage, coalition cohesion, and systemic credibility.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addresses five operational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Sustain transaction cost inflation within evasion networks.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Prevent workaround systems from scaling into normalized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coalition endurance under prolonged enforcement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Protect dollar centrality and systemic leverage.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Impose escalation discipline through structured guardrails.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III. SCOPE AND ASSUMPTIONS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framework assumes: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Multipolar competition conditions persist.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Major-power shielding is sustained.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deterrence is unlikely.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Closed-loop substitution systems may develop.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alignment requires active management.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is structured for application across corridors involving: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Third-country intermediaries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Maritime logistics networks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Crypto-enabled financial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Trade-based procurement ecosystems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Professional enablers (legal, accounting, corporate services)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does not address kinetic measures, comprehensive embargoes, or broad sovereign exclusion strategies.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Illustrative Scenario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framework is designed to address sustained shielding conditions analogous to those observed in major-power-facilitated evasion networks supporting designated sanctions targets. Primary applications include Russia/China-shielded procurement corridors for Iran, DPRK, or other designated entities. The framework is scenario-agnostic but calibrated for environments where major powers provide persistent jurisdictional protection, alternative financial infrastructure, and logistical support to targeted networks.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IV. FRAMEWORK STRUCTURE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Layer One — Integrated Systemic Attrition Doctrine (ISAD)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ISAD establishes cumulative friction against profit-sensitive connective tissue within illicit networks.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Priority target categories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Third-country brokers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Exchange houses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Transshipment nodes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Shadow maritime assets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Crypto service providers (including VASPs and related intermediaries)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 professional enablers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ISAD does not require full volume suppression. The operational objective is sustained transaction cost inflation within a defined band (illustrative: +25–45%) over a 12–24 month period.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Anticipated effects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Intermediary exit (illustrative: 15–30%)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Increased procurement latency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Fragmentation of trust networks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Elevated state subsidy burden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ISAD operates incrementally. Escalation is phased rather than reactive.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Layer Two — Sustainable Pressure and Alternatives Denial (SPAD)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SPAD addresses substitution risk under shielding escalation.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Closed-loop systems require ongoing inputs to maintain reliability and scalability, including: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Maintenance components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Software and firmware updates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Certification and inspection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Reinsurance and capital backstops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Legal and accounting formation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Skilled vendor support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SPAD targets reliability rather than settlement rails.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Illustrative reliability degradation indicators: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Increased mean time to repair (MTTR)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Elevated cannibalization rates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Deterioration in parts-to-yield ratios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turnaround time deltas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Expansion of counterparty complexity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Persistent reliability degradation constrains normalization of workaround infrastructure, even if transaction volume continues.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V. CONTROL MECHANISM — DOLLAR ENFORCEMENT EFFECTIVENESS INDEX (DEEI)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Dollar Enforcement Effectiveness Index (DEEI) establishes escalation guardrails.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Monitoring Indicators (Illustrative)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USD reserve share trend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Growth rate of alternative settlement participation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Non-USD settlement share in sensitive corridors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Formal coalition divergence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Energy volatility thresholds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Automatic Downshift Protocol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two or more indicators breach defined bands within a single quarter: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Suspend Tier 3–4 actions (major or systemic designations).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Reprioritize Tier 1–2 targeting (criminal and facilitator networks).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 multilateral coordination efforts.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Suspend unilateral financial shocks.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downshift mechanism is rule-based and not discretionary.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Purpose: Preserve systemic leverage while maintaining enforcement continuity.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VI. OPERATIONAL OBSERVABILITY PROTOCOL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closed-loop environments, settlement data may be obscured. Escalation decisions therefore require alternative telemetry.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Escalation is conditioned on observability.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Shadow Logistics Reliability Index (SLRI)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Data fusion across: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Satellite imaging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Maritime behavior patterns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turnaround metrics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Flag registry churn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Upstream Technical Telemetry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Monitoring: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Maintenance cycles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Warranty registrations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patterns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Parts-to-yield anomalies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C. Professional Enabler Monitoring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Tracking: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 purpose vehicle (SPV) formation rates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Counterparty hop inflation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 facilitator clustering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D. Monthly Observability Brief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Required metrics: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transit delay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 regeneration rate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Corridor efficiency delta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Subsidy leakage proxies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settlement growth deltas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Escalation actions require confirmation through telemetry. Absent telemetry confirmation, escalation is deferred.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VII. COALITION ENDURANCE MANAGEMENT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Coalition durability requires institutional management.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90-Day Operating Rhythm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enforcement cycle includes: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 0–30: Target refresh and observability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 31–60: Supervisory engagement and quiet pressure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 61–90: Limited public actions and remediation pathways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Escalatory actions outside cycle require defined trigger conditions.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Compensation Mechanisms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Illustrative tools: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 finance backstops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Fast-track licensing for compliant firms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Regulatory technical assistance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Energy coordination mechanisms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Structured remediation pathways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Compliance should provide predictable commercial benefit.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C. Dignity and Off-Ramps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Remediation options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Defined compliance windows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Deferred penalties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Quiet delisting pathways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Joint framing of corrective actions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Coalition fracture risk increases under humiliation-based enforcement.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VIII. RETALIATION MANAGEMENT (CONCEPTUAL PLAYBOOKS)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Major-Power Shielding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If shielding consolidates into a jurisdictionally protected corridor: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Pivot from financial escalation to maintenance and export control chokepoints.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 reliability degradation pressure.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sovereign bank designations absent existential thresholds.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DEEI downshift if indicators breach bands.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Third-Country Hub Shielding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Distinguish state posture from market facilitation.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repeat professional enablers and service providers.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Pair enforcement with measurable remediation incentives.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C. Coalition Fatigue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Narrow target sets.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 compensation measures.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humanitarian safeguards.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sudden systemic financial shocks.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IX. SUCCESS AND FAILURE INDICATORS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Effectiveness Indicators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Sustained transaction cost inflation within defined band.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Intermediary exit rates increase.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Procurement delay cycles expand.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Reliability metrics degrade.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Structural Stability Indicators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USD reserve share stabilizes within manageable range.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settlement growth contained below normalization thresholds.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participation remains stable.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major systemic fragmentation event occurs.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C. Failure Indicators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rails normalize among neutral actors.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Closed-loop systems achieve reliability parity.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divergence formalizes.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Monetary leverage erosion accelerates.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Upon breach of failure indicators, escalation is suspended pending recalibration.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X. IMPLEMENTATION CONSIDERATIONS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Implementation requires interagency coordination, consistent data-sharing protocols, defined review cadence, pre-authorized escalation and downshift thresholds, and structured communication with coalition partners.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A. Interagency Coordination Architecture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Effective implementation requires standing coordination mechanisms across multiple agencies with defined roles and responsibilities: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Treasury Department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TFFC (Terrorist Financing and Financial Crimes): Lead on designation sequencing and ISAD targeting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OFAC (Office of Foreign Assets Control): Execution of sanctions actions and General License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FinCEN: Financial intelligence collection and SLRI data aggregation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Department of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INL (Bureau of International Narcotics and Law Enforcement Affairs): Coalition partner engagement and diplomatic coordination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Economic and Business Affairs Bureau: Multilateral framework negotiations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Department of Commerce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BIS (Bureau of Industry and Security): Export control integration for SPAD reliability degradation targeting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Entity List coordination with financial designation actions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Intelligence Community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SLRI telemetry collection and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Professional enabler network mapping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Alternative settlement system monitoring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Department of Defense (Supporting Role)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Maritime domain awareness for SLRI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Satellite imagery provision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894"/>
          <w:sz w:val="22"/>
          <w:szCs w:val="22"/>
        </w:rPr>
        <w:t xml:space="preserve">Proposed Coordination Mechanism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Standing Interagency Containment Working Group (ICWG):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coordination meetings during active enforcement cycles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Bi-weekly during maintenance periods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Monthly DEEI review and downshift assessment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Quarterly coalition partner coordination sessions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Chaired by Treasury TFFC with NSC oversight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B. Data-Sharing Protocols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Consistent intelligence and enforcement data sharing requires: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Standardized SLRI reporting templates across agencies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Classified information sharing mechanisms for observability telemetry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designation coordination to prevent deconfliction failures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partner intelligence exchange frameworks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894"/>
          <w:sz w:val="24"/>
          <w:szCs w:val="24"/>
        </w:rPr>
        <w:t xml:space="preserve">C. Legal Authorities and Statutory Framework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framework operates within existing statutory authorities. Specific implementation actions would require agency legal review to ensure statutory compliance. Primary authorities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31 U.S.C. § 5318A (Section 311 - Special Measures for Primary Money Laundering Concerns)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Executive Orders 13224, 13382, and related counter-terrorism and counter-proliferation authorities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CAATSA (Countering America's Adversaries Through Sanctions Act) secondary sanctions authority (22 U.S.C. § 9241)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CISADA (Comprehensive Iran Sanctions, Accountability, and Divestment Act) provisions (22 U.S.C. § 8513)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BIS Entity List provisions under Export Administration Regulations (15 C.F.R. Part 744)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International Emergency Economic Powers Act (IEEPA) foundational authority (50 U.S.C. § 1701)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Implementation of specific enforcement actions would require coordination with agency general counsels to ensure actions fall within delegated authority and meet procedural requirements under the Administrative Procedure Act.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XI. STRATEGIC PATIENCE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framework assumes persistent non-kinetic competition conditions.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Containment is durable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Substitution systems do not normalize cheaply.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cohesion is managed proactively.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Escalation is disciplined through guardrails.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Monetary leverage is preserved.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does not define success as collapse or immediate deterrence. It defines success as preserved leverage and controlled degradation of illicit network efficiency over time.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XII. CONCLUSION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draft proposes a structured containment framework for sanctions application in multipolar environments.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converts episodic designation cycles into a controlled, observable system governed by guardrails.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does not assume decisive outcomes.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establishes: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Phased attrition (ISAD).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Scalability denial (SPAD).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Rule-based escalation discipline (DEEI).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Telemetry-based observability.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Coalition endurance management.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Interagency coordination architecture.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framework is designed to ensure that structural loss, if it occurs, is slow, detectable, and reversible.</w:t>
      </w:r>
    </w:p>
    <w:p>
      <w:pPr>
        <w:pBdr>
          <w:bottom w:val="single" w:color="1F3864" w:sz="4" w:space="1"/>
        </w:pBdr>
        <w:spacing w:before="12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 </w:t>
      </w:r>
      <w:r>
        <w:rPr>
          <w:rFonts w:ascii="Arial" w:cs="Arial" w:eastAsia="Arial" w:hAnsi="Arial"/>
          <w:sz w:val="22"/>
          <w:szCs w:val="22"/>
        </w:rPr>
        <w:t xml:space="preserve">UNCLASSIFIED // OPEN SOURCE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Distribution: </w:t>
      </w:r>
      <w:r>
        <w:rPr>
          <w:rFonts w:ascii="Arial" w:cs="Arial" w:eastAsia="Arial" w:hAnsi="Arial"/>
          <w:sz w:val="22"/>
          <w:szCs w:val="22"/>
        </w:rPr>
        <w:t xml:space="preserve">For Policy Discussion — Independent Research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Related Papers: </w:t>
      </w:r>
      <w:r>
        <w:rPr>
          <w:rFonts w:ascii="Arial" w:cs="Arial" w:eastAsia="Arial" w:hAnsi="Arial"/>
          <w:sz w:val="22"/>
          <w:szCs w:val="22"/>
        </w:rPr>
        <w:t xml:space="preserve">WP-2026-SIEGE-01 (Systematic Financial Isolation Framework); WP-2026-DOLLAR-01 (Sustainable Financial Coercion); WP-2026-CTF-01 (Counter-Terrorist Financing); WP-2026-ARCH-03 (Counter-Narcotics Financial Enforcement)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For Policy Discussion Only — Not U.S. Government Product</w:t>
    </w:r>
    <w:r>
      <w:rPr>
        <w:sz w:val="16"/>
        <w:szCs w:val="16"/>
      </w:rPr>
      <w:t xml:space="preserve">	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Policy Research Paper: WP-2026-CONTAIN-01</w:t>
    </w:r>
    <w:r>
      <w:rPr>
        <w:rFonts w:ascii="Arial" w:cs="Arial" w:eastAsia="Arial" w:hAnsi="Arial"/>
        <w:color w:val="666666"/>
        <w:sz w:val="18"/>
        <w:szCs w:val="18"/>
      </w:rPr>
      <w:t xml:space="preserve">	Independent Analytical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89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58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2026-02-21T21:05:20.939Z</dcterms:created>
  <dcterms:modified xsi:type="dcterms:W3CDTF">2026-02-21T21:05:20.940Z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