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Pr>
      <w:tblGrid>
        <w:gridCol w:w="9360"/>
      </w:tblGrid>
      <w:tr>
        <w:tc>
          <w:tcPr>
            <w:tcW w:type="dxa" w:w="9360"/>
            <w:shd w:val="clear" w:color="auto" w:fill="FFF5F5"/>
            <w:tcBorders>
              <w:top w:val="single" w:sz="8" w:space="0" w:color="7B1818"/>
              <w:left w:val="single" w:sz="8" w:space="0" w:color="7B1818"/>
              <w:bottom w:val="single" w:sz="8" w:space="0" w:color="7B1818"/>
              <w:right w:val="single" w:sz="8" w:space="0" w:color="7B1818"/>
            </w:tcBorders>
          </w:tcPr>
          <w:p>
            <w:pPr>
              <w:spacing w:before="80" w:after="80"/>
            </w:pPr>
            <w:r>
              <w:rPr>
                <w:rFonts w:ascii="Arial" w:hAnsi="Arial"/>
                <w:color w:val="7B1818"/>
                <w:sz w:val="17"/>
              </w:rPr>
              <w:t>UNCLASSIFIED — CONTROLLED DISTRIBUTION (Independent Product; see Handling)</w:t>
            </w:r>
          </w:p>
        </w:tc>
      </w:tr>
    </w:tbl>
    <w:p>
      <w:pPr>
        <w:spacing w:after="40"/>
      </w:pPr>
    </w:p>
    <w:p>
      <w:pPr>
        <w:jc w:val="center"/>
      </w:pPr>
      <w:r>
        <w:rPr>
          <w:rFonts w:ascii="Arial" w:hAnsi="Arial"/>
          <w:b/>
          <w:sz w:val="40"/>
        </w:rPr>
        <w:t>WP-2026-INFRA-01</w:t>
      </w:r>
    </w:p>
    <w:p>
      <w:pPr>
        <w:jc w:val="center"/>
      </w:pPr>
      <w:r>
        <w:rPr>
          <w:rFonts w:ascii="Arial" w:hAnsi="Arial"/>
          <w:b/>
          <w:sz w:val="26"/>
        </w:rPr>
        <w:t>MAKRAN COAST INFRASTRUCTURE CLUSTER:</w:t>
        <w:br/>
        <w:t>OSINT-GATED FINANCIAL ENFORCEMENT FRAMEWORK</w:t>
      </w:r>
    </w:p>
    <w:p>
      <w:pPr>
        <w:spacing w:after="40"/>
        <w:jc w:val="center"/>
      </w:pPr>
      <w:r>
        <w:rPr>
          <w:rFonts w:ascii="Arial" w:hAnsi="Arial"/>
          <w:color w:val="555555"/>
          <w:sz w:val="16"/>
        </w:rPr>
        <w:t>POLICY RESEARCH PAPER: WP-2026-INFRA-01 (Rev. 5.4 — Final)</w:t>
      </w:r>
    </w:p>
    <w:p>
      <w:pPr>
        <w:spacing w:after="40"/>
        <w:jc w:val="center"/>
      </w:pPr>
      <w:r>
        <w:rPr>
          <w:rFonts w:ascii="Arial" w:hAnsi="Arial"/>
          <w:color w:val="555555"/>
          <w:sz w:val="16"/>
        </w:rPr>
        <w:t>Independent Policy Research Group | February 2026</w:t>
      </w:r>
    </w:p>
    <w:p>
      <w:pPr>
        <w:spacing w:after="40"/>
        <w:jc w:val="center"/>
      </w:pPr>
      <w:r>
        <w:rPr>
          <w:rFonts w:ascii="Arial" w:hAnsi="Arial"/>
          <w:color w:val="555555"/>
          <w:sz w:val="16"/>
        </w:rPr>
        <w:t>DISSEMINATION VERSION — Coordinates excluded (see Handling)</w:t>
      </w:r>
    </w:p>
    <w:p>
      <w:pPr>
        <w:spacing w:before="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Field</w:t>
            </w:r>
          </w:p>
        </w:tc>
        <w:tc>
          <w:tcPr>
            <w:tcW w:type="dxa" w:w="720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Value</w:t>
            </w:r>
          </w:p>
        </w:tc>
      </w:tr>
      <w:tr>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Classification</w:t>
            </w:r>
          </w:p>
        </w:tc>
        <w:tc>
          <w:tcPr>
            <w:tcW w:type="dxa" w:w="720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UNCLASSIFIED — CONTROLLED DISTRIBUTION (Independent Product; see Handling)</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Version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Rev. 5.4 (Final)</w:t>
            </w:r>
          </w:p>
        </w:tc>
      </w:tr>
      <w:tr>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Date</w:t>
            </w:r>
          </w:p>
        </w:tc>
        <w:tc>
          <w:tcPr>
            <w:tcW w:type="dxa" w:w="720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February 2026</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Prepared by</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Independent Policy Research Group</w:t>
            </w:r>
          </w:p>
        </w:tc>
      </w:tr>
      <w:tr>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Distribution</w:t>
            </w:r>
          </w:p>
        </w:tc>
        <w:tc>
          <w:tcPr>
            <w:tcW w:type="dxa" w:w="720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DISSEMINATION version — coordinates excluded. Full version maintained separately.</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Intended use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Enforcement analysis and administrative record formation for non-kinetic financial enforcement options. Not determinative of end-use.</w:t>
            </w:r>
          </w:p>
        </w:tc>
      </w:tr>
      <w:tr>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Rev. 5.4 adds</w:t>
            </w:r>
          </w:p>
        </w:tc>
        <w:tc>
          <w:tcPr>
            <w:tcW w:type="dxa" w:w="720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planning→analysis language · Level 4 descriptive caveat · explicit gated line in Exec Summary · Appendix E (What Would Change My Mind) · all prior hygiene fixes retained</w:t>
            </w:r>
          </w:p>
        </w:tc>
      </w:tr>
    </w:tbl>
    <w:p>
      <w:pPr>
        <w:spacing w:after="80"/>
      </w:pPr>
    </w:p>
    <w:p>
      <w:r>
        <w:br w:type="page"/>
      </w:r>
    </w:p>
    <w:p>
      <w:pPr>
        <w:pStyle w:val="Heading1"/>
      </w:pPr>
      <w:r>
        <w:rPr>
          <w:color w:val="1A1A1A"/>
        </w:rPr>
        <w:t>SOURCES AND METHODS</w:t>
      </w:r>
    </w:p>
    <w:p>
      <w:pPr>
        <w:spacing w:before="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Element</w:t>
            </w:r>
          </w:p>
        </w:tc>
        <w:tc>
          <w:tcPr>
            <w:tcW w:type="dxa" w:w="6768"/>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Detail</w:t>
            </w:r>
          </w:p>
        </w:tc>
      </w:tr>
      <w:tr>
        <w:tc>
          <w:tcPr>
            <w:tcW w:type="dxa" w:w="2592"/>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Primary imagery</w:t>
            </w:r>
          </w:p>
        </w:tc>
        <w:tc>
          <w:tcPr>
            <w:tcW w:type="dxa" w:w="6768"/>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Google Earth (historical imagery function, free). Sentinel-2 (ESA Copernicus Open Access Hub, free). Planet Labs / Maxar (commercial, optional upgrade).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AIS data</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AIS via MarineTraffic or VesselFinder (~$500–2,000/yr). 24-month historical pull. No classified access required.</w:t>
            </w:r>
          </w:p>
        </w:tc>
      </w:tr>
      <w:tr>
        <w:tc>
          <w:tcPr>
            <w:tcW w:type="dxa" w:w="2592"/>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Timeline methodology</w:t>
            </w:r>
          </w:p>
        </w:tc>
        <w:tc>
          <w:tcPr>
            <w:tcW w:type="dxa" w:w="6768"/>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3 estimate (12–18 months to operational) derived from construction stage, tempo comparison to other nodes, and standard industrial benchmarks. Uncertainty range applies.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Confidence framework</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OBSERVED: directly visible, high confidence, independently verifiable. ASSESSED: inferred from profile + context, moderate confidence. INFERRED: analytical judgment, lower confidence, requires corroboration before Level 4 action.</w:t>
            </w:r>
          </w:p>
        </w:tc>
      </w:tr>
      <w:tr>
        <w:tc>
          <w:tcPr>
            <w:tcW w:type="dxa" w:w="2592"/>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Limitations</w:t>
            </w:r>
          </w:p>
        </w:tc>
        <w:tc>
          <w:tcPr>
            <w:tcW w:type="dxa" w:w="6768"/>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imagery cannot assess interior contents. All function assessments are analytical hypotheses. This reflects only sources reviewed for this product — does not imply exhaustive collection. This product does not employ classified collection, privileged law enforcement data, or non-public partner reporting. Absence of a signal in this product should not be interpreted as absence in the underlying environment.</w:t>
            </w:r>
          </w:p>
        </w:tc>
      </w:tr>
    </w:tbl>
    <w:p>
      <w:pPr>
        <w:spacing w:after="80"/>
      </w:pPr>
    </w:p>
    <w:p>
      <w:pPr>
        <w:pStyle w:val="Heading2"/>
      </w:pPr>
      <w:r>
        <w:rPr>
          <w:color w:val="2A2A2A"/>
        </w:rPr>
        <w:t>ETHICS AND GOVERNANCE STATEMENT</w:t>
      </w:r>
    </w:p>
    <w:p>
      <w:pPr>
        <w:spacing w:before="0" w:after="80"/>
        <w:pBdr>
          <w:bottom w:val="single" w:sz="4" w:space="1" w:color="CCCCCC"/>
        </w:pBdr>
      </w:pPr>
    </w:p>
    <w:tbl>
      <w:tblPr>
        <w:tblStyle w:val="TableGrid"/>
        <w:tblW w:type="auto" w:w="0"/>
        <w:jc w:val="left"/>
        <w:tblLook w:firstColumn="1" w:firstRow="1" w:lastColumn="0" w:lastRow="0" w:noHBand="0" w:noVBand="1" w:val="04A0"/>
      </w:tblPr>
      <w:tblGrid>
        <w:gridCol w:w="9360"/>
      </w:tblGrid>
      <w:tr>
        <w:tc>
          <w:tcPr>
            <w:tcW w:type="dxa" w:w="9360"/>
            <w:shd w:val="clear" w:color="auto" w:fill="F0F5EC"/>
            <w:tcBorders>
              <w:top w:val="single" w:sz="8" w:space="0" w:color="2D5016"/>
              <w:left w:val="single" w:sz="8" w:space="0" w:color="2D5016"/>
              <w:bottom w:val="single" w:sz="8" w:space="0" w:color="2D5016"/>
              <w:right w:val="single" w:sz="8" w:space="0" w:color="2D5016"/>
            </w:tcBorders>
          </w:tcPr>
          <w:p>
            <w:pPr>
              <w:spacing w:before="80" w:after="80"/>
            </w:pPr>
            <w:r>
              <w:rPr>
                <w:rFonts w:ascii="Arial" w:hAnsi="Arial"/>
                <w:color w:val="1A3A1A"/>
                <w:sz w:val="17"/>
              </w:rPr>
              <w:t>This product is limited to non-kinetic financial enforcement and compliance policy analysis. It avoids operational targeting guidance, component enumerations, and stepwise interdiction procedures. The framework is designed to reduce misidentification risk, prevent over-claiming from OSINT, and support lawful administrative record formation — with explicit evidentiary gates and mandatory collateral-risk review prior to any external filing.</w:t>
            </w:r>
          </w:p>
        </w:tc>
      </w:tr>
    </w:tbl>
    <w:p>
      <w:pPr>
        <w:spacing w:after="40"/>
      </w:pPr>
    </w:p>
    <w:p>
      <w:r>
        <w:br w:type="page"/>
      </w:r>
    </w:p>
    <w:p>
      <w:pPr>
        <w:pStyle w:val="Heading1"/>
      </w:pPr>
      <w:r>
        <w:rPr>
          <w:color w:val="1A1A1A"/>
        </w:rPr>
        <w:t>RESEARCH QUESTION AND CONTRIBUTION</w:t>
      </w:r>
    </w:p>
    <w:p>
      <w:pPr>
        <w:spacing w:before="0" w:after="80"/>
        <w:pBdr>
          <w:bottom w:val="single" w:sz="4" w:space="1" w:color="CCCCCC"/>
        </w:pBdr>
      </w:pPr>
    </w:p>
    <w:p>
      <w:pPr>
        <w:pStyle w:val="Heading2"/>
      </w:pPr>
      <w:r>
        <w:rPr>
          <w:color w:val="2A2A2A"/>
        </w:rPr>
        <w:t>Research Question</w:t>
      </w:r>
    </w:p>
    <w:p>
      <w:pPr>
        <w:spacing w:after="80"/>
        <w:jc w:val="both"/>
      </w:pPr>
      <w:r>
        <w:rPr>
          <w:rFonts w:ascii="Arial" w:hAnsi="Arial"/>
          <w:sz w:val="18"/>
        </w:rPr>
        <w:t>How can reproducible commercial OSINT signals be converted into an evidence-gated, legally defensible escalation framework for non-kinetic financial enforcement — one that is simultaneously transparent enough for independent publication and structured enough for administrative record formation?</w:t>
      </w:r>
    </w:p>
    <w:p>
      <w:pPr>
        <w:pStyle w:val="Heading2"/>
      </w:pPr>
      <w:r>
        <w:rPr>
          <w:color w:val="2A2A2A"/>
        </w:rPr>
        <w:t>Gap in Existing Literature</w:t>
      </w:r>
    </w:p>
    <w:p>
      <w:pPr>
        <w:spacing w:after="80"/>
        <w:jc w:val="both"/>
      </w:pPr>
      <w:r>
        <w:rPr>
          <w:rFonts w:ascii="Arial" w:hAnsi="Arial"/>
          <w:sz w:val="18"/>
        </w:rPr>
        <w:t>Existing scholarship on sanctions design addresses the strategic and legal dimensions of economic pressure campaigns. Drezner's coercive statecraft framework establishes when sanctions are likely to produce behavioral change. Nephew's practitioner account details how sanctions architecture is built for maximum leverage. Zarate's analysis of Treasury-centered financial warfare describes the institutional evolution of financial enforcement as a strategic instrument.</w:t>
      </w:r>
    </w:p>
    <w:p>
      <w:pPr>
        <w:spacing w:after="80"/>
        <w:jc w:val="both"/>
      </w:pPr>
      <w:r>
        <w:rPr>
          <w:rFonts w:ascii="Arial" w:hAnsi="Arial"/>
          <w:sz w:val="18"/>
        </w:rPr>
        <w:t>None of these frameworks address the evidentiary translation problem at the operational level: how does an analyst move from a commercial imagery observation to an administratively staffable enforcement record without classified collection, without overclaiming from OSINT, and without producing a product that counsel will reject for predicate deficiency? This paper addresses that gap.</w:t>
      </w:r>
    </w:p>
    <w:p>
      <w:pPr>
        <w:pStyle w:val="Heading2"/>
      </w:pPr>
      <w:r>
        <w:rPr>
          <w:color w:val="2A2A2A"/>
        </w:rPr>
        <w:t>Contribution</w:t>
      </w:r>
    </w:p>
    <w:p>
      <w:pPr>
        <w:spacing w:after="80"/>
        <w:jc w:val="both"/>
      </w:pPr>
      <w:r>
        <w:rPr>
          <w:rFonts w:ascii="Arial" w:hAnsi="Arial"/>
          <w:sz w:val="18"/>
        </w:rPr>
        <w:t>This paper contributes a replicable OSINT-to-enforcement translation methodology to the literature on financial enforcement design. Specifically, it demonstrates that commercial geospatial intelligence, structured through explicit evidentiary gates and identity resolution standards, can produce an administratively defensible enforcement scaffold without classified sourcing. The framework is falsifiable — each assessment carries explicit disconfirming indicators — and reproducible — all imagery and AIS data sources are identified with query parameters sufficient for independent replication.</w:t>
      </w:r>
    </w:p>
    <w:p>
      <w:pPr>
        <w:pStyle w:val="Heading2"/>
      </w:pPr>
      <w:r>
        <w:rPr>
          <w:color w:val="2A2A2A"/>
        </w:rPr>
        <w:t>Scope and Limitations of Claim</w:t>
      </w:r>
    </w:p>
    <w:p>
      <w:pPr>
        <w:spacing w:after="80"/>
        <w:jc w:val="both"/>
      </w:pPr>
      <w:r>
        <w:rPr>
          <w:rFonts w:ascii="Arial" w:hAnsi="Arial"/>
          <w:sz w:val="18"/>
        </w:rPr>
        <w:t>This paper does not claim to establish end-use of any identified facility, to provide actionable intelligence, or to substitute for classified collection. The contribution is methodological: a framework for converting OSINT observations into evidence-gated enforcement scaffolding. The Makran coast case study is an application of the methodology, not the methodology's primary claim.</w:t>
      </w:r>
    </w:p>
    <w:p>
      <w:pPr>
        <w:pStyle w:val="Heading2"/>
      </w:pPr>
      <w:r>
        <w:rPr>
          <w:color w:val="2A2A2A"/>
        </w:rPr>
        <w:t>Key References</w:t>
      </w:r>
    </w:p>
    <w:tbl>
      <w:tblPr>
        <w:tblStyle w:val="TableGrid"/>
        <w:tblW w:type="auto" w:w="0"/>
        <w:jc w:val="left"/>
        <w:tblLook w:firstColumn="1" w:firstRow="1" w:lastColumn="0" w:lastRow="0" w:noHBand="0" w:noVBand="1" w:val="04A0"/>
      </w:tblPr>
      <w:tblGrid>
        <w:gridCol w:w="4680"/>
        <w:gridCol w:w="4680"/>
      </w:tblGrid>
      <w:tr>
        <w:tc>
          <w:tcPr>
            <w:tcW w:type="dxa" w:w="432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Reference</w:t>
            </w:r>
          </w:p>
        </w:tc>
        <w:tc>
          <w:tcPr>
            <w:tcW w:type="dxa" w:w="504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Relevance to This Framework</w:t>
            </w:r>
          </w:p>
        </w:tc>
      </w:tr>
      <w:tr>
        <w:tc>
          <w:tcPr>
            <w:tcW w:type="dxa" w:w="432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Drezner, D.W. (2011). "Sanctions Sometimes Smart: Targeted Sanctions in Theory and Practice." International Studies Review 13(1).</w:t>
            </w:r>
          </w:p>
        </w:tc>
        <w:tc>
          <w:tcPr>
            <w:tcW w:type="dxa" w:w="50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Establishes conditions under which targeted economic pressure produces behavioral change. Informs escalation gate logic.</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Nephew, R. (2017). The Art of Sanctions: A View from the Field. Columbia University Press.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Practitioner framework for sanctions architecture and leverage design. Informs chokepoint mapping and SPAD methodology.</w:t>
            </w:r>
          </w:p>
        </w:tc>
      </w:tr>
      <w:tr>
        <w:tc>
          <w:tcPr>
            <w:tcW w:type="dxa" w:w="432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Zarate, J.C. (2013). Treasury's War: The Unleashing of a New Era of Financial Warfare. PublicAffairs.</w:t>
            </w:r>
          </w:p>
        </w:tc>
        <w:tc>
          <w:tcPr>
            <w:tcW w:type="dxa" w:w="50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Documents institutional evolution of financial enforcement. Provides practitioner context for Section 311 and E.O. authority application.</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Albright, D. &amp; Stricker, A. (2014). "Revisiting South Africa's Nuclear Weapons Program." Institute for Science and International Security.</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Methodological precedent for OSINT-based infrastructure assessment with explicit confidence rubrics.</w:t>
            </w:r>
          </w:p>
        </w:tc>
      </w:tr>
      <w:tr>
        <w:tc>
          <w:tcPr>
            <w:tcW w:type="dxa" w:w="432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Action Task Force (2022). Guidance on Proliferation Financing Risk Assessment and Mitigation.</w:t>
            </w:r>
          </w:p>
        </w:tc>
        <w:tc>
          <w:tcPr>
            <w:tcW w:type="dxa" w:w="50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Establishes international typology standards for proliferation financing administrative records. Informs custody hook framework.</w:t>
            </w:r>
          </w:p>
        </w:tc>
      </w:tr>
    </w:tbl>
    <w:p>
      <w:pPr>
        <w:spacing w:after="80"/>
      </w:pPr>
    </w:p>
    <w:p>
      <w:r>
        <w:br w:type="page"/>
      </w:r>
    </w:p>
    <w:p>
      <w:pPr>
        <w:pStyle w:val="Heading1"/>
      </w:pPr>
      <w:r>
        <w:rPr>
          <w:color w:val="1A1A1A"/>
        </w:rPr>
        <w:t>0. CASE OPENING SUMMARY</w:t>
      </w:r>
    </w:p>
    <w:p>
      <w:pPr>
        <w:spacing w:before="0" w:after="80"/>
        <w:pBdr>
          <w:bottom w:val="single" w:sz="4" w:space="1" w:color="CCCCCC"/>
        </w:pBdr>
      </w:pPr>
    </w:p>
    <w:p>
      <w:pPr>
        <w:pStyle w:val="Heading2"/>
      </w:pPr>
      <w:r>
        <w:rPr>
          <w:color w:val="2A2A2A"/>
        </w:rPr>
        <w:t>0.1 Purpose</w:t>
      </w:r>
    </w:p>
    <w:p>
      <w:pPr>
        <w:spacing w:after="80"/>
        <w:jc w:val="both"/>
      </w:pPr>
      <w:r>
        <w:rPr>
          <w:rFonts w:ascii="Arial" w:hAnsi="Arial"/>
          <w:sz w:val="18"/>
        </w:rPr>
        <w:t>This paper examines how reproducible OSINT signals can be converted into an evidence-gated, legally defensible escalation framework for non-kinetic financial enforcement. It presents a case-opening and evidence-building referral for enforcement options against an integrated infrastructure cluster on Iran's Makran coast. Designed to (i) establish a reproducible OSINT baseline and (ii) initiate Level 1–3 enforcement analysis under existing authorities, while explicitly gating Level 4 actions pending corroboration beyond commercial imagery. This product supports prioritization, tracing initiation, and administrative record formation; it is not determinative of end-use and not sufficient for high-impact actions absent corroboration.</w:t>
      </w:r>
    </w:p>
    <w:p>
      <w:pPr>
        <w:pStyle w:val="Heading2"/>
      </w:pPr>
      <w:r>
        <w:rPr>
          <w:color w:val="2A2A2A"/>
        </w:rPr>
        <w:t>0.2 Establishes / Does Not Establish</w:t>
      </w:r>
    </w:p>
    <w:tbl>
      <w:tblPr>
        <w:tblStyle w:val="TableGrid"/>
        <w:tblW w:type="auto" w:w="0"/>
        <w:jc w:val="left"/>
        <w:tblLook w:firstColumn="1" w:firstRow="1" w:lastColumn="0" w:lastRow="0" w:noHBand="0" w:noVBand="1" w:val="04A0"/>
      </w:tblPr>
      <w:tblGrid>
        <w:gridCol w:w="9360"/>
      </w:tblGrid>
      <w:tr>
        <w:tc>
          <w:tcPr>
            <w:tcW w:type="dxa" w:w="9360"/>
            <w:shd w:val="clear" w:color="auto" w:fill="E8F5E8"/>
            <w:tcBorders>
              <w:top w:val="single" w:sz="8" w:space="0" w:color="1A5C1A"/>
              <w:left w:val="single" w:sz="8" w:space="0" w:color="1A5C1A"/>
              <w:bottom w:val="single" w:sz="8" w:space="0" w:color="1A5C1A"/>
              <w:right w:val="single" w:sz="8" w:space="0" w:color="1A5C1A"/>
            </w:tcBorders>
          </w:tcPr>
          <w:p>
            <w:pPr>
              <w:spacing w:before="80" w:after="80"/>
            </w:pPr>
            <w:r>
              <w:rPr>
                <w:rFonts w:ascii="Arial" w:hAnsi="Arial"/>
                <w:color w:val="1A5C1A"/>
                <w:sz w:val="17"/>
              </w:rPr>
              <w:t>ESTABLISHES: Integrated industrial cluster under active construction; node-level mapping to statutory tools; finite pre-operational window for certain nodes.</w:t>
            </w:r>
          </w:p>
        </w:tc>
      </w:tr>
    </w:tbl>
    <w:p>
      <w:pPr>
        <w:spacing w:after="40"/>
      </w:pPr>
    </w:p>
    <w:tbl>
      <w:tblPr>
        <w:tblStyle w:val="TableGrid"/>
        <w:tblW w:type="auto" w:w="0"/>
        <w:jc w:val="left"/>
        <w:tblLook w:firstColumn="1" w:firstRow="1" w:lastColumn="0" w:lastRow="0" w:noHBand="0" w:noVBand="1" w:val="04A0"/>
      </w:tblPr>
      <w:tblGrid>
        <w:gridCol w:w="9360"/>
      </w:tblGrid>
      <w:tr>
        <w:tc>
          <w:tcPr>
            <w:tcW w:type="dxa" w:w="9360"/>
            <w:shd w:val="clear" w:color="auto" w:fill="FFF5F5"/>
            <w:tcBorders>
              <w:top w:val="single" w:sz="8" w:space="0" w:color="7B1818"/>
              <w:left w:val="single" w:sz="8" w:space="0" w:color="7B1818"/>
              <w:bottom w:val="single" w:sz="8" w:space="0" w:color="7B1818"/>
              <w:right w:val="single" w:sz="8" w:space="0" w:color="7B1818"/>
            </w:tcBorders>
          </w:tcPr>
          <w:p>
            <w:pPr>
              <w:spacing w:before="80" w:after="80"/>
            </w:pPr>
            <w:r>
              <w:rPr>
                <w:rFonts w:ascii="Arial" w:hAnsi="Arial"/>
                <w:color w:val="7B1818"/>
                <w:sz w:val="17"/>
              </w:rPr>
              <w:t>DOES NOT ESTABLISH: End-use of Node 3; contents of Node 4; confirmed dual-use or military linkage. Level 4 designations require corroboration beyond imagery.</w:t>
            </w:r>
          </w:p>
        </w:tc>
      </w:tr>
    </w:tbl>
    <w:p>
      <w:pPr>
        <w:spacing w:after="40"/>
      </w:pPr>
    </w:p>
    <w:p>
      <w:pPr>
        <w:pStyle w:val="Heading2"/>
      </w:pPr>
      <w:r>
        <w:rPr>
          <w:color w:val="2A2A2A"/>
        </w:rPr>
        <w:t>0.3 Evidence Level at Referral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Level</w:t>
            </w:r>
          </w:p>
        </w:tc>
        <w:tc>
          <w:tcPr>
            <w:tcW w:type="dxa" w:w="259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Status</w:t>
            </w:r>
          </w:p>
        </w:tc>
        <w:tc>
          <w:tcPr>
            <w:tcW w:type="dxa" w:w="331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Actions Available</w:t>
            </w:r>
          </w:p>
        </w:tc>
        <w:tc>
          <w:tcPr>
            <w:tcW w:type="dxa" w:w="244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Timeline</w:t>
            </w:r>
          </w:p>
        </w:tc>
      </w:tr>
      <w:tr>
        <w:tc>
          <w:tcPr>
            <w:tcW w:type="dxa" w:w="100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1</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CURRENT — commercial imagery baseline</w:t>
            </w:r>
          </w:p>
        </w:tc>
        <w:tc>
          <w:tcPr>
            <w:tcW w:type="dxa" w:w="331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AIS pull for Node 7/9</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Now — 30 days</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2</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TARGET — imagery + AIS vessel ID</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314(a) requests; shipping record analysis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30–60 days</w:t>
            </w:r>
          </w:p>
        </w:tc>
      </w:tr>
      <w:tr>
        <w:tc>
          <w:tcPr>
            <w:tcW w:type="dxa" w:w="100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3</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TARGET — imagery + AIS + financial network ID</w:t>
            </w:r>
          </w:p>
        </w:tc>
        <w:tc>
          <w:tcPr>
            <w:tcW w:type="dxa" w:w="331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Section 311 admin record; Entity List; CISADA</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90–180 days</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4</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GATED — function confirmation required</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Additional collection beyond imagery. Financial enforcement proceeds in parallel.</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Collection-dependent</w:t>
            </w:r>
          </w:p>
        </w:tc>
      </w:tr>
    </w:tbl>
    <w:p>
      <w:pPr>
        <w:spacing w:after="80"/>
      </w:pPr>
    </w:p>
    <w:p>
      <w:pPr>
        <w:pStyle w:val="Heading2"/>
      </w:pPr>
      <w:r>
        <w:rPr>
          <w:color w:val="2A2A2A"/>
        </w:rPr>
        <w:t>0.4 Priority Nodes</w:t>
      </w:r>
    </w:p>
    <w:p>
      <w:pPr>
        <w:spacing w:after="80"/>
        <w:jc w:val="both"/>
      </w:pPr>
      <w:r>
        <w:rPr>
          <w:rFonts w:ascii="Arial" w:hAnsi="Arial"/>
          <w:sz w:val="18"/>
        </w:rPr>
        <w:t>Node 3 (large unfinished industrial complex) — CRITICAL PRIORITY. Estimated 12–18 months from operational. Node 7 (deep-water port) — CRITICAL PRIORITY. Node 9 (fuel refinery) — HIGH PRIORITY.</w:t>
      </w:r>
    </w:p>
    <w:p>
      <w:pPr>
        <w:pStyle w:val="Heading2"/>
      </w:pPr>
      <w:r>
        <w:rPr>
          <w:color w:val="2A2A2A"/>
        </w:rPr>
        <w:t>0.5 Requested Actions — Structured for Staffing Speed</w:t>
      </w:r>
    </w:p>
    <w:p>
      <w:r>
        <w:rPr>
          <w:rFonts w:ascii="Arial" w:hAnsi="Arial"/>
          <w:b/>
          <w:sz w:val="18"/>
        </w:rPr>
        <w:t>Request 1 — Level 1 (30 days):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w:t>
            </w:r>
          </w:p>
        </w:tc>
        <w:tc>
          <w:tcPr>
            <w:tcW w:type="dxa" w:w="2304"/>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Lead</w:t>
            </w:r>
          </w:p>
        </w:tc>
        <w:tc>
          <w:tcPr>
            <w:tcW w:type="dxa" w:w="2016"/>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Support</w:t>
            </w:r>
          </w:p>
        </w:tc>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Output</w:t>
            </w:r>
          </w:p>
        </w:tc>
      </w:tr>
      <w:tr>
        <w:tc>
          <w:tcPr>
            <w:tcW w:type="dxa" w:w="288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AIS pull (24-month) Node 7/9 — vessels, flags, owners, P&amp;I</w:t>
            </w:r>
          </w:p>
        </w:tc>
        <w:tc>
          <w:tcPr>
            <w:tcW w:type="dxa" w:w="23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Interagency analytic cell (Treasury lead)</w:t>
            </w:r>
          </w:p>
        </w:tc>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FinCEN, OFAC, BIS</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AIS vessel list + ownership chains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Sentinel-2 imagery baseline all nodes — archive + current</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Interagency analytic cell</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All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Imagery baseline per node</w:t>
            </w:r>
          </w:p>
        </w:tc>
      </w:tr>
      <w:tr>
        <w:tc>
          <w:tcPr>
            <w:tcW w:type="dxa" w:w="288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Internal BIS/OFAC preliminary review</w:t>
            </w:r>
          </w:p>
        </w:tc>
        <w:tc>
          <w:tcPr>
            <w:tcW w:type="dxa" w:w="23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BIS; OFAC (parallel)</w:t>
            </w:r>
          </w:p>
        </w:tc>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IC coordination</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Entity flags; preliminary eligibility assessment</w:t>
            </w:r>
          </w:p>
        </w:tc>
      </w:tr>
    </w:tbl>
    <w:p>
      <w:pPr>
        <w:spacing w:after="80"/>
      </w:pPr>
    </w:p>
    <w:p>
      <w:r>
        <w:rPr>
          <w:rFonts w:ascii="Arial" w:hAnsi="Arial"/>
          <w:b/>
          <w:sz w:val="18"/>
        </w:rPr>
        <w:t>Request 2 — Level 2 (30–60 days):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w:t>
            </w:r>
          </w:p>
        </w:tc>
        <w:tc>
          <w:tcPr>
            <w:tcW w:type="dxa" w:w="2016"/>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Lead</w:t>
            </w:r>
          </w:p>
        </w:tc>
        <w:tc>
          <w:tcPr>
            <w:tcW w:type="dxa" w:w="2016"/>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Support</w:t>
            </w:r>
          </w:p>
        </w:tc>
        <w:tc>
          <w:tcPr>
            <w:tcW w:type="dxa" w:w="244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Output</w:t>
            </w:r>
          </w:p>
        </w:tc>
      </w:tr>
      <w:tr>
        <w:tc>
          <w:tcPr>
            <w:tcW w:type="dxa" w:w="288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314(a) requests keyed to AIS vessel ownership and shipping record analysis</w:t>
            </w:r>
          </w:p>
        </w:tc>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FinCEN</w:t>
            </w:r>
          </w:p>
        </w:tc>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Treasury TFFC</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institution responses; entity linkage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Supplier identity resolution per Annex C standards</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BIS</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OFAC; DOJ</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Identity packets ready for Notice Letters</w:t>
            </w:r>
          </w:p>
        </w:tc>
      </w:tr>
      <w:tr>
        <w:tc>
          <w:tcPr>
            <w:tcW w:type="dxa" w:w="288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Registry de-flagging notifications (non-binding) for AIS-confirmed vessels</w:t>
            </w:r>
          </w:p>
        </w:tc>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State (maritime liaison)</w:t>
            </w:r>
          </w:p>
        </w:tc>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Treasury OFAC</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Flag state engagement record</w:t>
            </w:r>
          </w:p>
        </w:tc>
      </w:tr>
    </w:tbl>
    <w:p>
      <w:pPr>
        <w:spacing w:after="80"/>
      </w:pPr>
    </w:p>
    <w:p>
      <w:pPr>
        <w:pStyle w:val="Heading2"/>
      </w:pPr>
      <w:r>
        <w:rPr>
          <w:color w:val="2A2A2A"/>
        </w:rPr>
        <w:t>0.6 Handling</w:t>
      </w:r>
    </w:p>
    <w:p>
      <w:pPr>
        <w:spacing w:after="80"/>
        <w:jc w:val="both"/>
      </w:pPr>
      <w:r>
        <w:rPr>
          <w:rFonts w:ascii="Arial" w:hAnsi="Arial"/>
          <w:sz w:val="18"/>
        </w:rPr>
        <w:t>Coordinates excluded from this version. Controlled version (with Annex A) maintained separately under restricted distribution.</w:t>
      </w:r>
    </w:p>
    <w:p>
      <w:pPr>
        <w:pStyle w:val="Heading2"/>
      </w:pPr>
      <w:r>
        <w:rPr>
          <w:color w:val="2A2A2A"/>
        </w:rPr>
        <w:t>0.7 Limitations and Confidence Summary</w:t>
      </w:r>
    </w:p>
    <w:p>
      <w:pPr>
        <w:spacing w:after="80"/>
        <w:jc w:val="both"/>
      </w:pPr>
      <w:r>
        <w:rPr>
          <w:rFonts w:ascii="Arial" w:hAnsi="Arial"/>
          <w:sz w:val="18"/>
        </w:rPr>
        <w:t>All node function assessments are analytical hypotheses based on physical profile, construction pattern, and strategic context. OSINT cannot confirm end-use. This statement reflects only sources reviewed and does not imply exhaustive collection. Absence of evidence in this product does not imply absence in the environment.</w:t>
      </w:r>
    </w:p>
    <w:p>
      <w:pPr>
        <w:pStyle w:val="Heading2"/>
      </w:pPr>
      <w:r>
        <w:rPr>
          <w:color w:val="2A2A2A"/>
        </w:rPr>
        <w:t>0.8 Intended Use and Non-Use</w:t>
      </w:r>
    </w:p>
    <w:p>
      <w:pPr>
        <w:spacing w:after="80"/>
        <w:jc w:val="both"/>
      </w:pPr>
      <w:r>
        <w:rPr>
          <w:rFonts w:ascii="Arial" w:hAnsi="Arial"/>
          <w:sz w:val="18"/>
        </w:rPr>
        <w:t>INTENDED: Supports prioritization, tracing initiation, and administrative record formation for non-kinetic financial enforcement analysis options. NOT INTENDED: Determinative of end-use. Not sufficient for high-impact actions absent corroboration. Not a substitute for classified collection or law enforcement data. Not for kinetic or operational targeting.</w:t>
      </w:r>
    </w:p>
    <w:p>
      <w:r>
        <w:br w:type="page"/>
      </w:r>
    </w:p>
    <w:p>
      <w:pPr>
        <w:pStyle w:val="Heading1"/>
      </w:pPr>
      <w:r>
        <w:rPr>
          <w:color w:val="1A1A1A"/>
        </w:rPr>
        <w:t>1. EXECUTIVE SUMMARY</w:t>
      </w:r>
    </w:p>
    <w:p>
      <w:pPr>
        <w:spacing w:before="0" w:after="80"/>
        <w:pBdr>
          <w:bottom w:val="single" w:sz="4" w:space="1" w:color="CCCCCC"/>
        </w:pBdr>
      </w:pPr>
    </w:p>
    <w:p>
      <w:pPr>
        <w:pStyle w:val="Heading2"/>
      </w:pPr>
      <w:r>
        <w:rPr>
          <w:color w:val="2A2A2A"/>
        </w:rPr>
        <w:t>Key Judgments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04"/>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t>
            </w:r>
          </w:p>
        </w:tc>
        <w:tc>
          <w:tcPr>
            <w:tcW w:type="dxa" w:w="331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Judgment</w:t>
            </w:r>
          </w:p>
        </w:tc>
        <w:tc>
          <w:tcPr>
            <w:tcW w:type="dxa" w:w="208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Confidence</w:t>
            </w:r>
          </w:p>
        </w:tc>
        <w:tc>
          <w:tcPr>
            <w:tcW w:type="dxa" w:w="3456"/>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Basis</w:t>
            </w:r>
          </w:p>
        </w:tc>
      </w:tr>
      <w:tr>
        <w:tc>
          <w:tcPr>
            <w:tcW w:type="dxa" w:w="5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KJ-1</w:t>
            </w:r>
          </w:p>
        </w:tc>
        <w:tc>
          <w:tcPr>
            <w:tcW w:type="dxa" w:w="331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An integrated infrastructure cluster comprising ten discrete facilities is under active construction on Iran's Makran coast.</w:t>
            </w:r>
          </w:p>
        </w:tc>
        <w:tc>
          <w:tcPr>
            <w:tcW w:type="dxa" w:w="208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OBSERVED — high confidence</w:t>
            </w:r>
          </w:p>
        </w:tc>
        <w:tc>
          <w:tcPr>
            <w:tcW w:type="dxa" w:w="345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satellite imagery (Google Earth, Sentinel-2) through Oct–Nov 2025. Independently verifiable.</w:t>
            </w:r>
          </w:p>
        </w:tc>
      </w:tr>
      <w:tr>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KJ-2</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The cluster's engineering design — self-sufficient power, water, fuel, port, and communications — is consistent with a resilience-oriented logistics enablement posture. End-use is unestablished.</w:t>
            </w:r>
          </w:p>
        </w:tc>
        <w:tc>
          <w:tcPr>
            <w:tcW w:type="dxa" w:w="20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ASSESSED — moderate confidence</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Based on observed self-sufficiency features and coordinated construction sequencing. Does not rest on direct observation of facility contents.</w:t>
            </w:r>
          </w:p>
        </w:tc>
      </w:tr>
      <w:tr>
        <w:tc>
          <w:tcPr>
            <w:tcW w:type="dxa" w:w="5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KJ-3</w:t>
            </w:r>
          </w:p>
        </w:tc>
        <w:tc>
          <w:tcPr>
            <w:tcW w:type="dxa" w:w="331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3 (large unfinished industrial complex) is estimated at 12–18 months from operational status. Supply chain constraint options are substantially more available before operational status than after.</w:t>
            </w:r>
          </w:p>
        </w:tc>
        <w:tc>
          <w:tcPr>
            <w:tcW w:type="dxa" w:w="208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ASSESSED — moderate confidence, uncertainty range applies</w:t>
            </w:r>
          </w:p>
        </w:tc>
        <w:tc>
          <w:tcPr>
            <w:tcW w:type="dxa" w:w="345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Construction stage visible in imagery; tempo comparison to other nodes; standard industrial benchmarks.</w:t>
            </w:r>
          </w:p>
        </w:tc>
      </w:tr>
      <w:tr>
        <w:tc>
          <w:tcPr>
            <w:tcW w:type="dxa" w:w="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KJ-4</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1–3 financial enforcement options are eligible for consideration under existing statutory authority without additional collection beyond commercial OSINT.</w:t>
            </w:r>
          </w:p>
        </w:tc>
        <w:tc>
          <w:tcPr>
            <w:tcW w:type="dxa" w:w="20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OBSERVED (legal authorities) / ASSESSED (predicate adequacy)</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Statutory authorities publicly codified. Predicate adequacy assessed based on current evidence level.</w:t>
            </w:r>
          </w:p>
        </w:tc>
      </w:tr>
      <w:tr>
        <w:tc>
          <w:tcPr>
            <w:tcW w:type="dxa" w:w="5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KJ-5</w:t>
            </w:r>
          </w:p>
        </w:tc>
        <w:tc>
          <w:tcPr>
            <w:tcW w:type="dxa" w:w="331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4 actions (E.O. 13382 facility designation, § 2339D referral) are explicitly gated. The escalation gate for Level 4 is not satisfied by commercial imagery alone.</w:t>
            </w:r>
          </w:p>
        </w:tc>
        <w:tc>
          <w:tcPr>
            <w:tcW w:type="dxa" w:w="208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GATED — additional collection required</w:t>
            </w:r>
          </w:p>
        </w:tc>
        <w:tc>
          <w:tcPr>
            <w:tcW w:type="dxa" w:w="345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Physical profile and construction pattern do not constitute function confirmation.</w:t>
            </w:r>
          </w:p>
        </w:tc>
      </w:tr>
    </w:tbl>
    <w:p>
      <w:pPr>
        <w:spacing w:after="80"/>
      </w:pPr>
    </w:p>
    <w:p>
      <w:pPr>
        <w:spacing w:after="80"/>
        <w:jc w:val="both"/>
      </w:pPr>
      <w:r>
        <w:rPr>
          <w:rFonts w:ascii="Arial" w:hAnsi="Arial"/>
          <w:sz w:val="18"/>
        </w:rPr>
        <w:t>Commercial satellite imagery has identified a self-sufficient industrial complex under active construction on Iran's Makran coast, Sistan-Baluchestan Province. Ten discrete facilities within approximately 100 square miles provide independent power, desalinated water, fuel refining, hardened storage, deep-water port access, and protected communications. The complex faces the open Indian Ocean outside Strait of Hormuz transit, approximately 70–80 kilometers from CPEC terminus at Gwadar, Pakistan.</w:t>
      </w:r>
    </w:p>
    <w:p>
      <w:pPr>
        <w:spacing w:after="80"/>
        <w:jc w:val="both"/>
      </w:pPr>
      <w:r>
        <w:rPr>
          <w:rFonts w:ascii="Arial" w:hAnsi="Arial"/>
          <w:sz w:val="18"/>
        </w:rPr>
        <w:t>The construction pattern and integrated engineering design are ASSESSED (moderate confidence) as consistent with a resilience-oriented logistics and industrial enablement posture, based on observed self-sufficiency features — dedicated power, desalination, fuel capability, port access, and protected communications — and their coordinated construction sequencing. End-use remains unestablished, and this assessment does not rest on direct observation of facility contents. Escalation to Level 4 actions is explicitly gated on corroboration beyond commercial imagery. Each node maps to specific enforcement options under existing statutory authority, with explicit escalation gates and decision authority. Section IX provides an illustrative implementation checklist. End-use is unestablished; escalation remains gated.</w:t>
      </w:r>
    </w:p>
    <w:p>
      <w:pPr>
        <w:pStyle w:val="Heading2"/>
      </w:pPr>
      <w:r>
        <w:rPr>
          <w:color w:val="2A2A2A"/>
        </w:rPr>
        <w:t>1.1 Competing Hypotheses and Disconfirming Indicators</w:t>
      </w:r>
    </w:p>
    <w:p>
      <w:pPr>
        <w:spacing w:after="80"/>
        <w:jc w:val="both"/>
      </w:pPr>
      <w:r>
        <w:rPr>
          <w:rFonts w:ascii="Arial" w:hAnsi="Arial"/>
          <w:sz w:val="18"/>
        </w:rPr>
        <w:t>This product evaluates multiple plausible explanations for the observed infrastructure pattern. The current assessment reflects the best-supported hypothesis given reviewed OSINT; it remains revisable upon corroboration of disconfirming indicators.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28"/>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Hypothesis</w:t>
            </w:r>
          </w:p>
        </w:tc>
        <w:tc>
          <w:tcPr>
            <w:tcW w:type="dxa" w:w="1872"/>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Explanation</w:t>
            </w:r>
          </w:p>
        </w:tc>
        <w:tc>
          <w:tcPr>
            <w:tcW w:type="dxa" w:w="1872"/>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Would Be Strengthened By</w:t>
            </w:r>
          </w:p>
        </w:tc>
        <w:tc>
          <w:tcPr>
            <w:tcW w:type="dxa" w:w="1872"/>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Would Be Weakened By</w:t>
            </w:r>
          </w:p>
        </w:tc>
        <w:tc>
          <w:tcPr>
            <w:tcW w:type="dxa" w:w="2016"/>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Current Weight</w:t>
            </w:r>
          </w:p>
        </w:tc>
      </w:tr>
      <w:tr>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H1: Civilian economic development (baseline)</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Industrial and port expansion consistent with regional development initiatives for an underdeveloped province.</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Verified civilian permitting; publicly documented commercial operators; routine civilian logistics profile.</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Consistent association with designated entities; repeated covert logistics patterns; verified controlled-goods supply chains.</w:t>
            </w:r>
          </w:p>
        </w:tc>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POSSIBLE — not excluded; insufficient evidence to confirm or exclude</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H2: Resilience-oriented logistics enablement (current assessment; moderate confidence)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Engineered self-sufficiency consistent with continuity-of-operations logistics posture.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Documentary evidence of state or security-linked operators; sanctioned maritime networks; financial intermediaries consistent with evasion typologies.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Transparent commercial counterparties; conventional market-facing operations; absence of designated-entity nexus after identity resolution.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ASSESSED — moderate confidence; best-supported by observed construction pattern and sequencing</w:t>
            </w:r>
          </w:p>
        </w:tc>
      </w:tr>
      <w:tr>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H3: Dual-use or military-relevant enablement (explicitly gated; not established)</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Potential dual-use relevance cannot be excluded from physical profile alone.</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Corroborated end-use indicators beyond imagery; controlled procurement records; admissible financial or documentary nexus meeting Level 4 gate.</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Affirmative civilian end-use confirmation; neutral counterparties satisfying identity standards.</w:t>
            </w:r>
          </w:p>
        </w:tc>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INFERRED — lower confidence; Level 4 escalation gate not yet satisfied</w:t>
            </w:r>
          </w:p>
        </w:tc>
      </w:tr>
    </w:tbl>
    <w:p>
      <w:pPr>
        <w:spacing w:after="80"/>
      </w:pPr>
    </w:p>
    <w:p>
      <w:r>
        <w:br w:type="page"/>
      </w:r>
    </w:p>
    <w:p>
      <w:pPr>
        <w:pStyle w:val="Heading1"/>
      </w:pPr>
      <w:r>
        <w:rPr>
          <w:color w:val="1A1A1A"/>
        </w:rPr>
        <w:t>2. STRATEGIC CONTEXT</w:t>
      </w:r>
    </w:p>
    <w:p>
      <w:pPr>
        <w:spacing w:before="0" w:after="80"/>
        <w:pBdr>
          <w:bottom w:val="single" w:sz="4" w:space="1" w:color="CCCCCC"/>
        </w:pBdr>
      </w:pPr>
    </w:p>
    <w:p>
      <w:pPr>
        <w:pStyle w:val="Heading2"/>
      </w:pPr>
      <w:r>
        <w:rPr>
          <w:color w:val="2A2A2A"/>
        </w:rPr>
        <w:t>2.1 Geographic Logic</w:t>
      </w:r>
    </w:p>
    <w:p>
      <w:pPr>
        <w:spacing w:after="80"/>
        <w:jc w:val="both"/>
      </w:pPr>
      <w:r>
        <w:rPr>
          <w:rFonts w:ascii="Arial" w:hAnsi="Arial"/>
          <w:sz w:val="18"/>
        </w:rPr>
        <w:t>Iran's Persian Gulf infrastructure is constrained by Strait of Hormuz transit. Makran coast provides direct Indian Ocean access. Vessels operating here reach the Arabian Sea, Gulf of Oman, East Africa, and South Asia without Strait passage — consistent with infrastructure designed for Strait disruption continuity.</w:t>
      </w:r>
    </w:p>
    <w:p>
      <w:pPr>
        <w:pStyle w:val="Heading2"/>
      </w:pPr>
      <w:r>
        <w:rPr>
          <w:color w:val="2A2A2A"/>
        </w:rPr>
        <w:t>2.2 CPEC Adjacency (INFERRED — requires financial intelligence corroboration)</w:t>
      </w:r>
    </w:p>
    <w:p>
      <w:pPr>
        <w:spacing w:after="80"/>
        <w:jc w:val="both"/>
      </w:pPr>
      <w:r>
        <w:rPr>
          <w:rFonts w:ascii="Arial" w:hAnsi="Arial"/>
          <w:sz w:val="18"/>
        </w:rPr>
        <w:t>CPEC terminus at Gwadar is 70–80 kilometers east. Transactions between this complex and CPEC-linked entities may involve Chinese state-affiliated intermediaries subject to CAATSA (22 U.S.C. § 9241) and CISADA (22 U.S.C. § 8513). INFERRED — do not apply secondary sanctions on this basis alone.</w:t>
      </w:r>
    </w:p>
    <w:p>
      <w:pPr>
        <w:pStyle w:val="Heading2"/>
      </w:pPr>
      <w:r>
        <w:rPr>
          <w:color w:val="2A2A2A"/>
        </w:rPr>
        <w:t>2.3 Construction Sequence (ASSESSED — moderate confidence)</w:t>
      </w:r>
    </w:p>
    <w:p>
      <w:pPr>
        <w:spacing w:after="80"/>
        <w:jc w:val="both"/>
      </w:pPr>
      <w:r>
        <w:rPr>
          <w:rFonts w:ascii="Arial" w:hAnsi="Arial"/>
          <w:sz w:val="18"/>
        </w:rPr>
        <w:t>Sentinel-2 2022–2025 archive shows: utilities first, hardened storage second, port and communications third, large industrial capacity last. Consistent with planned integrated development. Confidence moderate — based on imagery change detection, not confirmed construction records.</w:t>
      </w:r>
    </w:p>
    <w:p>
      <w:pPr>
        <w:pStyle w:val="Heading1"/>
      </w:pPr>
      <w:r>
        <w:rPr>
          <w:color w:val="1A1A1A"/>
        </w:rPr>
        <w:t>3. ANALYTIC CONFIDENCE FRAMEWORK</w:t>
      </w:r>
    </w:p>
    <w:p>
      <w:pPr>
        <w:spacing w:before="0" w:after="80"/>
        <w:pBdr>
          <w:bottom w:val="single" w:sz="4" w:space="1" w:color="CCCCCC"/>
        </w:pBdr>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296"/>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Level</w:t>
            </w:r>
          </w:p>
        </w:tc>
        <w:tc>
          <w:tcPr>
            <w:tcW w:type="dxa" w:w="3168"/>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Definition</w:t>
            </w:r>
          </w:p>
        </w:tc>
        <w:tc>
          <w:tcPr>
            <w:tcW w:type="dxa" w:w="2160"/>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Basis</w:t>
            </w:r>
          </w:p>
        </w:tc>
        <w:tc>
          <w:tcPr>
            <w:tcW w:type="dxa" w:w="2736"/>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Enforcement Implication</w:t>
            </w:r>
          </w:p>
        </w:tc>
      </w:tr>
      <w:tr>
        <w:tc>
          <w:tcPr>
            <w:tcW w:type="dxa" w:w="129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OBSERVED</w:t>
            </w:r>
          </w:p>
        </w:tc>
        <w:tc>
          <w:tcPr>
            <w:tcW w:type="dxa" w:w="316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Directly visible in commercial imagery. Physical structure, dimensions, construction activity.</w:t>
            </w:r>
          </w:p>
        </w:tc>
        <w:tc>
          <w:tcPr>
            <w:tcW w:type="dxa" w:w="2160"/>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Google Earth, Sentinel-2</w:t>
            </w:r>
          </w:p>
        </w:tc>
        <w:tc>
          <w:tcPr>
            <w:tcW w:type="dxa" w:w="273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Supports Level 1–2 actions. Independently verifiable.</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ASSESSED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Inferred from physical profile, construction pattern, strategic context.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Physical profile + strategic context</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Supports Level 2–3 with corroboration. Insufficient alone for E.O. 13382 designation.</w:t>
            </w:r>
          </w:p>
        </w:tc>
      </w:tr>
      <w:tr>
        <w:tc>
          <w:tcPr>
            <w:tcW w:type="dxa" w:w="129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INFERRED</w:t>
            </w:r>
          </w:p>
        </w:tc>
        <w:tc>
          <w:tcPr>
            <w:tcW w:type="dxa" w:w="316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Analytical judgment from pattern and context. Not supported by imagery alone.</w:t>
            </w:r>
          </w:p>
        </w:tc>
        <w:tc>
          <w:tcPr>
            <w:tcW w:type="dxa" w:w="2160"/>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Strategic analysis</w:t>
            </w:r>
          </w:p>
        </w:tc>
        <w:tc>
          <w:tcPr>
            <w:tcW w:type="dxa" w:w="273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4 escalation gate requires independent corroboration. Do not assert military/dual-use on INFERRED alone.</w:t>
            </w:r>
          </w:p>
        </w:tc>
      </w:tr>
    </w:tbl>
    <w:p>
      <w:pPr>
        <w:spacing w:after="80"/>
      </w:pPr>
    </w:p>
    <w:p>
      <w:pPr>
        <w:pStyle w:val="Heading2"/>
      </w:pPr>
      <w:r>
        <w:rPr>
          <w:color w:val="2A2A2A"/>
        </w:rPr>
        <w:t>3.1 Defined Terms</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Term</w:t>
            </w:r>
          </w:p>
        </w:tc>
        <w:tc>
          <w:tcPr>
            <w:tcW w:type="dxa" w:w="720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Definition as Used in This Framework</w:t>
            </w:r>
          </w:p>
        </w:tc>
      </w:tr>
      <w:tr>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SLRI</w:t>
            </w:r>
          </w:p>
        </w:tc>
        <w:tc>
          <w:tcPr>
            <w:tcW w:type="dxa" w:w="720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Satellite Logistics Readiness Indicators — observable OSINT metrics used to assess cluster operational status and enforcement effectiveness over time (Section XI).</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SPAD</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Spare Parts and Dependence — supply chain reliability de-risking doctrine targeting high-consumable or high-maintenance items that cannot be easily domesticated (CONTAIN-01).</w:t>
            </w:r>
          </w:p>
        </w:tc>
      </w:tr>
      <w:tr>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Custody hook</w:t>
            </w:r>
          </w:p>
        </w:tc>
        <w:tc>
          <w:tcPr>
            <w:tcW w:type="dxa" w:w="720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 document category that connects an identified entity to the evidentiary record. Presence of a custody hook supports nexus analysis but does not independently establish illicit activity.</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Nexus</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 documented relationship between an identified entity and the enforcement subject, established by one of: control (decision-making authority), benefit (economic benefit from operations), ownership (equity or equivalent interest), or agency (acting on behalf of subject in transactions). Documentary basis required — see Annex C. Geographic proximity alone does not constitute nexus.</w:t>
            </w:r>
          </w:p>
        </w:tc>
      </w:tr>
      <w:tr>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Escalation gate / Gate</w:t>
            </w:r>
          </w:p>
        </w:tc>
        <w:tc>
          <w:tcPr>
            <w:tcW w:type="dxa" w:w="720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The minimum evidentiary predicate that must be satisfied before a specific enforcement option is eligible for consideration. Satisfaction of the gate does not automatically trigger the action.</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Identity packet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The completed entity identification dossier satisfying Pull-Out 3 and Annex C standards, required before any Notice Letter, Entity List addition, or designation package is submitted.</w:t>
            </w:r>
          </w:p>
        </w:tc>
      </w:tr>
    </w:tbl>
    <w:p>
      <w:pPr>
        <w:spacing w:after="80"/>
      </w:pPr>
    </w:p>
    <w:p>
      <w:r>
        <w:br w:type="page"/>
      </w:r>
    </w:p>
    <w:p>
      <w:pPr>
        <w:pStyle w:val="Heading1"/>
      </w:pPr>
      <w:r>
        <w:rPr>
          <w:color w:val="1A1A1A"/>
        </w:rPr>
        <w:t>4. FACILITY NODE INVENTORY</w:t>
      </w:r>
    </w:p>
    <w:p>
      <w:pPr>
        <w:spacing w:before="0" w:after="80"/>
        <w:pBdr>
          <w:bottom w:val="single" w:sz="4" w:space="1" w:color="CCCCCC"/>
        </w:pBdr>
      </w:pPr>
    </w:p>
    <w:p>
      <w:pPr>
        <w:spacing w:after="80"/>
        <w:jc w:val="both"/>
      </w:pPr>
      <w:r>
        <w:rPr>
          <w:rFonts w:ascii="Arial" w:hAnsi="Arial"/>
          <w:sz w:val="18"/>
        </w:rPr>
        <w:t>Generalized location references only. Precise coordinates in Controlled Annex A only. Each entry: Observed → Assessed → Enforcement mapping with escalation gate standards. Do not assert military/dual-use linkage based solely on physical profile (requires Level 4 corroboration).</w:t>
      </w:r>
    </w:p>
    <w:p>
      <w:pPr>
        <w:pStyle w:val="Heading2"/>
      </w:pPr>
      <w:r>
        <w:rPr>
          <w:color w:val="2A2A2A"/>
        </w:rPr>
        <w:t>NODE 1 — Power Generation Facility</w:t>
      </w:r>
    </w:p>
    <w:p>
      <w:pPr>
        <w:spacing w:before="0" w:after="80"/>
        <w:pBdr>
          <w:bottom w:val="single" w:sz="4" w:space="1" w:color="CCCCCC"/>
        </w:pBdr>
      </w:pPr>
    </w:p>
    <w:p>
      <w:pPr>
        <w:spacing w:after="60"/>
      </w:pPr>
      <w:r>
        <w:rPr>
          <w:rFonts w:ascii="Arial" w:hAnsi="Arial"/>
          <w:b/>
          <w:sz w:val="18"/>
        </w:rPr>
        <w:t xml:space="preserve">General location: </w:t>
      </w:r>
      <w:r>
        <w:rPr>
          <w:rFonts w:ascii="Arial" w:hAnsi="Arial"/>
          <w:sz w:val="18"/>
        </w:rPr>
        <w:t>Northern sector, inland</w:t>
      </w:r>
    </w:p>
    <w:p>
      <w:pPr>
        <w:spacing w:before="40" w:after="20"/>
      </w:pPr>
      <w:r>
        <w:rPr>
          <w:rFonts w:ascii="Arial" w:hAnsi="Arial"/>
          <w:b/>
          <w:color w:val="1A5C1A"/>
          <w:sz w:val="15"/>
        </w:rPr>
        <w:t xml:space="preserve">  OBSERVED  </w:t>
      </w:r>
    </w:p>
    <w:p>
      <w:pPr>
        <w:spacing w:after="60"/>
      </w:pPr>
      <w:r>
        <w:rPr>
          <w:rFonts w:ascii="Arial" w:hAnsi="Arial"/>
          <w:b/>
          <w:sz w:val="18"/>
        </w:rPr>
        <w:t xml:space="preserve">Observed: </w:t>
      </w:r>
      <w:r>
        <w:rPr>
          <w:rFonts w:ascii="Arial" w:hAnsi="Arial"/>
          <w:sz w:val="18"/>
        </w:rPr>
        <w:t>Large power generation facility: turbine hall, fuel storage, switchyard, transmission infrastructure. Capacity appears to exceed local residential need.</w:t>
      </w:r>
    </w:p>
    <w:p>
      <w:pPr>
        <w:spacing w:before="40" w:after="20"/>
      </w:pPr>
      <w:r>
        <w:rPr>
          <w:rFonts w:ascii="Arial" w:hAnsi="Arial"/>
          <w:b/>
          <w:color w:val="1A3A6E"/>
          <w:sz w:val="15"/>
        </w:rPr>
        <w:t xml:space="preserve">  ASSESSED  </w:t>
      </w:r>
    </w:p>
    <w:p>
      <w:pPr>
        <w:spacing w:after="60"/>
      </w:pPr>
      <w:r>
        <w:rPr>
          <w:rFonts w:ascii="Arial" w:hAnsi="Arial"/>
          <w:b/>
          <w:sz w:val="18"/>
        </w:rPr>
        <w:t xml:space="preserve">Assessed function: </w:t>
      </w:r>
      <w:r>
        <w:rPr>
          <w:rFonts w:ascii="Arial" w:hAnsi="Arial"/>
          <w:sz w:val="18"/>
        </w:rPr>
        <w:t>Primary power source for cluster. Designed for independent operation disconnected from Iranian national grid. Redundant fuel storage consistent with sustained isolated operations.</w:t>
      </w:r>
    </w:p>
    <w:p>
      <w:pPr>
        <w:spacing w:after="60"/>
        <w:ind w:left="216"/>
      </w:pPr>
      <w:r>
        <w:rPr>
          <w:rFonts w:ascii="Arial" w:hAnsi="Arial"/>
          <w:i/>
          <w:color w:val="555555"/>
          <w:sz w:val="16"/>
        </w:rPr>
        <w:t>Primary SPAD reliability target — turbine maintenance components, control systems represent supply chains that cannot be easily domesticated.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w:t>
            </w:r>
          </w:p>
        </w:tc>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Authority</w:t>
            </w:r>
          </w:p>
        </w:tc>
        <w:tc>
          <w:tcPr>
            <w:tcW w:type="dxa" w:w="288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Minimum Predicate</w:t>
            </w:r>
          </w:p>
        </w:tc>
        <w:tc>
          <w:tcPr>
            <w:tcW w:type="dxa" w:w="115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Framework Ref</w:t>
            </w:r>
          </w:p>
        </w:tc>
      </w:tr>
      <w:tr>
        <w:tc>
          <w:tcPr>
            <w:tcW w:type="dxa" w:w="316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SPAD reliability targeting: turbine maintenance, control systems, fuel supply chain</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15 C.F.R. § 744.21</w:t>
            </w:r>
          </w:p>
        </w:tc>
        <w:tc>
          <w:tcPr>
            <w:tcW w:type="dxa" w:w="288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Operator designated under E.O. 13382 AND specific vendors identified via AIS/shipping. Both predicates required.</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 SPAD; SIEGE-01 CP4</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SLRI monitoring: power output as operational readiness indicator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 SLRI</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Monitoring only. No escalation gate.</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w:t>
            </w:r>
          </w:p>
        </w:tc>
      </w:tr>
    </w:tbl>
    <w:p>
      <w:pPr>
        <w:spacing w:after="80"/>
      </w:pPr>
    </w:p>
    <w:p>
      <w:pPr>
        <w:pStyle w:val="Heading2"/>
      </w:pPr>
      <w:r>
        <w:rPr>
          <w:color w:val="2A2A2A"/>
        </w:rPr>
        <w:t>NODE 2 — Water Treatment / Desalination Plant</w:t>
      </w:r>
    </w:p>
    <w:p>
      <w:pPr>
        <w:spacing w:before="0" w:after="80"/>
        <w:pBdr>
          <w:bottom w:val="single" w:sz="4" w:space="1" w:color="CCCCCC"/>
        </w:pBdr>
      </w:pPr>
    </w:p>
    <w:p>
      <w:pPr>
        <w:spacing w:after="60"/>
      </w:pPr>
      <w:r>
        <w:rPr>
          <w:rFonts w:ascii="Arial" w:hAnsi="Arial"/>
          <w:b/>
          <w:sz w:val="18"/>
        </w:rPr>
        <w:t xml:space="preserve">General location: </w:t>
      </w:r>
      <w:r>
        <w:rPr>
          <w:rFonts w:ascii="Arial" w:hAnsi="Arial"/>
          <w:sz w:val="18"/>
        </w:rPr>
        <w:t>Northern sector, adjacent to Node 1</w:t>
      </w:r>
    </w:p>
    <w:p>
      <w:pPr>
        <w:spacing w:before="40" w:after="20"/>
      </w:pPr>
      <w:r>
        <w:rPr>
          <w:rFonts w:ascii="Arial" w:hAnsi="Arial"/>
          <w:b/>
          <w:color w:val="1A5C1A"/>
          <w:sz w:val="15"/>
        </w:rPr>
        <w:t xml:space="preserve">  OBSERVED  </w:t>
      </w:r>
    </w:p>
    <w:p>
      <w:pPr>
        <w:spacing w:after="60"/>
      </w:pPr>
      <w:r>
        <w:rPr>
          <w:rFonts w:ascii="Arial" w:hAnsi="Arial"/>
          <w:b/>
          <w:sz w:val="18"/>
        </w:rPr>
        <w:t xml:space="preserve">Observed: </w:t>
      </w:r>
      <w:r>
        <w:rPr>
          <w:rFonts w:ascii="Arial" w:hAnsi="Arial"/>
          <w:sz w:val="18"/>
        </w:rPr>
        <w:t>Desalination plant with intake pipelines from coastline, storage tanks, distribution infrastructure. Scale consistent with industrial process water supply.</w:t>
      </w:r>
    </w:p>
    <w:p>
      <w:pPr>
        <w:spacing w:before="40" w:after="20"/>
      </w:pPr>
      <w:r>
        <w:rPr>
          <w:rFonts w:ascii="Arial" w:hAnsi="Arial"/>
          <w:b/>
          <w:color w:val="1A3A6E"/>
          <w:sz w:val="15"/>
        </w:rPr>
        <w:t xml:space="preserve">  ASSESSED  </w:t>
      </w:r>
    </w:p>
    <w:p>
      <w:pPr>
        <w:spacing w:after="60"/>
      </w:pPr>
      <w:r>
        <w:rPr>
          <w:rFonts w:ascii="Arial" w:hAnsi="Arial"/>
          <w:b/>
          <w:sz w:val="18"/>
        </w:rPr>
        <w:t xml:space="preserve">Assessed function: </w:t>
      </w:r>
      <w:r>
        <w:rPr>
          <w:rFonts w:ascii="Arial" w:hAnsi="Arial"/>
          <w:sz w:val="18"/>
        </w:rPr>
        <w:t>Primary potable and process water source for cluster. Desalination indicates design for independence from regional water infrastructure.</w:t>
      </w:r>
    </w:p>
    <w:p>
      <w:pPr>
        <w:spacing w:after="60"/>
        <w:ind w:left="216"/>
      </w:pPr>
      <w:r>
        <w:rPr>
          <w:rFonts w:ascii="Arial" w:hAnsi="Arial"/>
          <w:i/>
          <w:color w:val="555555"/>
          <w:sz w:val="16"/>
        </w:rPr>
        <w:t>SPAD reliability target — membrane replacement, chemical treatment supplies represent consumable supply chains.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w:t>
            </w:r>
          </w:p>
        </w:tc>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Authority</w:t>
            </w:r>
          </w:p>
        </w:tc>
        <w:tc>
          <w:tcPr>
            <w:tcW w:type="dxa" w:w="288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Minimum Predicate</w:t>
            </w:r>
          </w:p>
        </w:tc>
        <w:tc>
          <w:tcPr>
            <w:tcW w:type="dxa" w:w="115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Framework Ref</w:t>
            </w:r>
          </w:p>
        </w:tc>
      </w:tr>
      <w:tr>
        <w:tc>
          <w:tcPr>
            <w:tcW w:type="dxa" w:w="316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SPAD reliability targeting: desalination membranes, chemical treatment supplies</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15 C.F.R. § 744.21</w:t>
            </w:r>
          </w:p>
        </w:tc>
        <w:tc>
          <w:tcPr>
            <w:tcW w:type="dxa" w:w="288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Operator designated AND specific vendors identified. Both required.</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 SPAD</w:t>
            </w:r>
          </w:p>
        </w:tc>
      </w:tr>
    </w:tbl>
    <w:p>
      <w:pPr>
        <w:spacing w:after="80"/>
      </w:pPr>
    </w:p>
    <w:p>
      <w:pPr>
        <w:pStyle w:val="Heading2"/>
      </w:pPr>
      <w:r>
        <w:rPr>
          <w:color w:val="2A2A2A"/>
        </w:rPr>
        <w:t>NODE 3 — Large Unfinished Industrial Complex  ⚠ PRIORITY / PRE-OPERATIONAL WINDOW</w:t>
      </w:r>
    </w:p>
    <w:p>
      <w:pPr>
        <w:spacing w:before="0" w:after="80"/>
        <w:pBdr>
          <w:bottom w:val="single" w:sz="4" w:space="1" w:color="CCCCCC"/>
        </w:pBdr>
      </w:pPr>
    </w:p>
    <w:p>
      <w:pPr>
        <w:spacing w:after="60"/>
      </w:pPr>
      <w:r>
        <w:rPr>
          <w:rFonts w:ascii="Arial" w:hAnsi="Arial"/>
          <w:b/>
          <w:sz w:val="18"/>
        </w:rPr>
        <w:t xml:space="preserve">General location: </w:t>
      </w:r>
      <w:r>
        <w:rPr>
          <w:rFonts w:ascii="Arial" w:hAnsi="Arial"/>
          <w:sz w:val="18"/>
        </w:rPr>
        <w:t>Central sector, north of hardened perimeter</w:t>
      </w:r>
    </w:p>
    <w:p>
      <w:pPr>
        <w:spacing w:before="40" w:after="20"/>
      </w:pPr>
      <w:r>
        <w:rPr>
          <w:rFonts w:ascii="Arial" w:hAnsi="Arial"/>
          <w:b/>
          <w:color w:val="1A5C1A"/>
          <w:sz w:val="15"/>
        </w:rPr>
        <w:t xml:space="preserve">  OBSERVED  </w:t>
      </w:r>
    </w:p>
    <w:p>
      <w:pPr>
        <w:spacing w:after="60"/>
      </w:pPr>
      <w:r>
        <w:rPr>
          <w:rFonts w:ascii="Arial" w:hAnsi="Arial"/>
          <w:b/>
          <w:sz w:val="18"/>
        </w:rPr>
        <w:t xml:space="preserve">Observed: </w:t>
      </w:r>
      <w:r>
        <w:rPr>
          <w:rFonts w:ascii="Arial" w:hAnsi="Arial"/>
          <w:sz w:val="18"/>
        </w:rPr>
        <w:t>Large-footprint construction: foundation complete, structural steel framing in progress, early enclosure. Active construction Oct–Nov 2025 Sentinel-2 imagery. Footprint scale and siting are atypical for standard civilian industrial norms in this province (ASSESSED; moderate confidence).</w:t>
      </w:r>
    </w:p>
    <w:p>
      <w:pPr>
        <w:spacing w:before="40" w:after="20"/>
      </w:pPr>
      <w:r>
        <w:rPr>
          <w:rFonts w:ascii="Arial" w:hAnsi="Arial"/>
          <w:b/>
          <w:color w:val="1A3A6E"/>
          <w:sz w:val="15"/>
        </w:rPr>
        <w:t xml:space="preserve">  ASSESSED  </w:t>
      </w:r>
    </w:p>
    <w:p>
      <w:pPr>
        <w:spacing w:after="60"/>
      </w:pPr>
      <w:r>
        <w:rPr>
          <w:rFonts w:ascii="Arial" w:hAnsi="Arial"/>
          <w:b/>
          <w:sz w:val="18"/>
        </w:rPr>
        <w:t xml:space="preserve">Assessed function: </w:t>
      </w:r>
      <w:r>
        <w:rPr>
          <w:rFonts w:ascii="Arial" w:hAnsi="Arial"/>
          <w:sz w:val="18"/>
        </w:rPr>
        <w:t>Industrial production or large-system storage. Scale, isolation, and proximity to hardened storage and deep-water port are consistent with heavy manufacturing, large-scale assembly, or storage of large systems. Specific end-use NOT established by commercial imagery. Assessed moderate confidence. Disconfirming indicator: documented civilian permitting and routine commercial counterparties consistent with benign industrial development would revise this assessment downward.</w:t>
      </w:r>
    </w:p>
    <w:p>
      <w:pPr>
        <w:spacing w:before="40" w:after="20"/>
      </w:pPr>
      <w:r>
        <w:rPr>
          <w:rFonts w:ascii="Arial" w:hAnsi="Arial"/>
          <w:b/>
          <w:color w:val="7B6000"/>
          <w:sz w:val="15"/>
        </w:rPr>
        <w:t xml:space="preserve">  INFERRED  </w:t>
      </w:r>
    </w:p>
    <w:p>
      <w:pPr>
        <w:spacing w:after="60"/>
      </w:pPr>
      <w:r>
        <w:rPr>
          <w:rFonts w:ascii="Arial" w:hAnsi="Arial"/>
          <w:b/>
          <w:sz w:val="18"/>
        </w:rPr>
        <w:t xml:space="preserve">Inferred: </w:t>
      </w:r>
      <w:r>
        <w:rPr>
          <w:rFonts w:ascii="Arial" w:hAnsi="Arial"/>
          <w:sz w:val="18"/>
        </w:rPr>
        <w:t>Cluster logic — adjacency to Node 4, Node 7, Node 9 — consistent with a production-and-logistics design. Requires corroboration. Do not assert military or dual-use function on this inference alone.</w:t>
      </w:r>
    </w:p>
    <w:p>
      <w:pPr>
        <w:spacing w:after="60"/>
        <w:ind w:left="216"/>
      </w:pPr>
      <w:r>
        <w:rPr>
          <w:rFonts w:ascii="Arial" w:hAnsi="Arial"/>
          <w:i/>
          <w:color w:val="555555"/>
          <w:sz w:val="16"/>
        </w:rPr>
        <w:t>PRIORITY: Estimated 12–18 months from operational (uncertainty range applies). Supply chain constraint before operational status is substantially more achievable than capability de-risking after. Window currently open.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w:t>
            </w:r>
          </w:p>
        </w:tc>
        <w:tc>
          <w:tcPr>
            <w:tcW w:type="dxa" w:w="2160"/>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Authority</w:t>
            </w:r>
          </w:p>
        </w:tc>
        <w:tc>
          <w:tcPr>
            <w:tcW w:type="dxa" w:w="2880"/>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Minimum Predicate</w:t>
            </w:r>
          </w:p>
        </w:tc>
        <w:tc>
          <w:tcPr>
            <w:tcW w:type="dxa" w:w="1152"/>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Framework Ref</w:t>
            </w:r>
          </w:p>
        </w:tc>
      </w:tr>
      <w:tr>
        <w:tc>
          <w:tcPr>
            <w:tcW w:type="dxa" w:w="3168"/>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BIS Entity List review for confirmed contractors/suppliers</w:t>
            </w:r>
          </w:p>
        </w:tc>
        <w:tc>
          <w:tcPr>
            <w:tcW w:type="dxa" w:w="216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15 C.F.R. Part 744; 50 U.S.C. § 4819</w:t>
            </w:r>
          </w:p>
        </w:tc>
        <w:tc>
          <w:tcPr>
            <w:tcW w:type="dxa" w:w="288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Contractor identity confirmed via corporate registry, shipping manifests, or export license records. Not physical profile alone.</w:t>
            </w:r>
          </w:p>
        </w:tc>
        <w:tc>
          <w:tcPr>
            <w:tcW w:type="dxa" w:w="1152"/>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SIEGE-01 CP4; CPF-02</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Notice Letters to active construction suppliers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50 U.S.C. § 4819(c); 18 U.S.C. § 2339D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Supplier identity confirmed per Annex C AND end-user designation confirmed. Both predicates required.</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UNIFIED-01 §4.1</w:t>
            </w:r>
          </w:p>
        </w:tc>
      </w:tr>
      <w:tr>
        <w:tc>
          <w:tcPr>
            <w:tcW w:type="dxa" w:w="3168"/>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Section 311 finding / special measures for construction financing institutions</w:t>
            </w:r>
          </w:p>
        </w:tc>
        <w:tc>
          <w:tcPr>
            <w:tcW w:type="dxa" w:w="216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31 U.S.C. § 5318A</w:t>
            </w:r>
          </w:p>
        </w:tc>
        <w:tc>
          <w:tcPr>
            <w:tcW w:type="dxa" w:w="288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Institution identified via SAR or § 314(a) AND § 5318A(c) threshold met AND admin record complete AND Federal Register notice prepared.</w:t>
            </w:r>
          </w:p>
        </w:tc>
        <w:tc>
          <w:tcPr>
            <w:tcW w:type="dxa" w:w="1152"/>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SIEGE-01 CP1; CPF-02</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designation (blocking upon designation) — GATED at Level 4</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50 U.S.C. § 1702</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Function corroboration required beyond physical profile. Do not designate on imagery alone. Level 4 escalation gate not yet satisfied.</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CPF-02 — Level 4 gate</w:t>
            </w:r>
          </w:p>
        </w:tc>
      </w:tr>
    </w:tbl>
    <w:p>
      <w:pPr>
        <w:spacing w:after="80"/>
      </w:pPr>
    </w:p>
    <w:p>
      <w:pPr>
        <w:pStyle w:val="Heading2"/>
      </w:pPr>
      <w:r>
        <w:rPr>
          <w:color w:val="2A2A2A"/>
        </w:rPr>
        <w:t>NODE 4 — Hardened Secure Industrial Perimeter</w:t>
      </w:r>
    </w:p>
    <w:p>
      <w:pPr>
        <w:spacing w:before="0" w:after="80"/>
        <w:pBdr>
          <w:bottom w:val="single" w:sz="4" w:space="1" w:color="CCCCCC"/>
        </w:pBdr>
      </w:pPr>
    </w:p>
    <w:p>
      <w:pPr>
        <w:spacing w:after="60"/>
      </w:pPr>
      <w:r>
        <w:rPr>
          <w:rFonts w:ascii="Arial" w:hAnsi="Arial"/>
          <w:b/>
          <w:sz w:val="18"/>
        </w:rPr>
        <w:t xml:space="preserve">General location: </w:t>
      </w:r>
      <w:r>
        <w:rPr>
          <w:rFonts w:ascii="Arial" w:hAnsi="Arial"/>
          <w:sz w:val="18"/>
        </w:rPr>
        <w:t>Central sector, east of Node 3</w:t>
      </w:r>
    </w:p>
    <w:p>
      <w:pPr>
        <w:spacing w:before="40" w:after="20"/>
      </w:pPr>
      <w:r>
        <w:rPr>
          <w:rFonts w:ascii="Arial" w:hAnsi="Arial"/>
          <w:b/>
          <w:color w:val="1A5C1A"/>
          <w:sz w:val="15"/>
        </w:rPr>
        <w:t xml:space="preserve">  OBSERVED  </w:t>
      </w:r>
    </w:p>
    <w:p>
      <w:pPr>
        <w:spacing w:after="60"/>
      </w:pPr>
      <w:r>
        <w:rPr>
          <w:rFonts w:ascii="Arial" w:hAnsi="Arial"/>
          <w:b/>
          <w:sz w:val="18"/>
        </w:rPr>
        <w:t xml:space="preserve">Observed: </w:t>
      </w:r>
      <w:r>
        <w:rPr>
          <w:rFonts w:ascii="Arial" w:hAnsi="Arial"/>
          <w:sz w:val="18"/>
        </w:rPr>
        <w:t>Enclosed compound with perimeter wall, two large primary structures, controlled access. Standoff distances and perimeter construction profile are atypical for standard civilian warehousing norms in this province (ASSESSED; moderate confidence).</w:t>
      </w:r>
    </w:p>
    <w:p>
      <w:pPr>
        <w:spacing w:before="40" w:after="20"/>
      </w:pPr>
      <w:r>
        <w:rPr>
          <w:rFonts w:ascii="Arial" w:hAnsi="Arial"/>
          <w:b/>
          <w:color w:val="1A3A6E"/>
          <w:sz w:val="15"/>
        </w:rPr>
        <w:t xml:space="preserve">  ASSESSED  </w:t>
      </w:r>
    </w:p>
    <w:p>
      <w:pPr>
        <w:spacing w:after="60"/>
      </w:pPr>
      <w:r>
        <w:rPr>
          <w:rFonts w:ascii="Arial" w:hAnsi="Arial"/>
          <w:b/>
          <w:sz w:val="18"/>
        </w:rPr>
        <w:t xml:space="preserve">Assessed function: </w:t>
      </w:r>
      <w:r>
        <w:rPr>
          <w:rFonts w:ascii="Arial" w:hAnsi="Arial"/>
          <w:sz w:val="18"/>
        </w:rPr>
        <w:t>Secure storage of high-value or sensitive equipment. Hardened perimeter consistent with materials requiring physical access control and environmental protection. Contents NOT observable and NOT established by commercial imagery. Disconfirming indicator: affirmative civilian permitting records or transparent commercial operator documentation would revise this assessment downward.</w:t>
      </w:r>
    </w:p>
    <w:p>
      <w:pPr>
        <w:spacing w:after="60"/>
        <w:ind w:left="216"/>
      </w:pPr>
      <w:r>
        <w:rPr>
          <w:rFonts w:ascii="Arial" w:hAnsi="Arial"/>
          <w:i/>
          <w:color w:val="555555"/>
          <w:sz w:val="16"/>
        </w:rPr>
        <w:t>Do not assert military or WMD storage based on hardening profile alone. Level 4 corroboration required before E.O. 13382 designation.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w:t>
            </w:r>
          </w:p>
        </w:tc>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Authority</w:t>
            </w:r>
          </w:p>
        </w:tc>
        <w:tc>
          <w:tcPr>
            <w:tcW w:type="dxa" w:w="288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Minimum Predicate</w:t>
            </w:r>
          </w:p>
        </w:tc>
        <w:tc>
          <w:tcPr>
            <w:tcW w:type="dxa" w:w="115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Framework Ref</w:t>
            </w:r>
          </w:p>
        </w:tc>
      </w:tr>
      <w:tr>
        <w:tc>
          <w:tcPr>
            <w:tcW w:type="dxa" w:w="316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designation (blocking upon designation) — GATED at Level 4</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50 U.S.C. § 1702</w:t>
            </w:r>
          </w:p>
        </w:tc>
        <w:tc>
          <w:tcPr>
            <w:tcW w:type="dxa" w:w="288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Contents or function corroborated by additional collection beyond imagery. Physical hardening alone does not satisfy escalation gate.</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CPF-02 — Level 4 gate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Maritime enforcement coordination for vessels delivering to adjacent port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46 U.S.C. § 70201</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Cargo manifest indicates controlled or dual-use goods AND vessel associated with designated entity. Jurisdiction, flag-state cooperation, and applicable legal process required.</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SIEGE-01 CP7; CPF-02 §5</w:t>
            </w:r>
          </w:p>
        </w:tc>
      </w:tr>
      <w:tr>
        <w:tc>
          <w:tcPr>
            <w:tcW w:type="dxa" w:w="316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SLRI tracking: facility activation as cluster readiness milestone</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 SLRI</w:t>
            </w:r>
          </w:p>
        </w:tc>
        <w:tc>
          <w:tcPr>
            <w:tcW w:type="dxa" w:w="288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Monitoring only. No escalation gate.</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w:t>
            </w:r>
          </w:p>
        </w:tc>
      </w:tr>
    </w:tbl>
    <w:p>
      <w:pPr>
        <w:spacing w:after="80"/>
      </w:pPr>
    </w:p>
    <w:p>
      <w:r>
        <w:br w:type="page"/>
      </w:r>
    </w:p>
    <w:p>
      <w:pPr>
        <w:pStyle w:val="Heading2"/>
      </w:pPr>
      <w:r>
        <w:rPr>
          <w:color w:val="2A2A2A"/>
        </w:rPr>
        <w:t>NODES 5 &amp; 6 — Ocean Water Intake Pump Houses (Redundant Pair)</w:t>
      </w:r>
    </w:p>
    <w:p>
      <w:pPr>
        <w:spacing w:before="0" w:after="80"/>
        <w:pBdr>
          <w:bottom w:val="single" w:sz="4" w:space="1" w:color="CCCCCC"/>
        </w:pBdr>
      </w:pPr>
    </w:p>
    <w:p>
      <w:pPr>
        <w:spacing w:after="60"/>
      </w:pPr>
      <w:r>
        <w:rPr>
          <w:rFonts w:ascii="Arial" w:hAnsi="Arial"/>
          <w:b/>
          <w:sz w:val="18"/>
        </w:rPr>
        <w:t xml:space="preserve">General location: </w:t>
      </w:r>
      <w:r>
        <w:rPr>
          <w:rFonts w:ascii="Arial" w:hAnsi="Arial"/>
          <w:sz w:val="18"/>
        </w:rPr>
        <w:t>Coastline, southern sector</w:t>
      </w:r>
    </w:p>
    <w:p>
      <w:pPr>
        <w:spacing w:before="40" w:after="20"/>
      </w:pPr>
      <w:r>
        <w:rPr>
          <w:rFonts w:ascii="Arial" w:hAnsi="Arial"/>
          <w:b/>
          <w:color w:val="1A5C1A"/>
          <w:sz w:val="15"/>
        </w:rPr>
        <w:t xml:space="preserve">  OBSERVED  </w:t>
      </w:r>
    </w:p>
    <w:p>
      <w:pPr>
        <w:spacing w:after="60"/>
      </w:pPr>
      <w:r>
        <w:rPr>
          <w:rFonts w:ascii="Arial" w:hAnsi="Arial"/>
          <w:b/>
          <w:sz w:val="18"/>
        </w:rPr>
        <w:t xml:space="preserve">Observed: </w:t>
      </w:r>
      <w:r>
        <w:rPr>
          <w:rFonts w:ascii="Arial" w:hAnsi="Arial"/>
          <w:sz w:val="18"/>
        </w:rPr>
        <w:t>Two pump house structures at coastline with intake infrastructure and pipeline routing northward. Dual installation indicates redundant intake capacity.</w:t>
      </w:r>
    </w:p>
    <w:p>
      <w:pPr>
        <w:spacing w:before="40" w:after="20"/>
      </w:pPr>
      <w:r>
        <w:rPr>
          <w:rFonts w:ascii="Arial" w:hAnsi="Arial"/>
          <w:b/>
          <w:color w:val="1A3A6E"/>
          <w:sz w:val="15"/>
        </w:rPr>
        <w:t xml:space="preserve">  ASSESSED  </w:t>
      </w:r>
    </w:p>
    <w:p>
      <w:pPr>
        <w:spacing w:after="60"/>
      </w:pPr>
      <w:r>
        <w:rPr>
          <w:rFonts w:ascii="Arial" w:hAnsi="Arial"/>
          <w:b/>
          <w:sz w:val="18"/>
        </w:rPr>
        <w:t xml:space="preserve">Assessed function: </w:t>
      </w:r>
      <w:r>
        <w:rPr>
          <w:rFonts w:ascii="Arial" w:hAnsi="Arial"/>
          <w:sz w:val="18"/>
        </w:rPr>
        <w:t>Raw seawater intake for desalination (Node 2) and cooling water for Nodes 1 and 3. Redundant design confirms engineering for operational resilience.</w:t>
      </w:r>
    </w:p>
    <w:p>
      <w:pPr>
        <w:spacing w:after="60"/>
        <w:ind w:left="216"/>
      </w:pPr>
      <w:r>
        <w:rPr>
          <w:rFonts w:ascii="Arial" w:hAnsi="Arial"/>
          <w:i/>
          <w:color w:val="555555"/>
          <w:sz w:val="16"/>
        </w:rPr>
        <w:t>Primary SPAD reliability targets — pump maintenance components, anti-fouling treatments represent consumable supply chains.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w:t>
            </w:r>
          </w:p>
        </w:tc>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Authority</w:t>
            </w:r>
          </w:p>
        </w:tc>
        <w:tc>
          <w:tcPr>
            <w:tcW w:type="dxa" w:w="288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Minimum Predicate</w:t>
            </w:r>
          </w:p>
        </w:tc>
        <w:tc>
          <w:tcPr>
            <w:tcW w:type="dxa" w:w="115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Framework Ref</w:t>
            </w:r>
          </w:p>
        </w:tc>
      </w:tr>
      <w:tr>
        <w:tc>
          <w:tcPr>
            <w:tcW w:type="dxa" w:w="316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SPAD reliability targeting: pump maintenance, marine engineering services</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15 C.F.R. § 744.21</w:t>
            </w:r>
          </w:p>
        </w:tc>
        <w:tc>
          <w:tcPr>
            <w:tcW w:type="dxa" w:w="288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Operator designated AND specific vendors identified. Both predicates required.</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 SPAD; SIEGE-01 CP4</w:t>
            </w:r>
          </w:p>
        </w:tc>
      </w:tr>
    </w:tbl>
    <w:p>
      <w:pPr>
        <w:spacing w:after="80"/>
      </w:pPr>
    </w:p>
    <w:p>
      <w:pPr>
        <w:pStyle w:val="Heading2"/>
      </w:pPr>
      <w:r>
        <w:rPr>
          <w:color w:val="2A2A2A"/>
        </w:rPr>
        <w:t>NODE 7 — New Deep-Water Port Construction  ⚠ PRIORITY NODE</w:t>
      </w:r>
    </w:p>
    <w:p>
      <w:pPr>
        <w:spacing w:before="0" w:after="80"/>
        <w:pBdr>
          <w:bottom w:val="single" w:sz="4" w:space="1" w:color="CCCCCC"/>
        </w:pBdr>
      </w:pPr>
    </w:p>
    <w:p>
      <w:pPr>
        <w:spacing w:after="60"/>
      </w:pPr>
      <w:r>
        <w:rPr>
          <w:rFonts w:ascii="Arial" w:hAnsi="Arial"/>
          <w:b/>
          <w:sz w:val="18"/>
        </w:rPr>
        <w:t xml:space="preserve">General location: </w:t>
      </w:r>
      <w:r>
        <w:rPr>
          <w:rFonts w:ascii="Arial" w:hAnsi="Arial"/>
          <w:sz w:val="18"/>
        </w:rPr>
        <w:t>Eastern sector, coastline</w:t>
      </w:r>
    </w:p>
    <w:p>
      <w:pPr>
        <w:spacing w:before="40" w:after="20"/>
      </w:pPr>
      <w:r>
        <w:rPr>
          <w:rFonts w:ascii="Arial" w:hAnsi="Arial"/>
          <w:b/>
          <w:color w:val="1A5C1A"/>
          <w:sz w:val="15"/>
        </w:rPr>
        <w:t xml:space="preserve">  OBSERVED  </w:t>
      </w:r>
    </w:p>
    <w:p>
      <w:pPr>
        <w:spacing w:after="60"/>
      </w:pPr>
      <w:r>
        <w:rPr>
          <w:rFonts w:ascii="Arial" w:hAnsi="Arial"/>
          <w:b/>
          <w:sz w:val="18"/>
        </w:rPr>
        <w:t xml:space="preserve">Observed: </w:t>
      </w:r>
      <w:r>
        <w:rPr>
          <w:rFonts w:ascii="Arial" w:hAnsi="Arial"/>
          <w:sz w:val="18"/>
        </w:rPr>
        <w:t>Active port construction: pier/quay development, breakwater construction, dredging operations, landside logistics infrastructure. Pier scale indicates design for large vessels.</w:t>
      </w:r>
    </w:p>
    <w:p>
      <w:pPr>
        <w:spacing w:before="40" w:after="20"/>
      </w:pPr>
      <w:r>
        <w:rPr>
          <w:rFonts w:ascii="Arial" w:hAnsi="Arial"/>
          <w:b/>
          <w:color w:val="1A3A6E"/>
          <w:sz w:val="15"/>
        </w:rPr>
        <w:t xml:space="preserve">  ASSESSED  </w:t>
      </w:r>
    </w:p>
    <w:p>
      <w:pPr>
        <w:spacing w:after="60"/>
      </w:pPr>
      <w:r>
        <w:rPr>
          <w:rFonts w:ascii="Arial" w:hAnsi="Arial"/>
          <w:b/>
          <w:sz w:val="18"/>
        </w:rPr>
        <w:t xml:space="preserve">Assessed function: </w:t>
      </w:r>
      <w:r>
        <w:rPr>
          <w:rFonts w:ascii="Arial" w:hAnsi="Arial"/>
          <w:sz w:val="18"/>
        </w:rPr>
        <w:t>Primary maritime logistics interface. Enables inbound heavy equipment delivery, outbound product movement. Physical terminus of shadow logistics chain.</w:t>
      </w:r>
    </w:p>
    <w:p>
      <w:pPr>
        <w:spacing w:after="60"/>
        <w:ind w:left="216"/>
      </w:pPr>
      <w:r>
        <w:rPr>
          <w:rFonts w:ascii="Arial" w:hAnsi="Arial"/>
          <w:i/>
          <w:color w:val="555555"/>
          <w:sz w:val="16"/>
        </w:rPr>
        <w:t>AIS monitoring priority — vessel calls establish the evidentiary foundation for financial enforcement actions.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w:t>
            </w:r>
          </w:p>
        </w:tc>
        <w:tc>
          <w:tcPr>
            <w:tcW w:type="dxa" w:w="2160"/>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Authority</w:t>
            </w:r>
          </w:p>
        </w:tc>
        <w:tc>
          <w:tcPr>
            <w:tcW w:type="dxa" w:w="2880"/>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Minimum Predicate</w:t>
            </w:r>
          </w:p>
        </w:tc>
        <w:tc>
          <w:tcPr>
            <w:tcW w:type="dxa" w:w="1152"/>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Framework Ref</w:t>
            </w:r>
          </w:p>
        </w:tc>
      </w:tr>
      <w:tr>
        <w:tc>
          <w:tcPr>
            <w:tcW w:type="dxa" w:w="3168"/>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AIS 24-month pull — vessel ID, flag registry, P&amp;I club, ownership chains</w:t>
            </w:r>
          </w:p>
        </w:tc>
        <w:tc>
          <w:tcPr>
            <w:tcW w:type="dxa" w:w="216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 SLRI</w:t>
            </w:r>
          </w:p>
        </w:tc>
        <w:tc>
          <w:tcPr>
            <w:tcW w:type="dxa" w:w="288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AIS subscription active. Generalized bounding boxes (see Handling).</w:t>
            </w:r>
          </w:p>
        </w:tc>
        <w:tc>
          <w:tcPr>
            <w:tcW w:type="dxa" w:w="1152"/>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SIEGE-01 CP7</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Registry de-flagging notifications (non-binding)</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AIS confirms regular vessel calls AND vessel/operator linked to designated entity or documented illicit cargo. AIS evidence required.</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SIEGE-01 CP7; CPF-02 §4.3</w:t>
            </w:r>
          </w:p>
        </w:tc>
      </w:tr>
      <w:tr>
        <w:tc>
          <w:tcPr>
            <w:tcW w:type="dxa" w:w="3168"/>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981(k) asset substitution referral</w:t>
            </w:r>
          </w:p>
        </w:tc>
        <w:tc>
          <w:tcPr>
            <w:tcW w:type="dxa" w:w="216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18 U.S.C. § 981(k)</w:t>
            </w:r>
          </w:p>
        </w:tc>
        <w:tc>
          <w:tcPr>
            <w:tcW w:type="dxa" w:w="288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Foreign bank + U.S. correspondent account confirmed + probable cause established + court order required. All four required.</w:t>
            </w:r>
          </w:p>
        </w:tc>
        <w:tc>
          <w:tcPr>
            <w:tcW w:type="dxa" w:w="1152"/>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CPF-02 §5.2</w:t>
            </w:r>
          </w:p>
        </w:tc>
      </w:tr>
    </w:tbl>
    <w:p>
      <w:pPr>
        <w:spacing w:after="80"/>
      </w:pPr>
    </w:p>
    <w:p>
      <w:pPr>
        <w:pStyle w:val="Heading2"/>
      </w:pPr>
      <w:r>
        <w:rPr>
          <w:color w:val="2A2A2A"/>
        </w:rPr>
        <w:t>NODE 8 — Protected Communications Facility</w:t>
      </w:r>
    </w:p>
    <w:p>
      <w:pPr>
        <w:spacing w:before="0" w:after="80"/>
        <w:pBdr>
          <w:bottom w:val="single" w:sz="4" w:space="1" w:color="CCCCCC"/>
        </w:pBdr>
      </w:pPr>
    </w:p>
    <w:p>
      <w:pPr>
        <w:spacing w:after="60"/>
      </w:pPr>
      <w:r>
        <w:rPr>
          <w:rFonts w:ascii="Arial" w:hAnsi="Arial"/>
          <w:b/>
          <w:sz w:val="18"/>
        </w:rPr>
        <w:t xml:space="preserve">General location: </w:t>
      </w:r>
      <w:r>
        <w:rPr>
          <w:rFonts w:ascii="Arial" w:hAnsi="Arial"/>
          <w:sz w:val="18"/>
        </w:rPr>
        <w:t>Eastern sector, inland from Node 7</w:t>
      </w:r>
    </w:p>
    <w:p>
      <w:pPr>
        <w:spacing w:before="40" w:after="20"/>
      </w:pPr>
      <w:r>
        <w:rPr>
          <w:rFonts w:ascii="Arial" w:hAnsi="Arial"/>
          <w:b/>
          <w:color w:val="1A5C1A"/>
          <w:sz w:val="15"/>
        </w:rPr>
        <w:t xml:space="preserve">  OBSERVED  </w:t>
      </w:r>
    </w:p>
    <w:p>
      <w:pPr>
        <w:spacing w:after="60"/>
      </w:pPr>
      <w:r>
        <w:rPr>
          <w:rFonts w:ascii="Arial" w:hAnsi="Arial"/>
          <w:b/>
          <w:sz w:val="18"/>
        </w:rPr>
        <w:t xml:space="preserve">Observed: </w:t>
      </w:r>
      <w:r>
        <w:rPr>
          <w:rFonts w:ascii="Arial" w:hAnsi="Arial"/>
          <w:sz w:val="18"/>
        </w:rPr>
        <w:t>Communications facility with hardened structures, antenna arrays, protected cable routing. Physical profile consistent with encrypted or redundant communications infrastructure.</w:t>
      </w:r>
    </w:p>
    <w:p>
      <w:pPr>
        <w:spacing w:before="40" w:after="20"/>
      </w:pPr>
      <w:r>
        <w:rPr>
          <w:rFonts w:ascii="Arial" w:hAnsi="Arial"/>
          <w:b/>
          <w:color w:val="1A3A6E"/>
          <w:sz w:val="15"/>
        </w:rPr>
        <w:t xml:space="preserve">  ASSESSED  </w:t>
      </w:r>
    </w:p>
    <w:p>
      <w:pPr>
        <w:spacing w:after="60"/>
      </w:pPr>
      <w:r>
        <w:rPr>
          <w:rFonts w:ascii="Arial" w:hAnsi="Arial"/>
          <w:b/>
          <w:sz w:val="18"/>
        </w:rPr>
        <w:t xml:space="preserve">Assessed function: </w:t>
      </w:r>
      <w:r>
        <w:rPr>
          <w:rFonts w:ascii="Arial" w:hAnsi="Arial"/>
          <w:sz w:val="18"/>
        </w:rPr>
        <w:t>Protected communications node for cluster. Consistent with infrastructure designed to maintain command/coordination during external pressure.</w:t>
      </w:r>
    </w:p>
    <w:p>
      <w:pPr>
        <w:spacing w:after="60"/>
        <w:ind w:left="216"/>
      </w:pPr>
      <w:r>
        <w:rPr>
          <w:rFonts w:ascii="Arial" w:hAnsi="Arial"/>
          <w:i/>
          <w:color w:val="555555"/>
          <w:sz w:val="16"/>
        </w:rPr>
        <w:t>SPAD target for communications systems. Secondary enforcement priority behind Nodes 3, 7, 9.</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w:t>
            </w:r>
          </w:p>
        </w:tc>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Authority</w:t>
            </w:r>
          </w:p>
        </w:tc>
        <w:tc>
          <w:tcPr>
            <w:tcW w:type="dxa" w:w="288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Minimum Predicate</w:t>
            </w:r>
          </w:p>
        </w:tc>
        <w:tc>
          <w:tcPr>
            <w:tcW w:type="dxa" w:w="115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Framework Ref</w:t>
            </w:r>
          </w:p>
        </w:tc>
      </w:tr>
      <w:tr>
        <w:tc>
          <w:tcPr>
            <w:tcW w:type="dxa" w:w="316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SPAD targeting: communications equipment supply chain</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15 C.F.R. § 744.21</w:t>
            </w:r>
          </w:p>
        </w:tc>
        <w:tc>
          <w:tcPr>
            <w:tcW w:type="dxa" w:w="288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Operator designated AND specific vendors identified.</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 SPAD</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SLRI secondary monitoring node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 SLRI</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Monitoring only. No escalation gate.</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w:t>
            </w:r>
          </w:p>
        </w:tc>
      </w:tr>
    </w:tbl>
    <w:p>
      <w:pPr>
        <w:spacing w:after="80"/>
      </w:pPr>
    </w:p>
    <w:p>
      <w:pPr>
        <w:pStyle w:val="Heading2"/>
      </w:pPr>
      <w:r>
        <w:rPr>
          <w:color w:val="2A2A2A"/>
        </w:rPr>
        <w:t>NODE 9 — Fuel Refinery and Secondary Port  ⚠ PRIORITY NODE</w:t>
      </w:r>
    </w:p>
    <w:p>
      <w:pPr>
        <w:spacing w:before="0" w:after="80"/>
        <w:pBdr>
          <w:bottom w:val="single" w:sz="4" w:space="1" w:color="CCCCCC"/>
        </w:pBdr>
      </w:pPr>
    </w:p>
    <w:p>
      <w:pPr>
        <w:spacing w:after="60"/>
      </w:pPr>
      <w:r>
        <w:rPr>
          <w:rFonts w:ascii="Arial" w:hAnsi="Arial"/>
          <w:b/>
          <w:sz w:val="18"/>
        </w:rPr>
        <w:t xml:space="preserve">General location: </w:t>
      </w:r>
      <w:r>
        <w:rPr>
          <w:rFonts w:ascii="Arial" w:hAnsi="Arial"/>
          <w:sz w:val="18"/>
        </w:rPr>
        <w:t>Western sector, coastline</w:t>
      </w:r>
    </w:p>
    <w:p>
      <w:pPr>
        <w:spacing w:before="40" w:after="20"/>
      </w:pPr>
      <w:r>
        <w:rPr>
          <w:rFonts w:ascii="Arial" w:hAnsi="Arial"/>
          <w:b/>
          <w:color w:val="1A5C1A"/>
          <w:sz w:val="15"/>
        </w:rPr>
        <w:t xml:space="preserve">  OBSERVED  </w:t>
      </w:r>
    </w:p>
    <w:p>
      <w:pPr>
        <w:spacing w:after="60"/>
      </w:pPr>
      <w:r>
        <w:rPr>
          <w:rFonts w:ascii="Arial" w:hAnsi="Arial"/>
          <w:b/>
          <w:sz w:val="18"/>
        </w:rPr>
        <w:t xml:space="preserve">Observed: </w:t>
      </w:r>
      <w:r>
        <w:rPr>
          <w:rFonts w:ascii="Arial" w:hAnsi="Arial"/>
          <w:sz w:val="18"/>
        </w:rPr>
        <w:t>Refinery infrastructure with storage tanks, process equipment, flaring infrastructure, and secondary port facility enabling direct fuel loading to vessels.</w:t>
      </w:r>
    </w:p>
    <w:p>
      <w:pPr>
        <w:spacing w:before="40" w:after="20"/>
      </w:pPr>
      <w:r>
        <w:rPr>
          <w:rFonts w:ascii="Arial" w:hAnsi="Arial"/>
          <w:b/>
          <w:color w:val="1A3A6E"/>
          <w:sz w:val="15"/>
        </w:rPr>
        <w:t xml:space="preserve">  ASSESSED  </w:t>
      </w:r>
    </w:p>
    <w:p>
      <w:pPr>
        <w:spacing w:after="60"/>
      </w:pPr>
      <w:r>
        <w:rPr>
          <w:rFonts w:ascii="Arial" w:hAnsi="Arial"/>
          <w:b/>
          <w:sz w:val="18"/>
        </w:rPr>
        <w:t xml:space="preserve">Assessed function: </w:t>
      </w:r>
      <w:r>
        <w:rPr>
          <w:rFonts w:ascii="Arial" w:hAnsi="Arial"/>
          <w:sz w:val="18"/>
        </w:rPr>
        <w:t>Fuel refining and distribution for cluster and regional maritime operations. Secondary port enables direct vessel bunkering. Consistent with petroleum products storage and distribution.</w:t>
      </w:r>
    </w:p>
    <w:p>
      <w:pPr>
        <w:spacing w:before="40" w:after="20"/>
      </w:pPr>
      <w:r>
        <w:rPr>
          <w:rFonts w:ascii="Arial" w:hAnsi="Arial"/>
          <w:b/>
          <w:color w:val="7B6000"/>
          <w:sz w:val="15"/>
        </w:rPr>
        <w:t xml:space="preserve">  INFERRED  </w:t>
      </w:r>
    </w:p>
    <w:p>
      <w:pPr>
        <w:spacing w:after="60"/>
      </w:pPr>
      <w:r>
        <w:rPr>
          <w:rFonts w:ascii="Arial" w:hAnsi="Arial"/>
          <w:b/>
          <w:sz w:val="18"/>
        </w:rPr>
        <w:t xml:space="preserve">Inferred: </w:t>
      </w:r>
      <w:r>
        <w:rPr>
          <w:rFonts w:ascii="Arial" w:hAnsi="Arial"/>
          <w:sz w:val="18"/>
        </w:rPr>
        <w:t>Potential CISADA petroleum transaction nexus — transactions involving petroleum products from this facility may involve entities subject to CISADA (22 U.S.C. § 8513). INFERRED — requires transaction-level corroboration.</w:t>
      </w:r>
    </w:p>
    <w:p>
      <w:pPr>
        <w:spacing w:after="60"/>
        <w:ind w:left="216"/>
      </w:pPr>
      <w:r>
        <w:rPr>
          <w:rFonts w:ascii="Arial" w:hAnsi="Arial"/>
          <w:i/>
          <w:color w:val="555555"/>
          <w:sz w:val="16"/>
        </w:rPr>
        <w:t>CISADA petroleum transaction monitoring is the primary financial intelligence hook for this node.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w:t>
            </w:r>
          </w:p>
        </w:tc>
        <w:tc>
          <w:tcPr>
            <w:tcW w:type="dxa" w:w="2160"/>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Authority</w:t>
            </w:r>
          </w:p>
        </w:tc>
        <w:tc>
          <w:tcPr>
            <w:tcW w:type="dxa" w:w="2880"/>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Minimum Predicate</w:t>
            </w:r>
          </w:p>
        </w:tc>
        <w:tc>
          <w:tcPr>
            <w:tcW w:type="dxa" w:w="1152"/>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Framework Ref</w:t>
            </w:r>
          </w:p>
        </w:tc>
      </w:tr>
      <w:tr>
        <w:tc>
          <w:tcPr>
            <w:tcW w:type="dxa" w:w="3168"/>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CISADA 180-day warning letters for petroleum transactions</w:t>
            </w:r>
          </w:p>
        </w:tc>
        <w:tc>
          <w:tcPr>
            <w:tcW w:type="dxa" w:w="216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22 U.S.C. § 8513</w:t>
            </w:r>
          </w:p>
        </w:tc>
        <w:tc>
          <w:tcPr>
            <w:tcW w:type="dxa" w:w="288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Transaction records confirming petroleum product purchases from or through Node 9 facility operators. Entity identity per Annex C.</w:t>
            </w:r>
          </w:p>
        </w:tc>
        <w:tc>
          <w:tcPr>
            <w:tcW w:type="dxa" w:w="1152"/>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SIEGE-01 CP9; CPF-02 §6</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SLRI primary monitoring: port call frequency, vessel size, cargo patterns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 SLRI</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Monitoring only. AIS commercially available.</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w:t>
            </w:r>
          </w:p>
        </w:tc>
      </w:tr>
    </w:tbl>
    <w:p>
      <w:pPr>
        <w:spacing w:after="80"/>
      </w:pPr>
    </w:p>
    <w:p>
      <w:pPr>
        <w:pStyle w:val="Heading2"/>
      </w:pPr>
      <w:r>
        <w:rPr>
          <w:color w:val="2A2A2A"/>
        </w:rPr>
        <w:t>NODE 10 — Inland Oil / Power Generating Site</w:t>
      </w:r>
    </w:p>
    <w:p>
      <w:pPr>
        <w:spacing w:before="0" w:after="80"/>
        <w:pBdr>
          <w:bottom w:val="single" w:sz="4" w:space="1" w:color="CCCCCC"/>
        </w:pBdr>
      </w:pPr>
    </w:p>
    <w:p>
      <w:pPr>
        <w:spacing w:after="60"/>
      </w:pPr>
      <w:r>
        <w:rPr>
          <w:rFonts w:ascii="Arial" w:hAnsi="Arial"/>
          <w:b/>
          <w:sz w:val="18"/>
        </w:rPr>
        <w:t xml:space="preserve">General location: </w:t>
      </w:r>
      <w:r>
        <w:rPr>
          <w:rFonts w:ascii="Arial" w:hAnsi="Arial"/>
          <w:sz w:val="18"/>
        </w:rPr>
        <w:t>Northern sector, inland</w:t>
      </w:r>
    </w:p>
    <w:p>
      <w:pPr>
        <w:spacing w:before="40" w:after="20"/>
      </w:pPr>
      <w:r>
        <w:rPr>
          <w:rFonts w:ascii="Arial" w:hAnsi="Arial"/>
          <w:b/>
          <w:color w:val="1A5C1A"/>
          <w:sz w:val="15"/>
        </w:rPr>
        <w:t xml:space="preserve">  OBSERVED  </w:t>
      </w:r>
    </w:p>
    <w:p>
      <w:pPr>
        <w:spacing w:after="60"/>
      </w:pPr>
      <w:r>
        <w:rPr>
          <w:rFonts w:ascii="Arial" w:hAnsi="Arial"/>
          <w:b/>
          <w:sz w:val="18"/>
        </w:rPr>
        <w:t xml:space="preserve">Observed: </w:t>
      </w:r>
      <w:r>
        <w:rPr>
          <w:rFonts w:ascii="Arial" w:hAnsi="Arial"/>
          <w:sz w:val="18"/>
        </w:rPr>
        <w:t>Inland facility with storage tanks, power generation infrastructure, access road.</w:t>
      </w:r>
    </w:p>
    <w:p>
      <w:pPr>
        <w:spacing w:before="40" w:after="20"/>
      </w:pPr>
      <w:r>
        <w:rPr>
          <w:rFonts w:ascii="Arial" w:hAnsi="Arial"/>
          <w:b/>
          <w:color w:val="1A3A6E"/>
          <w:sz w:val="15"/>
        </w:rPr>
        <w:t xml:space="preserve">  ASSESSED  </w:t>
      </w:r>
    </w:p>
    <w:p>
      <w:pPr>
        <w:spacing w:after="60"/>
      </w:pPr>
      <w:r>
        <w:rPr>
          <w:rFonts w:ascii="Arial" w:hAnsi="Arial"/>
          <w:b/>
          <w:sz w:val="18"/>
        </w:rPr>
        <w:t xml:space="preserve">Assessed function: </w:t>
      </w:r>
      <w:r>
        <w:rPr>
          <w:rFonts w:ascii="Arial" w:hAnsi="Arial"/>
          <w:sz w:val="18"/>
        </w:rPr>
        <w:t>Secondary power generation and fuel storage. Consistent with backup power and fuel reserve for cluster independence.</w:t>
      </w:r>
    </w:p>
    <w:p>
      <w:pPr>
        <w:spacing w:after="60"/>
        <w:ind w:left="216"/>
      </w:pPr>
      <w:r>
        <w:rPr>
          <w:rFonts w:ascii="Arial" w:hAnsi="Arial"/>
          <w:i/>
          <w:color w:val="555555"/>
          <w:sz w:val="16"/>
        </w:rPr>
        <w:t>Lower enforcement priority. Monitor for supply chain connections to Nodes 1 and 9.</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Action</w:t>
            </w:r>
          </w:p>
        </w:tc>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Authority</w:t>
            </w:r>
          </w:p>
        </w:tc>
        <w:tc>
          <w:tcPr>
            <w:tcW w:type="dxa" w:w="288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Minimum Predicate</w:t>
            </w:r>
          </w:p>
        </w:tc>
        <w:tc>
          <w:tcPr>
            <w:tcW w:type="dxa" w:w="115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Framework Ref</w:t>
            </w:r>
          </w:p>
        </w:tc>
      </w:tr>
      <w:tr>
        <w:tc>
          <w:tcPr>
            <w:tcW w:type="dxa" w:w="316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SPAD monitoring: fuel supply chain</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 SLRI</w:t>
            </w:r>
          </w:p>
        </w:tc>
        <w:tc>
          <w:tcPr>
            <w:tcW w:type="dxa" w:w="288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Monitoring only. No escalation gate.</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CONTAIN-01</w:t>
            </w:r>
          </w:p>
        </w:tc>
      </w:tr>
    </w:tbl>
    <w:p>
      <w:pPr>
        <w:spacing w:after="80"/>
      </w:pPr>
    </w:p>
    <w:p>
      <w:r>
        <w:br w:type="page"/>
      </w:r>
    </w:p>
    <w:p>
      <w:pPr>
        <w:pStyle w:val="Heading1"/>
      </w:pPr>
      <w:r>
        <w:rPr>
          <w:color w:val="1A1A1A"/>
        </w:rPr>
        <w:t>4.5 ENFORCEMENT DECISION TREE</w:t>
      </w:r>
    </w:p>
    <w:p>
      <w:pPr>
        <w:spacing w:before="0" w:after="80"/>
        <w:pBdr>
          <w:bottom w:val="single" w:sz="4" w:space="1" w:color="CCCCCC"/>
        </w:pBdr>
      </w:pP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Evidence Level</w:t>
            </w:r>
          </w:p>
        </w:tc>
        <w:tc>
          <w:tcPr>
            <w:tcW w:type="dxa" w:w="2160"/>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Unlocked Options</w:t>
            </w:r>
          </w:p>
        </w:tc>
        <w:tc>
          <w:tcPr>
            <w:tcW w:type="dxa" w:w="2880"/>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Escalation Gate (Minimum Predicate)</w:t>
            </w:r>
          </w:p>
        </w:tc>
        <w:tc>
          <w:tcPr>
            <w:tcW w:type="dxa" w:w="1584"/>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Decision Owner</w:t>
            </w:r>
          </w:p>
        </w:tc>
        <w:tc>
          <w:tcPr>
            <w:tcW w:type="dxa" w:w="1296"/>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Timebox</w:t>
            </w:r>
          </w:p>
        </w:tc>
      </w:tr>
      <w:tr>
        <w:tc>
          <w:tcPr>
            <w:tcW w:type="dxa" w:w="2160"/>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1</w:t>
            </w:r>
            <w:r>
              <w:rPr>
                <w:sz w:val="4"/>
              </w:rPr>
              <w:br/>
            </w:r>
            <w:r>
              <w:rPr>
                <w:rFonts w:ascii="Arial" w:hAnsi="Arial"/>
                <w:b w:val="0"/>
                <w:color w:val="1A1A1A"/>
                <w:sz w:val="16"/>
              </w:rPr>
              <w:t>Current status</w:t>
            </w:r>
            <w:r>
              <w:rPr>
                <w:sz w:val="4"/>
              </w:rPr>
              <w:br/>
            </w:r>
            <w:r>
              <w:rPr>
                <w:rFonts w:ascii="Arial" w:hAnsi="Arial"/>
                <w:b w:val="0"/>
                <w:color w:val="1A1A1A"/>
                <w:sz w:val="16"/>
              </w:rPr>
              <w:t>OSINT patterns only</w:t>
            </w:r>
          </w:p>
        </w:tc>
        <w:tc>
          <w:tcPr>
            <w:tcW w:type="dxa" w:w="2160"/>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Sentinel-2 baseline</w:t>
            </w:r>
            <w:r>
              <w:rPr>
                <w:sz w:val="4"/>
              </w:rPr>
              <w:br/>
            </w:r>
            <w:r>
              <w:rPr>
                <w:rFonts w:ascii="Arial" w:hAnsi="Arial"/>
                <w:b w:val="0"/>
                <w:color w:val="1A1A1A"/>
                <w:sz w:val="16"/>
              </w:rPr>
              <w:t>AIS pull</w:t>
            </w:r>
            <w:r>
              <w:rPr>
                <w:sz w:val="4"/>
              </w:rPr>
              <w:br/>
            </w:r>
            <w:r>
              <w:rPr>
                <w:rFonts w:ascii="Arial" w:hAnsi="Arial"/>
                <w:b w:val="0"/>
                <w:color w:val="1A1A1A"/>
                <w:sz w:val="16"/>
              </w:rPr>
              <w:t>Internal BIS/OFAC review</w:t>
            </w:r>
            <w:r>
              <w:rPr>
                <w:sz w:val="4"/>
              </w:rPr>
              <w:br/>
            </w:r>
            <w:r>
              <w:rPr>
                <w:rFonts w:ascii="Arial" w:hAnsi="Arial"/>
                <w:b w:val="0"/>
                <w:color w:val="1A1A1A"/>
                <w:sz w:val="16"/>
              </w:rPr>
              <w:t>SLRI monitoring</w:t>
            </w:r>
          </w:p>
        </w:tc>
        <w:tc>
          <w:tcPr>
            <w:tcW w:type="dxa" w:w="2880"/>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None — conceptually feasible within standard review processes</w:t>
            </w:r>
          </w:p>
        </w:tc>
        <w:tc>
          <w:tcPr>
            <w:tcW w:type="dxa" w:w="158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Interagency analytic cell (Treasury lead)</w:t>
            </w:r>
          </w:p>
        </w:tc>
        <w:tc>
          <w:tcPr>
            <w:tcW w:type="dxa" w:w="1296"/>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Now–30 days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2</w:t>
            </w:r>
            <w:r>
              <w:rPr>
                <w:sz w:val="4"/>
              </w:rPr>
              <w:br/>
            </w:r>
            <w:r>
              <w:rPr>
                <w:rFonts w:ascii="Arial" w:hAnsi="Arial"/>
                <w:b w:val="0"/>
                <w:color w:val="1A1A1A"/>
                <w:sz w:val="16"/>
              </w:rPr>
              <w:t>Imagery + AIS vessel ID</w:t>
            </w:r>
            <w:r>
              <w:rPr>
                <w:sz w:val="4"/>
              </w:rPr>
              <w:br/>
            </w:r>
            <w:r>
              <w:rPr>
                <w:rFonts w:ascii="Arial" w:hAnsi="Arial"/>
                <w:b w:val="0"/>
                <w:color w:val="1A1A1A"/>
                <w:sz w:val="16"/>
              </w:rPr>
              <w:t>(30–60 days)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Registry de-flagging notifications</w:t>
            </w:r>
            <w:r>
              <w:rPr>
                <w:sz w:val="4"/>
              </w:rPr>
              <w:br/>
            </w:r>
            <w:r>
              <w:rPr>
                <w:rFonts w:ascii="Arial" w:hAnsi="Arial"/>
                <w:b w:val="0"/>
                <w:color w:val="1A1A1A"/>
                <w:sz w:val="16"/>
              </w:rPr>
              <w:t>Notice Letters</w:t>
            </w:r>
            <w:r>
              <w:rPr>
                <w:sz w:val="4"/>
              </w:rPr>
              <w:br/>
            </w:r>
            <w:r>
              <w:rPr>
                <w:rFonts w:ascii="Arial" w:hAnsi="Arial"/>
                <w:b w:val="0"/>
                <w:color w:val="1A1A1A"/>
                <w:sz w:val="16"/>
              </w:rPr>
              <w:t>§ 314(a) requests</w:t>
            </w:r>
            <w:r>
              <w:rPr>
                <w:sz w:val="4"/>
              </w:rPr>
              <w:br/>
            </w:r>
            <w:r>
              <w:rPr>
                <w:rFonts w:ascii="Arial" w:hAnsi="Arial"/>
                <w:b w:val="0"/>
                <w:color w:val="1A1A1A"/>
                <w:sz w:val="16"/>
              </w:rPr>
              <w:t>FATF coordination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Notice Letters: supplier identity per Annex C AND end-user designation confirmed (both required).</w:t>
            </w:r>
            <w:r>
              <w:rPr>
                <w:sz w:val="4"/>
              </w:rPr>
              <w:br/>
            </w:r>
            <w:r>
              <w:rPr>
                <w:rFonts w:ascii="Arial" w:hAnsi="Arial"/>
                <w:b w:val="0"/>
                <w:color w:val="1A1A1A"/>
                <w:sz w:val="16"/>
              </w:rPr>
              <w:t>Registry: AIS confirms regular calls AND vessel linked to designated entity or illicit cargo.</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BIS (Notice Letters)</w:t>
            </w:r>
            <w:r>
              <w:rPr>
                <w:sz w:val="4"/>
              </w:rPr>
              <w:br/>
            </w:r>
            <w:r>
              <w:rPr>
                <w:rFonts w:ascii="Arial" w:hAnsi="Arial"/>
                <w:b w:val="0"/>
                <w:color w:val="1A1A1A"/>
                <w:sz w:val="16"/>
              </w:rPr>
              <w:t>State/Treasury (registry)</w:t>
            </w:r>
            <w:r>
              <w:rPr>
                <w:sz w:val="4"/>
              </w:rPr>
              <w:br/>
            </w:r>
            <w:r>
              <w:rPr>
                <w:rFonts w:ascii="Arial" w:hAnsi="Arial"/>
                <w:b w:val="0"/>
                <w:color w:val="1A1A1A"/>
                <w:sz w:val="16"/>
              </w:rPr>
              <w:t>FinCEN (§314(a))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30–60 days</w:t>
            </w:r>
          </w:p>
        </w:tc>
      </w:tr>
      <w:tr>
        <w:tc>
          <w:tcPr>
            <w:tcW w:type="dxa" w:w="2160"/>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3</w:t>
            </w:r>
            <w:r>
              <w:rPr>
                <w:sz w:val="4"/>
              </w:rPr>
              <w:br/>
            </w:r>
            <w:r>
              <w:rPr>
                <w:rFonts w:ascii="Arial" w:hAnsi="Arial"/>
                <w:b w:val="0"/>
                <w:color w:val="1A1A1A"/>
                <w:sz w:val="16"/>
              </w:rPr>
              <w:t>Imagery + AIS + financial ID</w:t>
            </w:r>
            <w:r>
              <w:rPr>
                <w:sz w:val="4"/>
              </w:rPr>
              <w:br/>
            </w:r>
            <w:r>
              <w:rPr>
                <w:rFonts w:ascii="Arial" w:hAnsi="Arial"/>
                <w:b w:val="0"/>
                <w:color w:val="1A1A1A"/>
                <w:sz w:val="16"/>
              </w:rPr>
              <w:t>(90–180 days)</w:t>
            </w:r>
          </w:p>
        </w:tc>
        <w:tc>
          <w:tcPr>
            <w:tcW w:type="dxa" w:w="2160"/>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Section 311 finding / special measures</w:t>
            </w:r>
            <w:r>
              <w:rPr>
                <w:sz w:val="4"/>
              </w:rPr>
              <w:br/>
            </w:r>
            <w:r>
              <w:rPr>
                <w:rFonts w:ascii="Arial" w:hAnsi="Arial"/>
                <w:b w:val="0"/>
                <w:color w:val="1A1A1A"/>
                <w:sz w:val="16"/>
              </w:rPr>
              <w:t>§ 981(k) asset substitution referral</w:t>
            </w:r>
            <w:r>
              <w:rPr>
                <w:sz w:val="4"/>
              </w:rPr>
              <w:br/>
            </w:r>
            <w:r>
              <w:rPr>
                <w:rFonts w:ascii="Arial" w:hAnsi="Arial"/>
                <w:b w:val="0"/>
                <w:color w:val="1A1A1A"/>
                <w:sz w:val="16"/>
              </w:rPr>
              <w:t>Entity List additions</w:t>
            </w:r>
            <w:r>
              <w:rPr>
                <w:sz w:val="4"/>
              </w:rPr>
              <w:br/>
            </w:r>
            <w:r>
              <w:rPr>
                <w:rFonts w:ascii="Arial" w:hAnsi="Arial"/>
                <w:b w:val="0"/>
                <w:color w:val="1A1A1A"/>
                <w:sz w:val="16"/>
              </w:rPr>
              <w:t>CISADA warnings</w:t>
            </w:r>
          </w:p>
        </w:tc>
        <w:tc>
          <w:tcPr>
            <w:tcW w:type="dxa" w:w="2880"/>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311: institution ID via SAR/§ 314(a); § 5318A(c) threshold met; admin record complete.</w:t>
            </w:r>
            <w:r>
              <w:rPr>
                <w:sz w:val="4"/>
              </w:rPr>
              <w:br/>
            </w:r>
            <w:r>
              <w:rPr>
                <w:rFonts w:ascii="Arial" w:hAnsi="Arial"/>
                <w:b w:val="0"/>
                <w:color w:val="1A1A1A"/>
                <w:sz w:val="16"/>
              </w:rPr>
              <w:t>§ 981(k): foreign bank + U.S. correspondent confirmed; probable cause established.</w:t>
            </w:r>
            <w:r>
              <w:rPr>
                <w:sz w:val="4"/>
              </w:rPr>
              <w:br/>
            </w:r>
            <w:r>
              <w:rPr>
                <w:rFonts w:ascii="Arial" w:hAnsi="Arial"/>
                <w:b w:val="0"/>
                <w:color w:val="1A1A1A"/>
                <w:sz w:val="16"/>
              </w:rPr>
              <w:t>Entity List: credible evidence; identity per Annex C.</w:t>
            </w:r>
          </w:p>
        </w:tc>
        <w:tc>
          <w:tcPr>
            <w:tcW w:type="dxa" w:w="158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FinCEN (311)</w:t>
            </w:r>
            <w:r>
              <w:rPr>
                <w:sz w:val="4"/>
              </w:rPr>
              <w:br/>
            </w:r>
            <w:r>
              <w:rPr>
                <w:rFonts w:ascii="Arial" w:hAnsi="Arial"/>
                <w:b w:val="0"/>
                <w:color w:val="1A1A1A"/>
                <w:sz w:val="16"/>
              </w:rPr>
              <w:t>DOJ MLARS (§ 981(k))</w:t>
            </w:r>
            <w:r>
              <w:rPr>
                <w:sz w:val="4"/>
              </w:rPr>
              <w:br/>
            </w:r>
            <w:r>
              <w:rPr>
                <w:rFonts w:ascii="Arial" w:hAnsi="Arial"/>
                <w:b w:val="0"/>
                <w:color w:val="1A1A1A"/>
                <w:sz w:val="16"/>
              </w:rPr>
              <w:t>BIS/OFAC (Entity List)</w:t>
            </w:r>
          </w:p>
        </w:tc>
        <w:tc>
          <w:tcPr>
            <w:tcW w:type="dxa" w:w="1296"/>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90–180 days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4</w:t>
            </w:r>
            <w:r>
              <w:rPr>
                <w:sz w:val="4"/>
              </w:rPr>
              <w:br/>
            </w:r>
            <w:r>
              <w:rPr>
                <w:rFonts w:ascii="Arial" w:hAnsi="Arial"/>
                <w:b w:val="0"/>
                <w:color w:val="1A1A1A"/>
                <w:sz w:val="16"/>
              </w:rPr>
              <w:t>Imagery + AIS + financial + function corroboration</w:t>
            </w:r>
            <w:r>
              <w:rPr>
                <w:sz w:val="4"/>
              </w:rPr>
              <w:br/>
            </w:r>
            <w:r>
              <w:rPr>
                <w:rFonts w:ascii="Arial" w:hAnsi="Arial"/>
                <w:b w:val="0"/>
                <w:color w:val="1A1A1A"/>
                <w:sz w:val="16"/>
              </w:rPr>
              <w:t>(GATED)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facility designation</w:t>
            </w:r>
            <w:r>
              <w:rPr>
                <w:sz w:val="4"/>
              </w:rPr>
              <w:br/>
            </w:r>
            <w:r>
              <w:rPr>
                <w:rFonts w:ascii="Arial" w:hAnsi="Arial"/>
                <w:b w:val="0"/>
                <w:color w:val="1A1A1A"/>
                <w:sz w:val="16"/>
              </w:rPr>
              <w:t>§ 2339D material support prosecution</w:t>
            </w:r>
            <w:r>
              <w:rPr>
                <w:sz w:val="4"/>
              </w:rPr>
              <w:br/>
            </w:r>
            <w:r>
              <w:rPr>
                <w:rFonts w:ascii="Arial" w:hAnsi="Arial"/>
                <w:b w:val="0"/>
                <w:color w:val="1A1A1A"/>
                <w:sz w:val="16"/>
              </w:rPr>
              <w:t>Maritime enforcement coordination</w:t>
            </w:r>
            <w:r>
              <w:rPr>
                <w:sz w:val="4"/>
              </w:rPr>
              <w:br/>
            </w:r>
            <w:r>
              <w:rPr>
                <w:rFonts w:ascii="Arial" w:hAnsi="Arial"/>
                <w:b w:val="0"/>
                <w:color w:val="1A1A1A"/>
                <w:sz w:val="16"/>
              </w:rPr>
              <w:t>Escalated cross-framework coordination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Level 4 entries describe policy lanes at a high level; this product does not provide operational procedures.</w:t>
            </w:r>
            <w:r>
              <w:rPr>
                <w:sz w:val="4"/>
              </w:rPr>
              <w:br/>
            </w:r>
            <w:r>
              <w:rPr>
                <w:rFonts w:ascii="Arial" w:hAnsi="Arial"/>
                <w:b w:val="0"/>
                <w:color w:val="1A1A1A"/>
                <w:sz w:val="16"/>
              </w:rPr>
              <w:t>Function corroborated beyond physical profile. End-use and contents confirmed. Operator identity established. Do not assert military/dual-use on profile alone.</w:t>
            </w:r>
            <w:r>
              <w:rPr>
                <w:sz w:val="4"/>
              </w:rPr>
              <w:br/>
            </w:r>
            <w:r>
              <w:rPr>
                <w:rFonts w:ascii="Arial" w:hAnsi="Arial"/>
                <w:b w:val="0"/>
                <w:color w:val="1A1A1A"/>
                <w:sz w:val="16"/>
              </w:rPr>
              <w:t>Note: Level 3 financial enforcement proceeds in parallel — does not require Level 4.</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Relevant financial enforcement authority</w:t>
            </w:r>
            <w:r>
              <w:rPr>
                <w:sz w:val="4"/>
              </w:rPr>
              <w:br/>
            </w:r>
            <w:r>
              <w:rPr>
                <w:rFonts w:ascii="Arial" w:hAnsi="Arial"/>
                <w:b w:val="0"/>
                <w:color w:val="1A1A1A"/>
                <w:sz w:val="16"/>
              </w:rPr>
              <w:t>Relevant legal authority</w:t>
            </w:r>
            <w:r>
              <w:rPr>
                <w:sz w:val="4"/>
              </w:rPr>
              <w:br/>
            </w:r>
            <w:r>
              <w:rPr>
                <w:rFonts w:ascii="Arial" w:hAnsi="Arial"/>
                <w:b w:val="0"/>
                <w:color w:val="1A1A1A"/>
                <w:sz w:val="16"/>
              </w:rPr>
              <w:t>Relevant maritime enforcement authorities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Collection-dependent</w:t>
            </w:r>
          </w:p>
        </w:tc>
      </w:tr>
      <w:tr>
        <w:tc>
          <w:tcPr>
            <w:tcW w:type="dxa" w:w="2160"/>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Escalation</w:t>
            </w:r>
            <w:r>
              <w:rPr>
                <w:sz w:val="4"/>
              </w:rPr>
              <w:br/>
            </w:r>
            <w:r>
              <w:rPr>
                <w:rFonts w:ascii="Arial" w:hAnsi="Arial"/>
                <w:b w:val="0"/>
                <w:color w:val="1A1A1A"/>
                <w:sz w:val="16"/>
              </w:rPr>
              <w:t>SLRI shows continued activity despite Levels 1–3</w:t>
            </w:r>
          </w:p>
        </w:tc>
        <w:tc>
          <w:tcPr>
            <w:tcW w:type="dxa" w:w="2160"/>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CISADA layering for Node 9 petroleum transactions</w:t>
            </w:r>
            <w:r>
              <w:rPr>
                <w:sz w:val="4"/>
              </w:rPr>
              <w:br/>
            </w:r>
            <w:r>
              <w:rPr>
                <w:rFonts w:ascii="Arial" w:hAnsi="Arial"/>
                <w:b w:val="0"/>
                <w:color w:val="1A1A1A"/>
                <w:sz w:val="16"/>
              </w:rPr>
              <w:t>Quarterly SLRI reassessment</w:t>
            </w:r>
          </w:p>
        </w:tc>
        <w:tc>
          <w:tcPr>
            <w:tcW w:type="dxa" w:w="2880"/>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Corroborated transaction patterns showing continued petroleum activity at Node 9 despite Level 3 pressure.</w:t>
            </w:r>
          </w:p>
        </w:tc>
        <w:tc>
          <w:tcPr>
            <w:tcW w:type="dxa" w:w="158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enforcement function (OFAC)</w:t>
            </w:r>
          </w:p>
        </w:tc>
        <w:tc>
          <w:tcPr>
            <w:tcW w:type="dxa" w:w="1296"/>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Quarterly reassessment</w:t>
            </w:r>
          </w:p>
        </w:tc>
      </w:tr>
    </w:tbl>
    <w:p>
      <w:pPr>
        <w:spacing w:after="80"/>
      </w:pPr>
    </w:p>
    <w:p>
      <w:r>
        <w:br w:type="page"/>
      </w:r>
    </w:p>
    <w:p>
      <w:pPr>
        <w:pStyle w:val="Heading1"/>
      </w:pPr>
      <w:r>
        <w:rPr>
          <w:color w:val="1A1A1A"/>
        </w:rPr>
        <w:t>5. CLUSTER ANALYSIS AND CHOKEPOINT MAPPING</w:t>
      </w:r>
    </w:p>
    <w:p>
      <w:pPr>
        <w:spacing w:before="0" w:after="80"/>
        <w:pBdr>
          <w:bottom w:val="single" w:sz="4" w:space="1" w:color="CCCCCC"/>
        </w:pBdr>
      </w:pPr>
    </w:p>
    <w:p>
      <w:pPr>
        <w:pStyle w:val="Heading2"/>
      </w:pPr>
      <w:r>
        <w:rPr>
          <w:color w:val="2A2A2A"/>
        </w:rPr>
        <w:t>5.1 Systems Interdependence</w:t>
      </w:r>
    </w:p>
    <w:p>
      <w:pPr>
        <w:spacing w:after="80"/>
        <w:jc w:val="both"/>
      </w:pPr>
      <w:r>
        <w:rPr>
          <w:rFonts w:ascii="Arial" w:hAnsi="Arial"/>
          <w:sz w:val="18"/>
        </w:rPr>
        <w:t>The ten nodes form an integrated system. Node 1 (power) feeds Nodes 2, 3, 4, 8. Node 2 (water) feeds Nodes 1, 3. Node 9 (fuel) feeds Nodes 1, 7 (bunkering). Node 7 (port) serves as the primary logistics interface for all inbound supply. Disruption of any single node degrades cluster-wide capability — supply chain constraint on Node 3 construction materials or Node 7 vessel calls has compounding effects.</w:t>
      </w:r>
    </w:p>
    <w:p>
      <w:pPr>
        <w:pStyle w:val="Heading2"/>
      </w:pPr>
      <w:r>
        <w:rPr>
          <w:color w:val="2A2A2A"/>
        </w:rPr>
        <w:t>5.2 SIEGE-01 Chokepoint Mapping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Chokepoint</w:t>
            </w:r>
          </w:p>
        </w:tc>
        <w:tc>
          <w:tcPr>
            <w:tcW w:type="dxa" w:w="144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Node(s)</w:t>
            </w:r>
          </w:p>
        </w:tc>
        <w:tc>
          <w:tcPr>
            <w:tcW w:type="dxa" w:w="3024"/>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Enforcement Lane</w:t>
            </w:r>
          </w:p>
        </w:tc>
        <w:tc>
          <w:tcPr>
            <w:tcW w:type="dxa" w:w="3024"/>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SPAD Focus</w:t>
            </w:r>
          </w:p>
        </w:tc>
      </w:tr>
      <w:tr>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CP1 — Construction financing</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3</w:t>
            </w:r>
          </w:p>
        </w:tc>
        <w:tc>
          <w:tcPr>
            <w:tcW w:type="dxa" w:w="302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Section 311 / § 5318A</w:t>
            </w:r>
          </w:p>
        </w:tc>
        <w:tc>
          <w:tcPr>
            <w:tcW w:type="dxa" w:w="302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Construction material supply chains</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CP4 — Equipment supply chains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Nodes 1, 2, 3, 4, 5/6</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BIS Entity List; Notice Letters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Turbines, membranes, control systems</w:t>
            </w:r>
          </w:p>
        </w:tc>
      </w:tr>
      <w:tr>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CP7 — Maritime logistics</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7</w:t>
            </w:r>
          </w:p>
        </w:tc>
        <w:tc>
          <w:tcPr>
            <w:tcW w:type="dxa" w:w="302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AIS monitoring; registry; § 981(k)</w:t>
            </w:r>
          </w:p>
        </w:tc>
        <w:tc>
          <w:tcPr>
            <w:tcW w:type="dxa" w:w="302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Vessel bunkering, cargo manifests</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CP9 — Petroleum transactions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9</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CISADA 180-day warnings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Petroleum product transactions</w:t>
            </w:r>
          </w:p>
        </w:tc>
      </w:tr>
    </w:tbl>
    <w:p>
      <w:pPr>
        <w:spacing w:after="80"/>
      </w:pPr>
    </w:p>
    <w:p>
      <w:pPr>
        <w:pStyle w:val="Heading2"/>
      </w:pPr>
      <w:r>
        <w:rPr>
          <w:color w:val="2A2A2A"/>
        </w:rPr>
        <w:t>5.3 SPAD Reliability Degradation Targets</w:t>
      </w:r>
    </w:p>
    <w:p>
      <w:pPr>
        <w:spacing w:after="80"/>
        <w:jc w:val="both"/>
      </w:pPr>
      <w:r>
        <w:rPr>
          <w:rFonts w:ascii="Arial" w:hAnsi="Arial"/>
          <w:sz w:val="18"/>
        </w:rPr>
        <w:t>Spare Parts and Dependence (SPAD) targeting focuses on high-consumable or high-maintenance items that cannot be easily domesticated:</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Node / System</w:t>
            </w:r>
          </w:p>
        </w:tc>
        <w:tc>
          <w:tcPr>
            <w:tcW w:type="dxa" w:w="676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SPAD Target Items</w:t>
            </w:r>
          </w:p>
        </w:tc>
      </w:tr>
      <w:tr>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Power generation (Node 1)</w:t>
            </w:r>
          </w:p>
        </w:tc>
        <w:tc>
          <w:tcPr>
            <w:tcW w:type="dxa" w:w="676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Gas turbine components, generator parts, control system firmware, cooling system components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Desalination (Node 2)</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Reverse osmosis membranes (18–24 month cycles), anti-scalant chemicals, high-pressure pump components</w:t>
            </w:r>
          </w:p>
        </w:tc>
      </w:tr>
      <w:tr>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Industrial complex (Node 3)</w:t>
            </w:r>
          </w:p>
        </w:tc>
        <w:tc>
          <w:tcPr>
            <w:tcW w:type="dxa" w:w="676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Specialized manufacturing equipment, precision components, industrial control systems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Refinery (Node 9)</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Catalyst replacement (18–24 month cycles), inspection services, process control systems</w:t>
            </w:r>
          </w:p>
        </w:tc>
      </w:tr>
      <w:tr>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Port (Node 7)</w:t>
            </w:r>
          </w:p>
        </w:tc>
        <w:tc>
          <w:tcPr>
            <w:tcW w:type="dxa" w:w="676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Crane components, dredging equipment, navigation systems, mooring hardware</w:t>
            </w:r>
          </w:p>
        </w:tc>
      </w:tr>
    </w:tbl>
    <w:p>
      <w:pPr>
        <w:spacing w:after="80"/>
      </w:pPr>
    </w:p>
    <w:p>
      <w:r>
        <w:br w:type="page"/>
      </w:r>
    </w:p>
    <w:p>
      <w:pPr>
        <w:pStyle w:val="Heading1"/>
      </w:pPr>
      <w:r>
        <w:rPr>
          <w:color w:val="1A1A1A"/>
        </w:rPr>
        <w:t>6. SLRI OBSERVABILITY PROTOCOL</w:t>
      </w:r>
    </w:p>
    <w:p>
      <w:pPr>
        <w:spacing w:before="0" w:after="80"/>
        <w:pBdr>
          <w:bottom w:val="single" w:sz="4" w:space="1" w:color="CCCCCC"/>
        </w:pBdr>
      </w:pPr>
    </w:p>
    <w:p>
      <w:pPr>
        <w:spacing w:after="80"/>
        <w:jc w:val="both"/>
      </w:pPr>
      <w:r>
        <w:rPr>
          <w:rFonts w:ascii="Arial" w:hAnsi="Arial"/>
          <w:sz w:val="18"/>
        </w:rPr>
        <w:t>Satellite Logistics Readiness Indicators (SLRI) — four observable metrics for tracking cluster status and enforcement effectiveness: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304"/>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Indicator</w:t>
            </w:r>
          </w:p>
        </w:tc>
        <w:tc>
          <w:tcPr>
            <w:tcW w:type="dxa" w:w="2016"/>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Source</w:t>
            </w:r>
          </w:p>
        </w:tc>
        <w:tc>
          <w:tcPr>
            <w:tcW w:type="dxa" w:w="1296"/>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Cost</w:t>
            </w:r>
          </w:p>
        </w:tc>
        <w:tc>
          <w:tcPr>
            <w:tcW w:type="dxa" w:w="259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What It Tracks</w:t>
            </w:r>
          </w:p>
        </w:tc>
        <w:tc>
          <w:tcPr>
            <w:tcW w:type="dxa" w:w="115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Cadence</w:t>
            </w:r>
          </w:p>
        </w:tc>
      </w:tr>
      <w:tr>
        <w:tc>
          <w:tcPr>
            <w:tcW w:type="dxa" w:w="23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Port call frequency + vessel size at Node 7</w:t>
            </w:r>
          </w:p>
        </w:tc>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AIS (MarineTraffic, VesselFinder)</w:t>
            </w:r>
          </w:p>
        </w:tc>
        <w:tc>
          <w:tcPr>
            <w:tcW w:type="dxa" w:w="129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~$500–2,000/yr</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Supply throughput; shadow fleet vessel ID</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Weekly</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Construction activity at Node 3</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Sentinel-2 (free) or Planet/Maxar</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Free–$1,500/mo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Timeline to operational capability</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Monthly</w:t>
            </w:r>
          </w:p>
        </w:tc>
      </w:tr>
      <w:tr>
        <w:tc>
          <w:tcPr>
            <w:tcW w:type="dxa" w:w="23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Refinery flaring signature at Node 9</w:t>
            </w:r>
          </w:p>
        </w:tc>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Sentinel-2 infrared (free)</w:t>
            </w:r>
          </w:p>
        </w:tc>
        <w:tc>
          <w:tcPr>
            <w:tcW w:type="dxa" w:w="129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Free</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Operational tempo; fuel production activity</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Weekly</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Facility activation indicators (all nodes)</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Sentinel-2 change detection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Free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Workforce presence; vehicle activity; power</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Monthly</w:t>
            </w:r>
          </w:p>
        </w:tc>
      </w:tr>
    </w:tbl>
    <w:p>
      <w:pPr>
        <w:spacing w:after="80"/>
      </w:pPr>
    </w:p>
    <w:p>
      <w:r>
        <w:br w:type="page"/>
      </w:r>
    </w:p>
    <w:p>
      <w:pPr>
        <w:pStyle w:val="Heading1"/>
      </w:pPr>
      <w:r>
        <w:rPr>
          <w:color w:val="1A1A1A"/>
        </w:rPr>
        <w:t>7. CONSOLIDATED LEGAL AUTHORITY REFERENCE</w:t>
      </w:r>
    </w:p>
    <w:p>
      <w:pPr>
        <w:spacing w:before="0" w:after="80"/>
        <w:pBdr>
          <w:bottom w:val="single" w:sz="4" w:space="1" w:color="CCCCCC"/>
        </w:pBdr>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Authority</w:t>
            </w:r>
          </w:p>
        </w:tc>
        <w:tc>
          <w:tcPr>
            <w:tcW w:type="dxa" w:w="187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Citation</w:t>
            </w:r>
          </w:p>
        </w:tc>
        <w:tc>
          <w:tcPr>
            <w:tcW w:type="dxa" w:w="403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Application to This Framework</w:t>
            </w:r>
          </w:p>
        </w:tc>
        <w:tc>
          <w:tcPr>
            <w:tcW w:type="dxa" w:w="144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Applicable Nodes</w:t>
            </w:r>
          </w:p>
        </w:tc>
      </w:tr>
      <w:tr>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Designation</w:t>
            </w:r>
          </w:p>
        </w:tc>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13382; 50 U.S.C. § 1702</w:t>
            </w:r>
          </w:p>
        </w:tc>
        <w:tc>
          <w:tcPr>
            <w:tcW w:type="dxa" w:w="403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Blocking designation for WMD proliferators and supporters. Level 4 gate — requires function corroboration beyond imagery.</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Nodes 3, 4 (Level 4 only)</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BIS Entity List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15 C.F.R. Part 744; 50 U.S.C. § 4819</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Export restriction for entities posing national security concern. Requires credible evidence — not physical profile alone.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3 (suppliers)</w:t>
            </w:r>
          </w:p>
        </w:tc>
      </w:tr>
      <w:tr>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Notice Letters</w:t>
            </w:r>
          </w:p>
        </w:tc>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50 U.S.C. § 4819(c); 18 U.S.C. § 2339D</w:t>
            </w:r>
          </w:p>
        </w:tc>
        <w:tc>
          <w:tcPr>
            <w:tcW w:type="dxa" w:w="403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Formal notice establishing knowledge element. Requires supplier identity per Annex C AND end-user designation confirmed.</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3 (suppliers)</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Section 311 Finding / Special Measures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31 U.S.C. § 5318A</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Special measures against primary money laundering concern. Requires institution identification via SAR/§ 314(a), § 5318A(c) factors, complete admin record, Federal Register notice.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3 (financing institutions)</w:t>
            </w:r>
          </w:p>
        </w:tc>
      </w:tr>
      <w:tr>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981(k) Asset Substitution</w:t>
            </w:r>
          </w:p>
        </w:tc>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18 U.S.C. § 981(k)</w:t>
            </w:r>
          </w:p>
        </w:tc>
        <w:tc>
          <w:tcPr>
            <w:tcW w:type="dxa" w:w="403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Civil forfeiture via U.S. correspondent accounts. Requires foreign bank + U.S. correspondent confirmed + probable cause + court order. All four required.</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7 (maritime finance)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CISADA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22 U.S.C. § 8513</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Secondary sanctions for petroleum transactions. Requires corroborated transaction records — not inference from proximity.</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9</w:t>
            </w:r>
          </w:p>
        </w:tc>
      </w:tr>
      <w:tr>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CAATSA</w:t>
            </w:r>
          </w:p>
        </w:tc>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22 U.S.C. § 9241</w:t>
            </w:r>
          </w:p>
        </w:tc>
        <w:tc>
          <w:tcPr>
            <w:tcW w:type="dxa" w:w="403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Secondary sanctions for significant transactions with Iranian defense sector. CPEC-adjacent — INFERRED; requires financial intelligence corroboration.</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CPEC adjacency (INFERRED)</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FDPR</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15 C.F.R. § 734.9</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Foreign Direct Product Rule — reaches foreign-made items using U.S. technology. Requires Entity List addition in place first.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3 (foreign suppliers)</w:t>
            </w:r>
          </w:p>
        </w:tc>
      </w:tr>
      <w:tr>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Material Support (WMD)</w:t>
            </w:r>
          </w:p>
        </w:tc>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18 U.S.C. § 2339D</w:t>
            </w:r>
          </w:p>
        </w:tc>
        <w:tc>
          <w:tcPr>
            <w:tcW w:type="dxa" w:w="403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Expert advice, financing, or material support to WMD program. WMD function must be confirmed (Level 4). Notice Letter establishes knowledge element.</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Suppliers (Level 4 confirmation)</w:t>
            </w:r>
          </w:p>
        </w:tc>
      </w:tr>
    </w:tbl>
    <w:p>
      <w:pPr>
        <w:spacing w:after="80"/>
      </w:pPr>
    </w:p>
    <w:p>
      <w:r>
        <w:br w:type="page"/>
      </w:r>
    </w:p>
    <w:p>
      <w:pPr>
        <w:pStyle w:val="Heading1"/>
      </w:pPr>
      <w:r>
        <w:rPr>
          <w:color w:val="1A1A1A"/>
        </w:rPr>
        <w:t>8. CONCLUSION</w:t>
      </w:r>
    </w:p>
    <w:p>
      <w:pPr>
        <w:spacing w:before="0" w:after="80"/>
        <w:pBdr>
          <w:bottom w:val="single" w:sz="4" w:space="1" w:color="CCCCCC"/>
        </w:pBdr>
      </w:pPr>
    </w:p>
    <w:p>
      <w:pPr>
        <w:pStyle w:val="Heading2"/>
      </w:pPr>
      <w:r>
        <w:rPr>
          <w:color w:val="2A2A2A"/>
        </w:rPr>
        <w:t>8.1 Establishes</w:t>
      </w:r>
    </w:p>
    <w:p>
      <w:pPr>
        <w:spacing w:after="80"/>
        <w:jc w:val="both"/>
      </w:pPr>
      <w:r>
        <w:rPr>
          <w:rFonts w:ascii="Arial" w:hAnsi="Arial"/>
          <w:sz w:val="18"/>
        </w:rPr>
        <w:t>From commercially available OSINT: (1) a self-sufficient infrastructure cluster is under active construction on Iran's Makran coast; (2) construction pattern and integrated engineering are ASSESSED (moderate confidence) as consistent with a resilience-oriented logistics and industrial enablement posture — end-use remains unestablished; (3) each node maps to specific enforcement options under existing statutory authority with explicit escalation gates and decision authority; (4) the pre-operational window for Node 3 is currently open.</w:t>
      </w:r>
    </w:p>
    <w:p>
      <w:pPr>
        <w:pStyle w:val="Heading2"/>
      </w:pPr>
      <w:r>
        <w:rPr>
          <w:color w:val="2A2A2A"/>
        </w:rPr>
        <w:t>8.2 Does Not Establish</w:t>
      </w:r>
    </w:p>
    <w:p>
      <w:pPr>
        <w:spacing w:after="80"/>
        <w:jc w:val="both"/>
      </w:pPr>
      <w:r>
        <w:rPr>
          <w:rFonts w:ascii="Arial" w:hAnsi="Arial"/>
          <w:sz w:val="18"/>
        </w:rPr>
        <w:t>Specific end-use of Node 3 or contents of Node 4. All function assessments are analytical hypotheses. E.O. 13382 designations require Level 4 corroboration. Financial enforcement (Section 311 finding / special measures, § 981(k)) can proceed at Level 3 without Level 4 function confirmation.</w:t>
      </w:r>
    </w:p>
    <w:p>
      <w:pPr>
        <w:pStyle w:val="Heading2"/>
      </w:pPr>
      <w:r>
        <w:rPr>
          <w:color w:val="2A2A2A"/>
        </w:rPr>
        <w:t>8.3 Recommended Next Step (Independent Analytic Judgment)</w:t>
      </w:r>
    </w:p>
    <w:p>
      <w:pPr>
        <w:spacing w:after="80"/>
        <w:jc w:val="both"/>
      </w:pPr>
      <w:r>
        <w:rPr>
          <w:rFonts w:ascii="Arial" w:hAnsi="Arial"/>
          <w:sz w:val="18"/>
        </w:rPr>
        <w:t>Level 1 actions are low-cost, reversible, and primarily evidentiary: they build a reproducible baseline and administrative record foundation for any later consideration of higher-impact tools. The Sentinel-2 baseline and commercial AIS pull are therefore the recommended first moves for any stakeholder evaluating this cluster within the framework's evidentiary gates.</w:t>
      </w:r>
    </w:p>
    <w:p>
      <w:pPr>
        <w:spacing w:after="80"/>
        <w:jc w:val="both"/>
      </w:pPr>
      <w:r>
        <w:rPr>
          <w:rFonts w:ascii="Arial" w:hAnsi="Arial"/>
          <w:sz w:val="18"/>
        </w:rPr>
        <w:t>Node 3 is estimated at 12–18 months from operational status (uncertainty range applies). Supply chain constraint before operational status is substantially more achievable than capability de-risking after. The pre-operational window is currently open.</w:t>
      </w:r>
    </w:p>
    <w:p>
      <w:pPr>
        <w:pStyle w:val="Heading2"/>
      </w:pPr>
      <w:r>
        <w:rPr>
          <w:color w:val="2A2A2A"/>
        </w:rPr>
        <w:t>8.4 FAILURE MODES AND THREATS TO VALIDITY</w:t>
      </w:r>
    </w:p>
    <w:p>
      <w:pPr>
        <w:spacing w:after="80"/>
        <w:jc w:val="both"/>
      </w:pPr>
      <w:r>
        <w:rPr>
          <w:rFonts w:ascii="Arial" w:hAnsi="Arial"/>
          <w:sz w:val="18"/>
        </w:rPr>
        <w:t>This section stress-tests the framework itself. A senior practitioner or academic reviewer should ask not only whether the analysis is correct, but whether the methodology could fail in ways that produce confident-looking but incorrect outputs.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Failure Mode</w:t>
            </w:r>
          </w:p>
        </w:tc>
        <w:tc>
          <w:tcPr>
            <w:tcW w:type="dxa" w:w="1584"/>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Mechanism</w:t>
            </w:r>
          </w:p>
        </w:tc>
        <w:tc>
          <w:tcPr>
            <w:tcW w:type="dxa" w:w="1584"/>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Why It Matters</w:t>
            </w:r>
          </w:p>
        </w:tc>
        <w:tc>
          <w:tcPr>
            <w:tcW w:type="dxa" w:w="2160"/>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Mitigation in This Framework</w:t>
            </w:r>
          </w:p>
        </w:tc>
        <w:tc>
          <w:tcPr>
            <w:tcW w:type="dxa" w:w="1152"/>
            <w:shd w:val="clear" w:color="auto" w:fill="7B1818"/>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Residual Risk</w:t>
            </w:r>
          </w:p>
        </w:tc>
      </w:tr>
      <w:tr>
        <w:tc>
          <w:tcPr>
            <w:tcW w:type="dxa" w:w="144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OSINT-to-intent leap</w:t>
            </w:r>
          </w:p>
        </w:tc>
        <w:tc>
          <w:tcPr>
            <w:tcW w:type="dxa" w:w="1584"/>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Analyst infers intent or end-use from physical profile alone.</w:t>
            </w:r>
          </w:p>
        </w:tc>
        <w:tc>
          <w:tcPr>
            <w:tcW w:type="dxa" w:w="1584"/>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Produces high-confidence-looking assessments that cannot survive legal challenge or peer review.</w:t>
            </w:r>
          </w:p>
        </w:tc>
        <w:tc>
          <w:tcPr>
            <w:tcW w:type="dxa" w:w="216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Explicit three-tier confidence rubric. Level 4 gate requires function corroboration beyond imagery. Competing hypotheses with H1 civilian baseline.</w:t>
            </w:r>
          </w:p>
        </w:tc>
        <w:tc>
          <w:tcPr>
            <w:tcW w:type="dxa" w:w="1152"/>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Moderate. Physical profile assessments remain hypothesis-level.</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False entity resolution</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Two distinct entities assigned the same identity due to name variants, shell company structures, or address reuse.</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Produces incorrect enforcement targets. Top failure mode in AML/sanctions identity work.</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Annex C identity standards require legal entity name, jurisdiction, physical address, beneficial ownership, and independent transaction record.</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Moderate-high. Framework defines the standard but cannot perform the resolution.</w:t>
            </w:r>
          </w:p>
        </w:tc>
      </w:tr>
      <w:tr>
        <w:tc>
          <w:tcPr>
            <w:tcW w:type="dxa" w:w="144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Construction timeline overconfidence</w:t>
            </w:r>
          </w:p>
        </w:tc>
        <w:tc>
          <w:tcPr>
            <w:tcW w:type="dxa" w:w="1584"/>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3 operational timeline estimate (12–18 months) presented as more precise than methodology supports.</w:t>
            </w:r>
          </w:p>
        </w:tc>
        <w:tc>
          <w:tcPr>
            <w:tcW w:type="dxa" w:w="1584"/>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Creates false urgency, drives premature escalation, damages credibility when inaccurate.</w:t>
            </w:r>
          </w:p>
        </w:tc>
        <w:tc>
          <w:tcPr>
            <w:tcW w:type="dxa" w:w="216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Explicit "uncertainty range applies" at every timeline mention. Methodology documented. Quarterly SLRI review updates estimate.</w:t>
            </w:r>
          </w:p>
        </w:tc>
        <w:tc>
          <w:tcPr>
            <w:tcW w:type="dxa" w:w="1152"/>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Low-moderate. Readers may anchor on point estimate regardless.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Evidentiary gate drift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Analysts treat the gating framework as a formality and advance actions before predicates are genuinely satisfied.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Undermines the framework's primary purpose — preventing premature escalation.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Quarterly escalation review checklist. Downshift standards provide off-ramp.</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Moderate. Institutional pressure can override process discipline.</w:t>
            </w:r>
          </w:p>
        </w:tc>
      </w:tr>
      <w:tr>
        <w:tc>
          <w:tcPr>
            <w:tcW w:type="dxa" w:w="144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OSINT availability bias</w:t>
            </w:r>
          </w:p>
        </w:tc>
        <w:tc>
          <w:tcPr>
            <w:tcW w:type="dxa" w:w="1584"/>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Facilities visible in commercial imagery are assessed; those not visible are not. May produce systematically incomplete picture.</w:t>
            </w:r>
          </w:p>
        </w:tc>
        <w:tc>
          <w:tcPr>
            <w:tcW w:type="dxa" w:w="1584"/>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Analysts may draw cluster-level conclusions from a node inventory selected by visibility, not strategic significance.</w:t>
            </w:r>
          </w:p>
        </w:tc>
        <w:tc>
          <w:tcPr>
            <w:tcW w:type="dxa" w:w="2160"/>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Methods section explicitly states: "does not imply exhaustive collection." Absence of signal ≠ absence in environment.</w:t>
            </w:r>
          </w:p>
        </w:tc>
        <w:tc>
          <w:tcPr>
            <w:tcW w:type="dxa" w:w="1152"/>
            <w:shd w:val="clear" w:color="auto" w:fill="FDF0F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Moderate-high. Cannot be eliminated without additional collection.</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Legal authority misapplication</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Authorities cited without satisfying the statutory predicate.</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Renders enforcement action legally vulnerable.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Every authority includes explicit escalation gate stating minimum predicate. Legal hygiene pass at Rev. 5.2–5.3.</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Low. Framework is predicate-explicit. Risk is in execution, not design.</w:t>
            </w:r>
          </w:p>
        </w:tc>
      </w:tr>
    </w:tbl>
    <w:p>
      <w:pPr>
        <w:spacing w:after="80"/>
      </w:pPr>
    </w:p>
    <w:p>
      <w:pPr>
        <w:spacing w:after="60"/>
        <w:ind w:left="216"/>
      </w:pPr>
      <w:r>
        <w:rPr>
          <w:rFonts w:ascii="Arial" w:hAnsi="Arial"/>
          <w:i/>
          <w:color w:val="555555"/>
          <w:sz w:val="16"/>
        </w:rPr>
        <w:t>The most important residual risk is the one this framework cannot fully mitigate: the gap between OSINT-based assessment and confirmed fact. This framework defines what evidence is needed to close that gap, structures how to pursue it, and prevents premature escalation across it. It does not close the gap itself.</w:t>
      </w:r>
    </w:p>
    <w:p>
      <w:r>
        <w:br w:type="page"/>
      </w:r>
    </w:p>
    <w:p>
      <w:pPr>
        <w:pStyle w:val="Heading1"/>
      </w:pPr>
      <w:r>
        <w:rPr>
          <w:color w:val="1A1A1A"/>
        </w:rPr>
        <w:t>IX. IMPLEMENTATION CHECKLIST (ILLUSTRATIVE)</w:t>
      </w:r>
    </w:p>
    <w:p>
      <w:pPr>
        <w:spacing w:before="0" w:after="80"/>
        <w:pBdr>
          <w:bottom w:val="single" w:sz="4" w:space="1" w:color="CCCCCC"/>
        </w:pBdr>
      </w:pPr>
    </w:p>
    <w:p>
      <w:pPr>
        <w:spacing w:after="80"/>
        <w:jc w:val="both"/>
      </w:pPr>
      <w:r>
        <w:rPr>
          <w:rFonts w:ascii="Arial" w:hAnsi="Arial"/>
          <w:sz w:val="18"/>
        </w:rPr>
        <w:t>Ten illustrative elements, each specifying what it enables, the minimum predicate, and the expected output artifact. Elements are sequenced to reflect evidentiary dependency — each builds the documentary foundation for the next. Elements 1–4 are conceptually feasible within standard agency review processes.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432"/>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t>
            </w:r>
          </w:p>
        </w:tc>
        <w:tc>
          <w:tcPr>
            <w:tcW w:type="dxa" w:w="2016"/>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Element</w:t>
            </w:r>
          </w:p>
        </w:tc>
        <w:tc>
          <w:tcPr>
            <w:tcW w:type="dxa" w:w="2304"/>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What It Enables</w:t>
            </w:r>
          </w:p>
        </w:tc>
        <w:tc>
          <w:tcPr>
            <w:tcW w:type="dxa" w:w="2304"/>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Minimum Predicate</w:t>
            </w:r>
          </w:p>
        </w:tc>
        <w:tc>
          <w:tcPr>
            <w:tcW w:type="dxa" w:w="2304"/>
            <w:shd w:val="clear" w:color="auto" w:fill="2D5016"/>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Output Artifact</w:t>
            </w:r>
          </w:p>
        </w:tc>
      </w:tr>
      <w:tr>
        <w:tc>
          <w:tcPr>
            <w:tcW w:type="dxa" w:w="432"/>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1</w:t>
            </w:r>
          </w:p>
        </w:tc>
        <w:tc>
          <w:tcPr>
            <w:tcW w:type="dxa" w:w="2016"/>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Sentinel-2 imagery baseline pull</w:t>
            </w:r>
            <w:r>
              <w:rPr>
                <w:sz w:val="4"/>
              </w:rPr>
              <w:br/>
            </w:r>
            <w:r>
              <w:rPr>
                <w:rFonts w:ascii="Arial" w:hAnsi="Arial"/>
                <w:b w:val="0"/>
                <w:color w:val="1A1A1A"/>
                <w:sz w:val="16"/>
              </w:rPr>
              <w:t>(Copernicus Open Access Hub — free)</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SLRI change detection baseline; Node 3 construction timeline monitoring; reproducible imagery record for administrative record formation</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None. Conceptually feasible within standard review processes.</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Dated imagery archive per node, stored with access log.</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2</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AIS 24-month data pull</w:t>
            </w:r>
            <w:r>
              <w:rPr>
                <w:sz w:val="4"/>
              </w:rPr>
              <w:br/>
            </w:r>
            <w:r>
              <w:rPr>
                <w:rFonts w:ascii="Arial" w:hAnsi="Arial"/>
                <w:b w:val="0"/>
                <w:color w:val="1A1A1A"/>
                <w:sz w:val="16"/>
              </w:rPr>
              <w:t>(Node 7 + Node 9 generalized bounding boxes; see Handling)</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Vessel ID; flag registry; beneficial ownership chains; P&amp;I club affiliations; behavioral pattern</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subscription (~$500–2,000). Generalized bounding boxes (coordinates in Controlled version only).</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AIS vessel registry per node. Flag/ownership/P&amp;I chains. Behavioral baseline.</w:t>
            </w:r>
          </w:p>
        </w:tc>
      </w:tr>
      <w:tr>
        <w:tc>
          <w:tcPr>
            <w:tcW w:type="dxa" w:w="432"/>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3</w:t>
            </w:r>
          </w:p>
        </w:tc>
        <w:tc>
          <w:tcPr>
            <w:tcW w:type="dxa" w:w="2016"/>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Internal BIS/OFAC preliminary review</w:t>
            </w:r>
            <w:r>
              <w:rPr>
                <w:sz w:val="4"/>
              </w:rPr>
              <w:br/>
            </w:r>
            <w:r>
              <w:rPr>
                <w:rFonts w:ascii="Arial" w:hAnsi="Arial"/>
                <w:b w:val="0"/>
                <w:color w:val="1A1A1A"/>
                <w:sz w:val="16"/>
              </w:rPr>
              <w:t>(no external action)</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Preliminary entity flags; legal authority mapping; enforcement analysis readiness</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None. Internal review only.</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Internal flags memo. Entity list cross-reference.</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4</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FinCEN § 314(a) information sharing requests</w:t>
            </w:r>
            <w:r>
              <w:rPr>
                <w:sz w:val="4"/>
              </w:rPr>
              <w:br/>
            </w:r>
            <w:r>
              <w:rPr>
                <w:rFonts w:ascii="Arial" w:hAnsi="Arial"/>
                <w:b w:val="0"/>
                <w:color w:val="1A1A1A"/>
                <w:sz w:val="16"/>
              </w:rPr>
              <w:t>(keyed to AIS/shipping findings)</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institution identification; SAR pattern analysis; Section 311 predicate building</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Entity identifiers from AIS or shipping records. § 314(a) standard criteria.</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314(a) responses. SAR patterns. Institution identification.</w:t>
            </w:r>
          </w:p>
        </w:tc>
      </w:tr>
      <w:tr>
        <w:tc>
          <w:tcPr>
            <w:tcW w:type="dxa" w:w="432"/>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5</w:t>
            </w:r>
          </w:p>
        </w:tc>
        <w:tc>
          <w:tcPr>
            <w:tcW w:type="dxa" w:w="2016"/>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Supplier identity packet per Annex C standards</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Notice Letter predicate; Entity List submission predicate; admin record foundation</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Entity name confirmed via AIS, shipping manifest, or export license records.</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Identity packet per supplier. Filed against Annex C checklist.</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6</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Annex B documentary hooks tracing plan</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Admin record structure; custody chain for all evidentiary claims</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Identity packet complete (Element 5).</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Documentary hooks map. Custody log initiated.</w:t>
            </w:r>
          </w:p>
        </w:tc>
      </w:tr>
      <w:tr>
        <w:tc>
          <w:tcPr>
            <w:tcW w:type="dxa" w:w="432"/>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7</w:t>
            </w:r>
          </w:p>
        </w:tc>
        <w:tc>
          <w:tcPr>
            <w:tcW w:type="dxa" w:w="2016"/>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Notice Letter package (BIS, per Annex C)</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Knowledge element for § 2339D; supply chain constraint; admin record</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Supplier identity confirmed per Annex C AND end-user designation confirmed. Both required.</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Delivered Notice Letters with delivery confirmation. Admin record entry.</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8</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Section 311 admin record skeleton</w:t>
            </w:r>
            <w:r>
              <w:rPr>
                <w:sz w:val="4"/>
              </w:rPr>
              <w:br/>
            </w:r>
            <w:r>
              <w:rPr>
                <w:rFonts w:ascii="Arial" w:hAnsi="Arial"/>
                <w:b w:val="0"/>
                <w:color w:val="1A1A1A"/>
                <w:sz w:val="16"/>
              </w:rPr>
              <w:t>(Federal Register posture)</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Section 311 finding / special measures predicate</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Institution identified via § 314(a)/SAR; § 5318A(c) factors documented; admin record complete; Federal Register notice prepared.</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Complete § 5318A admin record. Federal Register notice draft.</w:t>
            </w:r>
          </w:p>
        </w:tc>
      </w:tr>
      <w:tr>
        <w:tc>
          <w:tcPr>
            <w:tcW w:type="dxa" w:w="432"/>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9</w:t>
            </w:r>
          </w:p>
        </w:tc>
        <w:tc>
          <w:tcPr>
            <w:tcW w:type="dxa" w:w="2016"/>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Parallel BIS + OFAC sequencing</w:t>
            </w:r>
            <w:r>
              <w:rPr>
                <w:sz w:val="4"/>
              </w:rPr>
              <w:br/>
            </w:r>
            <w:r>
              <w:rPr>
                <w:rFonts w:ascii="Arial" w:hAnsi="Arial"/>
                <w:b w:val="0"/>
                <w:color w:val="1A1A1A"/>
                <w:sz w:val="16"/>
              </w:rPr>
              <w:t>(avoid serial enforcement latency)</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Simultaneous Entity List + designation package development</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Elements 5–8 complete. Interagency coordination initiated.</w:t>
            </w:r>
          </w:p>
        </w:tc>
        <w:tc>
          <w:tcPr>
            <w:tcW w:type="dxa" w:w="2304"/>
            <w:shd w:val="clear" w:color="auto" w:fill="F0F5EC"/>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Coordinated enforcement package. Sequenced action timeline.</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10</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Downshift guardrail — collateral risk review</w:t>
            </w:r>
            <w:r>
              <w:rPr>
                <w:sz w:val="4"/>
              </w:rPr>
              <w:br/>
            </w:r>
            <w:r>
              <w:rPr>
                <w:rFonts w:ascii="Arial" w:hAnsi="Arial"/>
                <w:b w:val="0"/>
                <w:color w:val="1A1A1A"/>
                <w:sz w:val="16"/>
              </w:rPr>
              <w:t>before any external filing</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Prevents over-escalation; maintains framework integrity; protects admin record</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Required before any external filing. Quarterly escalation gate review.</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Collateral risk assessment. GL scope confirmation. Go/no-go determination.</w:t>
            </w:r>
          </w:p>
        </w:tc>
      </w:tr>
    </w:tbl>
    <w:p>
      <w:pPr>
        <w:spacing w:after="80"/>
      </w:pPr>
    </w:p>
    <w:p>
      <w:r>
        <w:br w:type="page"/>
      </w:r>
    </w:p>
    <w:p>
      <w:pPr>
        <w:pStyle w:val="Heading1"/>
      </w:pPr>
      <w:r>
        <w:rPr>
          <w:color w:val="1A1A1A"/>
        </w:rPr>
        <w:t>X. ORGANIZATIONAL COORDINATION CONSIDERATIONS (GENERIC / ILLUSTRATIVE)</w:t>
      </w:r>
    </w:p>
    <w:p>
      <w:pPr>
        <w:spacing w:before="0" w:after="80"/>
        <w:pBdr>
          <w:bottom w:val="single" w:sz="4" w:space="1" w:color="CCCCCC"/>
        </w:pBdr>
      </w:pPr>
    </w:p>
    <w:p>
      <w:pPr>
        <w:spacing w:after="80"/>
        <w:jc w:val="both"/>
      </w:pPr>
      <w:r>
        <w:rPr>
          <w:rFonts w:ascii="Arial" w:hAnsi="Arial"/>
          <w:sz w:val="18"/>
        </w:rPr>
        <w:t>Generic deconfliction logic for illustrative purposes only. This matrix does not reflect official agency authorities, which are governed by statute, regulation, and interagency agreements. Purpose: illustrate how lead agency ambiguity creates enforcement latency — the most common structural failure mode in multi-agency enforcement packages.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016"/>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Enforcement Option</w:t>
            </w:r>
          </w:p>
        </w:tc>
        <w:tc>
          <w:tcPr>
            <w:tcW w:type="dxa" w:w="1728"/>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Generic Lead Lane</w:t>
            </w:r>
          </w:p>
        </w:tc>
        <w:tc>
          <w:tcPr>
            <w:tcW w:type="dxa" w:w="1728"/>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Generic Support Lane</w:t>
            </w:r>
          </w:p>
        </w:tc>
        <w:tc>
          <w:tcPr>
            <w:tcW w:type="dxa" w:w="2016"/>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Coordination Considerations</w:t>
            </w:r>
          </w:p>
        </w:tc>
        <w:tc>
          <w:tcPr>
            <w:tcW w:type="dxa" w:w="1872"/>
            <w:shd w:val="clear" w:color="auto" w:fill="4A2060"/>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Approval Tier (Illustrative)</w:t>
            </w:r>
          </w:p>
        </w:tc>
      </w:tr>
      <w:tr>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OSINT baseline + commercial AIS pull</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Analytic coordination function</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All consuming agencies</w:t>
            </w:r>
          </w:p>
        </w:tc>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None — internal analytic process</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Working level</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314(a) information sharing requests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intelligence function</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enforcement coordination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None — standard process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intelligence senior official</w:t>
            </w:r>
          </w:p>
        </w:tc>
      </w:tr>
      <w:tr>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Internal preliminary review</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Trade control + financial enforcement (parallel)</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Intelligence coordination</w:t>
            </w:r>
          </w:p>
        </w:tc>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None for internal action</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Working level</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Notice Letters to confirmed suppliers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Trade control function</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Legal review; financial enforcement coordination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Diplomatic awareness as warranted</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Trade control senior official</w:t>
            </w:r>
          </w:p>
        </w:tc>
      </w:tr>
      <w:tr>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Registry de-flagging notifications</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Diplomatic-maritime liaison function</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enforcement coordination</w:t>
            </w:r>
          </w:p>
        </w:tc>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Interagency awareness</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Senior diplomatic official (illustrative)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Entity List additions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Trade control (multilateral review process)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enforcement; diplomatic; defense; energy reviewers</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Diplomatic bilateral as warranted</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Multilateral review committee consensus</w:t>
            </w:r>
          </w:p>
        </w:tc>
      </w:tr>
      <w:tr>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Section 311 finding / special measures</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intelligence function (Treasury lead)</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Legal review; diplomatic; policy coordination</w:t>
            </w:r>
          </w:p>
        </w:tc>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Policy, legislative, and IC notification per statute</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Senior Treasury official or designee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CISADA warning letters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enforcement function</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Diplomatic; financial intelligence coordination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Diplomatic bilateral engagement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enforcement senior official</w:t>
            </w:r>
          </w:p>
        </w:tc>
      </w:tr>
      <w:tr>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981(k) asset substitution referral</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Criminal enforcement function</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intelligence; financial enforcement coordination</w:t>
            </w:r>
          </w:p>
        </w:tc>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Policy, diplomatic, and IC awareness</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Senior criminal enforcement official; court order required</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E.O. designation (Level 4 gate)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enforcement function</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Diplomatic; policy; IC; legal coordination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Full interagency; legislative awareness as warranted</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Cabinet-level; full interagency coordination required</w:t>
            </w:r>
          </w:p>
        </w:tc>
      </w:tr>
      <w:tr>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Maritime enforcement coordination (Level 4 gate)</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Relevant maritime enforcement authorities</w:t>
            </w:r>
          </w:p>
        </w:tc>
        <w:tc>
          <w:tcPr>
            <w:tcW w:type="dxa" w:w="1728"/>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enforcement; diplomatic; legal coordination</w:t>
            </w:r>
          </w:p>
        </w:tc>
        <w:tc>
          <w:tcPr>
            <w:tcW w:type="dxa" w:w="2016"/>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Full interagency; legislative awareness as warranted</w:t>
            </w:r>
          </w:p>
        </w:tc>
        <w:tc>
          <w:tcPr>
            <w:tcW w:type="dxa" w:w="1872"/>
            <w:shd w:val="clear" w:color="auto" w:fill="F5F0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Senior executive authority; applicable legal process required</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FFF5F5"/>
            <w:tcBorders>
              <w:top w:val="single" w:sz="8" w:space="0" w:color="7B1818"/>
              <w:left w:val="single" w:sz="8" w:space="0" w:color="7B1818"/>
              <w:bottom w:val="single" w:sz="8" w:space="0" w:color="7B1818"/>
              <w:right w:val="single" w:sz="8" w:space="0" w:color="7B1818"/>
            </w:tcBorders>
          </w:tcPr>
          <w:p>
            <w:pPr>
              <w:spacing w:before="80" w:after="80"/>
            </w:pPr>
            <w:r>
              <w:rPr>
                <w:rFonts w:ascii="Arial" w:hAnsi="Arial"/>
                <w:color w:val="7B1818"/>
                <w:sz w:val="17"/>
              </w:rPr>
              <w:t>Illustrative only. Actual authority, approval levels, and notification requirements governed by statute, regulation, and interagency agreements in effect at time of action.</w:t>
            </w:r>
          </w:p>
        </w:tc>
      </w:tr>
    </w:tbl>
    <w:p>
      <w:pPr>
        <w:spacing w:after="40"/>
      </w:pPr>
    </w:p>
    <w:p>
      <w:r>
        <w:br w:type="page"/>
      </w:r>
    </w:p>
    <w:p>
      <w:pPr>
        <w:pStyle w:val="Heading1"/>
      </w:pPr>
      <w:r>
        <w:rPr>
          <w:color w:val="1A1A1A"/>
        </w:rPr>
        <w:t>XI. OBSERVABILITY METRICS AND ENFORCEMENT CADENCE</w:t>
      </w:r>
    </w:p>
    <w:p>
      <w:pPr>
        <w:spacing w:before="0" w:after="80"/>
        <w:pBdr>
          <w:bottom w:val="single" w:sz="4" w:space="1" w:color="CCCCCC"/>
        </w:pBdr>
      </w:pPr>
    </w:p>
    <w:p>
      <w:pPr>
        <w:spacing w:after="80"/>
        <w:jc w:val="both"/>
      </w:pPr>
      <w:r>
        <w:rPr>
          <w:rFonts w:ascii="Arial" w:hAnsi="Arial"/>
          <w:sz w:val="18"/>
        </w:rPr>
        <w:t>Three review tiers — weekly operational, monthly strategic, quarterly escalation gate. All data sources are commercial or open-source. No classified collection required for baseline monitoring. Metrics convert enforcement effectiveness from assertion to measurable, revisable output.</w:t>
      </w:r>
    </w:p>
    <w:p>
      <w:pPr>
        <w:pStyle w:val="Heading2"/>
      </w:pPr>
      <w:r>
        <w:rPr>
          <w:color w:val="2A2A2A"/>
        </w:rPr>
        <w:t>Weekly Operational Indicators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Indicator</w:t>
            </w:r>
          </w:p>
        </w:tc>
        <w:tc>
          <w:tcPr>
            <w:tcW w:type="dxa" w:w="2016"/>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Data Source</w:t>
            </w:r>
          </w:p>
        </w:tc>
        <w:tc>
          <w:tcPr>
            <w:tcW w:type="dxa" w:w="259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What Change Signals</w:t>
            </w:r>
          </w:p>
        </w:tc>
        <w:tc>
          <w:tcPr>
            <w:tcW w:type="dxa" w:w="259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Threshold for Escalation</w:t>
            </w:r>
          </w:p>
        </w:tc>
      </w:tr>
      <w:tr>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AIS vessel churn at Node 7+9</w:t>
            </w:r>
          </w:p>
        </w:tc>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AIS subscription</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Network adaptation: new vessels replacing designated ones; dark period patterns</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3+ new vessels/month OR &gt;48hr dark period for known shadow fleet vessels → flag for Level 3 review</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New flag registry filings for vessels previously calling Node 7</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AIS + flag state public registries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Registry de-flagging pressure response; shadow fleet re-flagging</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2+ re-flagging events in 30 days → escalate registry pressure</w:t>
            </w:r>
          </w:p>
        </w:tc>
      </w:tr>
      <w:tr>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P&amp;I club coverage changes for identified vessels</w:t>
            </w:r>
          </w:p>
        </w:tc>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Lloyd's List Intelligence</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P&amp;I denial pressure taking effect; vessels losing coverage</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Coverage loss for 2+ vessels → document as effectiveness indicator</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Refinery flaring signature at Node 9</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Sentinel-2 infrared (free, weekly pass)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Refinery operational tempo despite supply chain constraint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Sustained flaring despite Level 3 actions → satisfies predicate for CISADA escalation gate review</w:t>
            </w:r>
          </w:p>
        </w:tc>
      </w:tr>
    </w:tbl>
    <w:p>
      <w:pPr>
        <w:spacing w:after="80"/>
      </w:pPr>
    </w:p>
    <w:p>
      <w:pPr>
        <w:pStyle w:val="Heading2"/>
      </w:pPr>
      <w:r>
        <w:rPr>
          <w:color w:val="2A2A2A"/>
        </w:rPr>
        <w:t>Monthly Strategic Indicators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Indicator</w:t>
            </w:r>
          </w:p>
        </w:tc>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Data Source</w:t>
            </w:r>
          </w:p>
        </w:tc>
        <w:tc>
          <w:tcPr>
            <w:tcW w:type="dxa" w:w="259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What Change Signals</w:t>
            </w:r>
          </w:p>
        </w:tc>
        <w:tc>
          <w:tcPr>
            <w:tcW w:type="dxa" w:w="244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Threshold</w:t>
            </w:r>
          </w:p>
        </w:tc>
      </w:tr>
      <w:tr>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Construction activity at Node 3</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Sentinel-2 monthly; Google Earth; Planet commercial</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Construction tempo maintaining vs. slowing; supply chain constraint taking effect</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Continued construction tempo despite Level 2–3 actions → accelerate Entity List and FDPR</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Supply chain substitution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trade databases (Panjiva, ImportGenius)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Network adaptation to constraint; new enforcement targets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Documented substitution via new country or entity → immediate § 314(a) and BIS review</w:t>
            </w:r>
          </w:p>
        </w:tc>
      </w:tr>
      <w:tr>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Contractor presence at construction sites</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Sentinel-2 change detection; road traffic analysis</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Notice Letter constraint affecting contractor presence</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Observable workforce reduction → document as effectiveness indicator</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SAR pattern changes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FinCEN SAR aggregation (internal access required)</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Shadow financial flows adapting to Section 311 pressure; new intermediaries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New SAR clustering pattern → immediate § 314(a) queries for identified institutions</w:t>
            </w:r>
          </w:p>
        </w:tc>
      </w:tr>
    </w:tbl>
    <w:p>
      <w:pPr>
        <w:spacing w:after="80"/>
      </w:pPr>
    </w:p>
    <w:p>
      <w:pPr>
        <w:pStyle w:val="Heading2"/>
      </w:pPr>
      <w:r>
        <w:rPr>
          <w:color w:val="2A2A2A"/>
        </w:rPr>
        <w:t>Quarterly Escalation Gate Review</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Review Element</w:t>
            </w:r>
          </w:p>
        </w:tc>
        <w:tc>
          <w:tcPr>
            <w:tcW w:type="dxa" w:w="244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Assessment Question</w:t>
            </w:r>
          </w:p>
        </w:tc>
        <w:tc>
          <w:tcPr>
            <w:tcW w:type="dxa" w:w="259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Escalation Standard</w:t>
            </w:r>
          </w:p>
        </w:tc>
        <w:tc>
          <w:tcPr>
            <w:tcW w:type="dxa" w:w="244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Downshift Standard</w:t>
            </w:r>
          </w:p>
        </w:tc>
      </w:tr>
      <w:tr>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Overall effectiveness</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Are construction tempo, vessel operations, and financial flows de-risked relative to baseline?</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Escalate if Level 2–3 actions produce no measurable change in SLRI indicators after 90 days</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Downshift if indicators show &gt;30% reduction in activity relative to baseline</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Collateral risk review</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Are enforcement actions producing unintended civilian impacts? GL scope adequate?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Escalation paused if collateral impact assessment identifies unacceptable civilian harm risk</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Downshift from active enforcement to monitoring if collateral risk exceeds defined threshold</w:t>
            </w:r>
          </w:p>
        </w:tc>
      </w:tr>
      <w:tr>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3 window update</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Is Node 3 still pre-operational? Has construction tempo changed?</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Escalate if Node 3 within 6 months of estimated operational status</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Downshift if construction stalled for 60+ days → maintain monitoring, reduce enforcement tempo</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Coalition coordination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Are FATF and allied jurisdictions implementing parallel measures?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Escalate if key jurisdictions not implementing → escalate diplomatic engagement; consider FATF referral</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Downshift if coalition implementing effectively → coordinate de-escalation timing</w:t>
            </w:r>
          </w:p>
        </w:tc>
      </w:tr>
    </w:tbl>
    <w:p>
      <w:pPr>
        <w:spacing w:after="80"/>
      </w:pPr>
    </w:p>
    <w:p>
      <w:pPr>
        <w:pStyle w:val="Heading2"/>
      </w:pPr>
      <w:r>
        <w:rPr>
          <w:color w:val="2A2A2A"/>
        </w:rPr>
        <w:t>Escalation Review Checklist (Quarterly)</w:t>
      </w:r>
    </w:p>
    <w:p>
      <w:pPr>
        <w:spacing w:after="40"/>
        <w:ind w:left="288"/>
      </w:pPr>
      <w:r>
        <w:rPr>
          <w:rFonts w:ascii="Arial" w:hAnsi="Arial"/>
          <w:sz w:val="18"/>
        </w:rPr>
        <w:t>☐  Identity standards met per Annex C and Pull-Out 3 checklist for all active entity-linked actions</w:t>
      </w:r>
    </w:p>
    <w:p>
      <w:pPr>
        <w:spacing w:after="40"/>
        <w:ind w:left="288"/>
      </w:pPr>
      <w:r>
        <w:rPr>
          <w:rFonts w:ascii="Arial" w:hAnsi="Arial"/>
          <w:sz w:val="18"/>
        </w:rPr>
        <w:t>☐  Custody hooks documented in Annex B and logged in Annex D Exhibit Register for all evidentiary claims</w:t>
      </w:r>
    </w:p>
    <w:p>
      <w:pPr>
        <w:spacing w:after="40"/>
        <w:ind w:left="288"/>
      </w:pPr>
      <w:r>
        <w:rPr>
          <w:rFonts w:ascii="Arial" w:hAnsi="Arial"/>
          <w:sz w:val="18"/>
        </w:rPr>
        <w:t>☐  Administrative record complete and versioned per Annex D for any pending Section 311 or designation actions</w:t>
      </w:r>
    </w:p>
    <w:p>
      <w:pPr>
        <w:spacing w:after="40"/>
        <w:ind w:left="288"/>
      </w:pPr>
      <w:r>
        <w:rPr>
          <w:rFonts w:ascii="Arial" w:hAnsi="Arial"/>
          <w:sz w:val="18"/>
        </w:rPr>
        <w:t>☐  All active claims still aligned to their stated confidence labels (OBSERVED / ASSESSED / INFERRED)</w:t>
      </w:r>
    </w:p>
    <w:p>
      <w:pPr>
        <w:spacing w:after="40"/>
        <w:ind w:left="288"/>
      </w:pPr>
      <w:r>
        <w:rPr>
          <w:rFonts w:ascii="Arial" w:hAnsi="Arial"/>
          <w:sz w:val="18"/>
        </w:rPr>
        <w:t>☐  No INFERRED assessment has been elevated to ASSESSED without new corroborating evidence documented</w:t>
      </w:r>
    </w:p>
    <w:p>
      <w:pPr>
        <w:spacing w:after="40"/>
        <w:ind w:left="288"/>
      </w:pPr>
      <w:r>
        <w:rPr>
          <w:rFonts w:ascii="Arial" w:hAnsi="Arial"/>
          <w:sz w:val="18"/>
        </w:rPr>
        <w:t>☐  Collateral risk and GL scope reviewed before any new external filing</w:t>
      </w:r>
    </w:p>
    <w:p>
      <w:r>
        <w:br w:type="page"/>
      </w:r>
    </w:p>
    <w:p>
      <w:pPr>
        <w:pStyle w:val="Heading1"/>
      </w:pPr>
      <w:r>
        <w:rPr>
          <w:color w:val="1A1A1A"/>
        </w:rPr>
        <w:t>ANNEX B — DOCUMENTARY HOOKS FOR EVIDENTIARY RECORD</w:t>
      </w:r>
    </w:p>
    <w:p>
      <w:pPr>
        <w:spacing w:before="0" w:after="80"/>
        <w:pBdr>
          <w:bottom w:val="single" w:sz="4" w:space="1" w:color="CCCCCC"/>
        </w:pBdr>
      </w:pPr>
    </w:p>
    <w:tbl>
      <w:tblPr>
        <w:tblStyle w:val="TableGrid"/>
        <w:tblW w:type="auto" w:w="0"/>
        <w:jc w:val="left"/>
        <w:tblLook w:firstColumn="1" w:firstRow="1" w:lastColumn="0" w:lastRow="0" w:noHBand="0" w:noVBand="1" w:val="04A0"/>
      </w:tblPr>
      <w:tblGrid>
        <w:gridCol w:w="9360"/>
      </w:tblGrid>
      <w:tr>
        <w:tc>
          <w:tcPr>
            <w:tcW w:type="dxa" w:w="9360"/>
            <w:shd w:val="clear" w:color="auto" w:fill="FFF5F5"/>
            <w:tcBorders>
              <w:top w:val="single" w:sz="8" w:space="0" w:color="7B1818"/>
              <w:left w:val="single" w:sz="8" w:space="0" w:color="7B1818"/>
              <w:bottom w:val="single" w:sz="8" w:space="0" w:color="7B1818"/>
              <w:right w:val="single" w:sz="8" w:space="0" w:color="7B1818"/>
            </w:tcBorders>
          </w:tcPr>
          <w:p>
            <w:pPr>
              <w:spacing w:before="80" w:after="80"/>
            </w:pPr>
            <w:r>
              <w:rPr>
                <w:rFonts w:ascii="Arial" w:hAnsi="Arial"/>
                <w:color w:val="7B1818"/>
                <w:sz w:val="17"/>
              </w:rPr>
              <w:t>Use only for tracing and documentary proof. Do not infer illicit activity from hook presence alone. All actions gated per Section 4.5 decision tree and escalation gate standards.</w:t>
            </w:r>
          </w:p>
        </w:tc>
      </w:tr>
    </w:tbl>
    <w:p>
      <w:pPr>
        <w:spacing w:after="4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Hook Type</w:t>
            </w:r>
          </w:p>
        </w:tc>
        <w:tc>
          <w:tcPr>
            <w:tcW w:type="dxa" w:w="216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What It Establishes</w:t>
            </w:r>
          </w:p>
        </w:tc>
        <w:tc>
          <w:tcPr>
            <w:tcW w:type="dxa" w:w="259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Minimum Use Standard</w:t>
            </w:r>
          </w:p>
        </w:tc>
        <w:tc>
          <w:tcPr>
            <w:tcW w:type="dxa" w:w="2736"/>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Log in Annex D</w:t>
            </w:r>
          </w:p>
        </w:tc>
      </w:tr>
      <w:tr>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AIS vessel call record</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Vessel presence at Node 7/9 general area; call frequency; flag registry; P&amp;I club</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Geographic bounding box match + vessel MMSI confirmed from AIS provider; date range and provider noted</w:t>
            </w:r>
          </w:p>
        </w:tc>
        <w:tc>
          <w:tcPr>
            <w:tcW w:type="dxa" w:w="273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Log with exhibit number, retrieval date, provider, query parameters</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Export license application BIS SNAP-R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Supplier applied for controlled equipment export license to Iran or Iranian-linked entity</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License number or application record confirmed from BIS public records; entity name match confirmed</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Log with license number or application ID, date, BIS source</w:t>
            </w:r>
          </w:p>
        </w:tc>
      </w:tr>
      <w:tr>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Shipping manifest</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Physical shipment linkage between supplier and end-user</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Bill of lading or manifest confirmed from commercial trade database or customs record; both party names confirmed</w:t>
            </w:r>
          </w:p>
        </w:tc>
        <w:tc>
          <w:tcPr>
            <w:tcW w:type="dxa" w:w="273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Log with manifest number, trade database source, date</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SAR filing / § 314(a) response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institution documented suspicious transaction activity linked to target entity</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SAR or § 314(a) response received; entity linkage documented</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Log with SAR reference or § 314(a) request ID, date, responding institution</w:t>
            </w:r>
          </w:p>
        </w:tc>
      </w:tr>
      <w:tr>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Corporate registry extract</w:t>
            </w:r>
          </w:p>
        </w:tc>
        <w:tc>
          <w:tcPr>
            <w:tcW w:type="dxa" w:w="216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Legal entity name, jurisdiction, beneficial ownership, registered address</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Registry extract dated within 12 months of action; source jurisdiction and registry noted</w:t>
            </w:r>
          </w:p>
        </w:tc>
        <w:tc>
          <w:tcPr>
            <w:tcW w:type="dxa" w:w="273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Log with registry name, jurisdiction, extract date, file reference</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Payment documentation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transaction linking two entities in the supply chain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Payment reference confirmed from bank records, trade finance, or financial disclosure; both parties named</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Log with document type, date, parties, file reference</w:t>
            </w:r>
          </w:p>
        </w:tc>
      </w:tr>
    </w:tbl>
    <w:p>
      <w:pPr>
        <w:spacing w:after="80"/>
      </w:pPr>
    </w:p>
    <w:p>
      <w:r>
        <w:br w:type="page"/>
      </w:r>
    </w:p>
    <w:p>
      <w:pPr>
        <w:pStyle w:val="Heading1"/>
      </w:pPr>
      <w:r>
        <w:rPr>
          <w:color w:val="1A1A1A"/>
        </w:rPr>
        <w:t>ANNEX C — IDENTITY STANDARDS FOR ENTITY-LINKED ACTIONS</w:t>
      </w:r>
    </w:p>
    <w:p>
      <w:pPr>
        <w:spacing w:before="0" w:after="80"/>
        <w:pBdr>
          <w:bottom w:val="single" w:sz="4" w:space="1" w:color="CCCCCC"/>
        </w:pBdr>
      </w:pPr>
    </w:p>
    <w:p>
      <w:pPr>
        <w:spacing w:after="80"/>
        <w:jc w:val="both"/>
      </w:pPr>
      <w:r>
        <w:rPr>
          <w:rFonts w:ascii="Arial" w:hAnsi="Arial"/>
          <w:sz w:val="18"/>
        </w:rPr>
        <w:t>All enforcement actions requiring entity identification must meet these standards before proceeding. Applies to Notice Letters, Entity List additions, Section 311 administrative records, and designation packages.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Element</w:t>
            </w:r>
          </w:p>
        </w:tc>
        <w:tc>
          <w:tcPr>
            <w:tcW w:type="dxa" w:w="2304"/>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Standard</w:t>
            </w:r>
          </w:p>
        </w:tc>
        <w:tc>
          <w:tcPr>
            <w:tcW w:type="dxa" w:w="259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Source Examples</w:t>
            </w:r>
          </w:p>
        </w:tc>
        <w:tc>
          <w:tcPr>
            <w:tcW w:type="dxa" w:w="244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Status Field</w:t>
            </w:r>
          </w:p>
        </w:tc>
      </w:tr>
      <w:tr>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Legal entity name</w:t>
            </w:r>
          </w:p>
        </w:tc>
        <w:tc>
          <w:tcPr>
            <w:tcW w:type="dxa" w:w="23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Exact legal name as registered</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Corporate registry extract; BIS SNAP-R application; shipping manifest</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Confirmed / ☐ Pending / ☐ Not found</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Jurisdiction of incorporation</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Country and registration authority confirmed</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Corporate registry; commercial database (Dun &amp; Bradstreet, ICIJ)</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Confirmed / ☐ Pending / ☐ Not found</w:t>
            </w:r>
          </w:p>
        </w:tc>
      </w:tr>
      <w:tr>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Physical address</w:t>
            </w:r>
          </w:p>
        </w:tc>
        <w:tc>
          <w:tcPr>
            <w:tcW w:type="dxa" w:w="23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Street address confirmed — not PO box</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Corporate registry; shipping manifest; export license application</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Confirmed / ☐ Pending / ☐ Not found</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Beneficial ownership</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Controlling interest ≥25% or equivalent threshold identified</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Corporate registry; ICIJ Offshore Leaks; FinCEN BOI registry</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Confirmed / ☐ Pending / ☐ Not found</w:t>
            </w:r>
          </w:p>
        </w:tc>
      </w:tr>
      <w:tr>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Transaction record</w:t>
            </w:r>
          </w:p>
        </w:tc>
        <w:tc>
          <w:tcPr>
            <w:tcW w:type="dxa" w:w="23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At least one independent transaction linking entity to relevant supply chain</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Shipping manifest; export license; SAR; § 314(a) response</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Confirmed / ☐ Pending / ☐ Not found</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SDN/Entity List cross-reference</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Check at time of action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OFAC sanctionslist.ofac.treas.gov; BIS bis.doc.gov</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Confirmed / ☐ Pending / ☐ Not found</w:t>
            </w:r>
          </w:p>
        </w:tc>
      </w:tr>
      <w:tr>
        <w:tc>
          <w:tcPr>
            <w:tcW w:type="dxa" w:w="201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End-user designation confirmation</w:t>
            </w:r>
            <w:r>
              <w:rPr>
                <w:sz w:val="4"/>
              </w:rPr>
              <w:br/>
            </w:r>
            <w:r>
              <w:rPr>
                <w:rFonts w:ascii="Arial" w:hAnsi="Arial"/>
                <w:b w:val="0"/>
                <w:color w:val="1A1A1A"/>
                <w:sz w:val="16"/>
              </w:rPr>
              <w:t>(Notice Letters only)</w:t>
            </w:r>
          </w:p>
        </w:tc>
        <w:tc>
          <w:tcPr>
            <w:tcW w:type="dxa" w:w="23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End-user designated on OFAC SDN List or BIS Entity List at time of notice delivery</w:t>
            </w:r>
          </w:p>
        </w:tc>
        <w:tc>
          <w:tcPr>
            <w:tcW w:type="dxa" w:w="259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OFAC SDN List; BIS Entity List</w:t>
            </w:r>
          </w:p>
        </w:tc>
        <w:tc>
          <w:tcPr>
            <w:tcW w:type="dxa" w:w="24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 Confirmed / ☐ Pending / ☐ Not found</w:t>
            </w:r>
          </w:p>
        </w:tc>
      </w:tr>
    </w:tbl>
    <w:p>
      <w:pPr>
        <w:spacing w:after="80"/>
      </w:pPr>
    </w:p>
    <w:p>
      <w:r>
        <w:br w:type="page"/>
      </w:r>
    </w:p>
    <w:p>
      <w:pPr>
        <w:pStyle w:val="Heading1"/>
      </w:pPr>
      <w:r>
        <w:rPr>
          <w:color w:val="1A1A1A"/>
        </w:rPr>
        <w:t>ANNEX D — EXHIBIT REGISTER</w:t>
      </w:r>
    </w:p>
    <w:p>
      <w:pPr>
        <w:spacing w:before="0" w:after="80"/>
        <w:pBdr>
          <w:bottom w:val="single" w:sz="4" w:space="1" w:color="CCCCCC"/>
        </w:pBdr>
      </w:pPr>
    </w:p>
    <w:p>
      <w:pPr>
        <w:spacing w:after="80"/>
        <w:jc w:val="both"/>
      </w:pPr>
      <w:r>
        <w:rPr>
          <w:rFonts w:ascii="Arial" w:hAnsi="Arial"/>
          <w:sz w:val="18"/>
        </w:rPr>
        <w:t>Exhibit freeze/versioning rules: Each exhibit assigned unique number upon first entry (not reused). Exhibits frozen at retrieval — original file retained unmodified. If superseded, original retained and new exhibit number assigned for updated version.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4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Exhibit</w:t>
            </w:r>
          </w:p>
        </w:tc>
        <w:tc>
          <w:tcPr>
            <w:tcW w:type="dxa" w:w="187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Description</w:t>
            </w:r>
          </w:p>
        </w:tc>
        <w:tc>
          <w:tcPr>
            <w:tcW w:type="dxa" w:w="144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Source</w:t>
            </w:r>
          </w:p>
        </w:tc>
        <w:tc>
          <w:tcPr>
            <w:tcW w:type="dxa" w:w="1152"/>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Retrieval Date</w:t>
            </w:r>
          </w:p>
        </w:tc>
        <w:tc>
          <w:tcPr>
            <w:tcW w:type="dxa" w:w="144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Chain-of-Custody</w:t>
            </w:r>
          </w:p>
        </w:tc>
        <w:tc>
          <w:tcPr>
            <w:tcW w:type="dxa" w:w="2808"/>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Reproducibility Pointer</w:t>
            </w:r>
          </w:p>
        </w:tc>
      </w:tr>
      <w:tr>
        <w:tc>
          <w:tcPr>
            <w:tcW w:type="dxa" w:w="6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D-1</w:t>
            </w:r>
          </w:p>
        </w:tc>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Late 2025 Sentinel-2 imagery — Node 3 construction progress</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ESA Copernicus Sentinel-2</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Oct–Nov 2025</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Stored in secure OSINT repository; access log maintained</w:t>
            </w:r>
          </w:p>
        </w:tc>
        <w:tc>
          <w:tcPr>
            <w:tcW w:type="dxa" w:w="280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Tile query: Oct–Nov 2025, bands 4/8/11. Free at scihub.copernicus.eu</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D-2</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Sentinel-2 2022–2025 archive — construction sequence all nodes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ESA Copernicus Sentinel-2</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2022–2025 archive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Full archive retained; query parameters documented</w:t>
            </w:r>
          </w:p>
        </w:tc>
        <w:tc>
          <w:tcPr>
            <w:tcW w:type="dxa" w:w="28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Time-series at node general coordinates, annual intervals, bands 4/8 + SWIR</w:t>
            </w:r>
          </w:p>
        </w:tc>
      </w:tr>
      <w:tr>
        <w:tc>
          <w:tcPr>
            <w:tcW w:type="dxa" w:w="6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D-3</w:t>
            </w:r>
          </w:p>
        </w:tc>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Commercial AIS sample — Node 7/9 port call analysis</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MarineTraffic or VesselFinder</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To be compiled upon subscription</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Raw extract retained; redacted copy for dissemination</w:t>
            </w:r>
          </w:p>
        </w:tc>
        <w:tc>
          <w:tcPr>
            <w:tcW w:type="dxa" w:w="280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AIS filter: bounding box Node 7+9 general areas, 24-month history</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D-4</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Google Earth historical imagery baseline all nodes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Google Earth Pro</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Late 2025 most recent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Screenshot archive with date stamps</w:t>
            </w:r>
          </w:p>
        </w:tc>
        <w:tc>
          <w:tcPr>
            <w:tcW w:type="dxa" w:w="28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Historical imagery function at node general coordinates, earliest available through late 2025</w:t>
            </w:r>
          </w:p>
        </w:tc>
      </w:tr>
      <w:tr>
        <w:tc>
          <w:tcPr>
            <w:tcW w:type="dxa" w:w="6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D-5</w:t>
            </w:r>
          </w:p>
        </w:tc>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BIS Entity List entries — identified supply chain entities</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Commerce BIS public Entity List</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Current at time of use</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Public record</w:t>
            </w:r>
          </w:p>
        </w:tc>
        <w:tc>
          <w:tcPr>
            <w:tcW w:type="dxa" w:w="280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bis.doc.gov/index.php/policy-guidance/lists-of-parties-of-concern</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D-6</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OFAC SDN List entries — E.O. 13382 designated entities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OFAC SDN List</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Current at time of use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Public record</w:t>
            </w:r>
          </w:p>
        </w:tc>
        <w:tc>
          <w:tcPr>
            <w:tcW w:type="dxa" w:w="28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sanctionslist.ofac.treas.gov filter E.O. 13382</w:t>
            </w:r>
          </w:p>
        </w:tc>
      </w:tr>
      <w:tr>
        <w:tc>
          <w:tcPr>
            <w:tcW w:type="dxa" w:w="64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D-7+</w:t>
            </w:r>
          </w:p>
        </w:tc>
        <w:tc>
          <w:tcPr>
            <w:tcW w:type="dxa" w:w="187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Add rows as compiled: shipping manifests, SAR patterns, § 314(a) responses, Lloyd's records, UN Panel reports</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Per source</w:t>
            </w:r>
          </w:p>
        </w:tc>
        <w:tc>
          <w:tcPr>
            <w:tcW w:type="dxa" w:w="1152"/>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Per retrieval</w:t>
            </w:r>
          </w:p>
        </w:tc>
        <w:tc>
          <w:tcPr>
            <w:tcW w:type="dxa" w:w="144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Per source handling</w:t>
            </w:r>
          </w:p>
        </w:tc>
        <w:tc>
          <w:tcPr>
            <w:tcW w:type="dxa" w:w="2808"/>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Per source</w:t>
            </w:r>
          </w:p>
        </w:tc>
      </w:tr>
    </w:tbl>
    <w:p>
      <w:pPr>
        <w:spacing w:after="80"/>
      </w:pPr>
    </w:p>
    <w:p>
      <w:r>
        <w:br w:type="page"/>
      </w:r>
    </w:p>
    <w:p>
      <w:pPr>
        <w:pStyle w:val="Heading1"/>
      </w:pPr>
      <w:r>
        <w:rPr>
          <w:color w:val="1A1A1A"/>
        </w:rPr>
        <w:t>APPENDIX E — WHAT WOULD CHANGE MY MIND</w:t>
      </w:r>
    </w:p>
    <w:p>
      <w:pPr>
        <w:spacing w:before="0" w:after="80"/>
        <w:pBdr>
          <w:bottom w:val="single" w:sz="4" w:space="1" w:color="CCCCCC"/>
        </w:pBdr>
      </w:pPr>
    </w:p>
    <w:p>
      <w:pPr>
        <w:spacing w:after="80"/>
        <w:jc w:val="both"/>
      </w:pPr>
      <w:r>
        <w:rPr>
          <w:rFonts w:ascii="Arial" w:hAnsi="Arial"/>
          <w:sz w:val="18"/>
        </w:rPr>
        <w:t>This appendix states explicitly what evidence would cause each key assessment in this paper to be revised — upward or downward. It is not a prediction. It is a falsifiability statement. A framework that cannot specify its own disconfirming conditions is advocacy, not analysis.</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Assessment</w:t>
            </w:r>
          </w:p>
        </w:tc>
        <w:tc>
          <w:tcPr>
            <w:tcW w:type="dxa" w:w="3600"/>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Would Revise UPWARD if:</w:t>
            </w:r>
          </w:p>
        </w:tc>
        <w:tc>
          <w:tcPr>
            <w:tcW w:type="dxa" w:w="3456"/>
            <w:shd w:val="clear" w:color="auto" w:fill="1A3A6E"/>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color w:val="FFFFFF"/>
                <w:sz w:val="16"/>
              </w:rPr>
              <w:t>Would Revise DOWNWARD if:</w:t>
            </w:r>
          </w:p>
        </w:tc>
      </w:tr>
      <w:tr>
        <w:tc>
          <w:tcPr>
            <w:tcW w:type="dxa" w:w="23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H2: Resilience-oriented logistics enablement</w:t>
            </w:r>
            <w:r>
              <w:rPr>
                <w:sz w:val="4"/>
              </w:rPr>
              <w:br/>
            </w:r>
            <w:r>
              <w:rPr>
                <w:rFonts w:ascii="Arial" w:hAnsi="Arial"/>
                <w:b w:val="0"/>
                <w:color w:val="1A1A1A"/>
                <w:sz w:val="16"/>
              </w:rPr>
              <w:t>(ASSESSED; moderate confidence)</w:t>
            </w:r>
          </w:p>
        </w:tc>
        <w:tc>
          <w:tcPr>
            <w:tcW w:type="dxa" w:w="360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Documentary evidence of state or security-linked operators confirmed via corporate registry or shipping records</w:t>
            </w:r>
            <w:r>
              <w:rPr>
                <w:sz w:val="4"/>
              </w:rPr>
              <w:br/>
            </w:r>
            <w:r>
              <w:rPr>
                <w:rFonts w:ascii="Arial" w:hAnsi="Arial"/>
                <w:b w:val="0"/>
                <w:color w:val="1A1A1A"/>
                <w:sz w:val="16"/>
              </w:rPr>
              <w:t>Recurring vessel association with sanctioned maritime networks confirmed via AIS and designation cross-reference</w:t>
            </w:r>
            <w:r>
              <w:rPr>
                <w:sz w:val="4"/>
              </w:rPr>
              <w:br/>
            </w:r>
            <w:r>
              <w:rPr>
                <w:rFonts w:ascii="Arial" w:hAnsi="Arial"/>
                <w:b w:val="0"/>
                <w:color w:val="1A1A1A"/>
                <w:sz w:val="16"/>
              </w:rPr>
              <w:t>Financial intermediaries matching proliferation financing typologies identified via § 314(a) or SAR</w:t>
            </w:r>
          </w:p>
        </w:tc>
        <w:tc>
          <w:tcPr>
            <w:tcW w:type="dxa" w:w="345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Verified civilian permitting records from Iranian domestic authorities confirmed via open sources</w:t>
            </w:r>
            <w:r>
              <w:rPr>
                <w:sz w:val="4"/>
              </w:rPr>
              <w:br/>
            </w:r>
            <w:r>
              <w:rPr>
                <w:rFonts w:ascii="Arial" w:hAnsi="Arial"/>
                <w:b w:val="0"/>
                <w:color w:val="1A1A1A"/>
                <w:sz w:val="16"/>
              </w:rPr>
              <w:t>Transparent commercial operators with conventional market-facing counterparty records</w:t>
            </w:r>
            <w:r>
              <w:rPr>
                <w:sz w:val="4"/>
              </w:rPr>
              <w:br/>
            </w:r>
            <w:r>
              <w:rPr>
                <w:rFonts w:ascii="Arial" w:hAnsi="Arial"/>
                <w:b w:val="0"/>
                <w:color w:val="1A1A1A"/>
                <w:sz w:val="16"/>
              </w:rPr>
              <w:t>Absence of any designated-entity nexus after full identity resolution at Level 2–3</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3 function assessment</w:t>
            </w:r>
            <w:r>
              <w:rPr>
                <w:sz w:val="4"/>
              </w:rPr>
              <w:br/>
            </w:r>
            <w:r>
              <w:rPr>
                <w:rFonts w:ascii="Arial" w:hAnsi="Arial"/>
                <w:b w:val="0"/>
                <w:color w:val="1A1A1A"/>
                <w:sz w:val="16"/>
              </w:rPr>
              <w:t>(ASSESSED; moderate confidence)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Controlled goods procurement records linking Node 3 supply chain to export-controlled equipment categories</w:t>
            </w:r>
            <w:r>
              <w:rPr>
                <w:sz w:val="4"/>
              </w:rPr>
              <w:br/>
            </w:r>
            <w:r>
              <w:rPr>
                <w:rFonts w:ascii="Arial" w:hAnsi="Arial"/>
                <w:b w:val="0"/>
                <w:color w:val="1A1A1A"/>
                <w:sz w:val="16"/>
              </w:rPr>
              <w:t>Satellite imagery showing specialized installation consistent with a specific industrial function</w:t>
            </w:r>
            <w:r>
              <w:rPr>
                <w:sz w:val="4"/>
              </w:rPr>
              <w:br/>
            </w:r>
            <w:r>
              <w:rPr>
                <w:rFonts w:ascii="Arial" w:hAnsi="Arial"/>
                <w:b w:val="0"/>
                <w:color w:val="1A1A1A"/>
                <w:sz w:val="16"/>
              </w:rPr>
              <w:t>Financial flows consistent with a specific industrial production or assembly operation</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Civilian industrial permitting records with identified operator and conventional supply chain</w:t>
            </w:r>
            <w:r>
              <w:rPr>
                <w:sz w:val="4"/>
              </w:rPr>
              <w:br/>
            </w:r>
            <w:r>
              <w:rPr>
                <w:rFonts w:ascii="Arial" w:hAnsi="Arial"/>
                <w:b w:val="0"/>
                <w:color w:val="1A1A1A"/>
                <w:sz w:val="16"/>
              </w:rPr>
              <w:t>Satellite imagery showing standard civilian manufacturing profile inconsistent with assessed function</w:t>
            </w:r>
            <w:r>
              <w:rPr>
                <w:sz w:val="4"/>
              </w:rPr>
              <w:br/>
            </w:r>
            <w:r>
              <w:rPr>
                <w:rFonts w:ascii="Arial" w:hAnsi="Arial"/>
                <w:b w:val="0"/>
                <w:color w:val="1A1A1A"/>
                <w:sz w:val="16"/>
              </w:rPr>
              <w:t>Identified operator with transparent, commercial, non-designated counterparties</w:t>
            </w:r>
          </w:p>
        </w:tc>
      </w:tr>
      <w:tr>
        <w:tc>
          <w:tcPr>
            <w:tcW w:type="dxa" w:w="23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4 contents</w:t>
            </w:r>
            <w:r>
              <w:rPr>
                <w:sz w:val="4"/>
              </w:rPr>
              <w:br/>
            </w:r>
            <w:r>
              <w:rPr>
                <w:rFonts w:ascii="Arial" w:hAnsi="Arial"/>
                <w:b w:val="0"/>
                <w:color w:val="1A1A1A"/>
                <w:sz w:val="16"/>
              </w:rPr>
              <w:t>(ASSESSED; moderate confidence)</w:t>
            </w:r>
          </w:p>
        </w:tc>
        <w:tc>
          <w:tcPr>
            <w:tcW w:type="dxa" w:w="360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Delivery of controlled goods via adjacent port confirmed via cargo manifest or export license records</w:t>
            </w:r>
            <w:r>
              <w:rPr>
                <w:sz w:val="4"/>
              </w:rPr>
              <w:br/>
            </w:r>
            <w:r>
              <w:rPr>
                <w:rFonts w:ascii="Arial" w:hAnsi="Arial"/>
                <w:b w:val="0"/>
                <w:color w:val="1A1A1A"/>
                <w:sz w:val="16"/>
              </w:rPr>
              <w:t>Operator identity confirmed and linked to designated entity or controlled procurement network</w:t>
            </w:r>
          </w:p>
        </w:tc>
        <w:tc>
          <w:tcPr>
            <w:tcW w:type="dxa" w:w="345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Transparent civilian storage operator identified with conventional warehousing counterparties</w:t>
            </w:r>
            <w:r>
              <w:rPr>
                <w:sz w:val="4"/>
              </w:rPr>
              <w:br/>
            </w:r>
            <w:r>
              <w:rPr>
                <w:rFonts w:ascii="Arial" w:hAnsi="Arial"/>
                <w:b w:val="0"/>
                <w:color w:val="1A1A1A"/>
                <w:sz w:val="16"/>
              </w:rPr>
              <w:t>Contents confirmed as standard commercial inventory via open-source or diplomatic reporting</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Node 3 timeline estimate</w:t>
            </w:r>
            <w:r>
              <w:rPr>
                <w:sz w:val="4"/>
              </w:rPr>
              <w:br/>
            </w:r>
            <w:r>
              <w:rPr>
                <w:rFonts w:ascii="Arial" w:hAnsi="Arial"/>
                <w:b w:val="0"/>
                <w:color w:val="1A1A1A"/>
                <w:sz w:val="16"/>
              </w:rPr>
              <w:t>(ASSESSED; moderate confidence, 12–18 months)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Accelerated construction tempo visible in monthly Sentinel-2 imagery</w:t>
            </w:r>
            <w:r>
              <w:rPr>
                <w:sz w:val="4"/>
              </w:rPr>
              <w:br/>
            </w:r>
            <w:r>
              <w:rPr>
                <w:rFonts w:ascii="Arial" w:hAnsi="Arial"/>
                <w:b w:val="0"/>
                <w:color w:val="1A1A1A"/>
                <w:sz w:val="16"/>
              </w:rPr>
              <w:t>Delivery of major equipment visible at site</w:t>
            </w:r>
            <w:r>
              <w:rPr>
                <w:sz w:val="4"/>
              </w:rPr>
              <w:br/>
            </w:r>
            <w:r>
              <w:rPr>
                <w:rFonts w:ascii="Arial" w:hAnsi="Arial"/>
                <w:b w:val="0"/>
                <w:color w:val="1A1A1A"/>
                <w:sz w:val="16"/>
              </w:rPr>
              <w:t>Workforce increase visible via site activity analysis</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Construction activity ceases or slows significantly for 60+ consecutive days</w:t>
            </w:r>
            <w:r>
              <w:rPr>
                <w:sz w:val="4"/>
              </w:rPr>
              <w:br/>
            </w:r>
            <w:r>
              <w:rPr>
                <w:rFonts w:ascii="Arial" w:hAnsi="Arial"/>
                <w:b w:val="0"/>
                <w:color w:val="1A1A1A"/>
                <w:sz w:val="16"/>
              </w:rPr>
              <w:t>No major equipment deliveries visible over 90-day monitoring window</w:t>
            </w:r>
            <w:r>
              <w:rPr>
                <w:sz w:val="4"/>
              </w:rPr>
              <w:br/>
            </w:r>
            <w:r>
              <w:rPr>
                <w:rFonts w:ascii="Arial" w:hAnsi="Arial"/>
                <w:b w:val="0"/>
                <w:color w:val="1A1A1A"/>
                <w:sz w:val="16"/>
              </w:rPr>
              <w:t>Workforce reduction visible via site activity analysis</w:t>
            </w:r>
          </w:p>
        </w:tc>
      </w:tr>
      <w:tr>
        <w:tc>
          <w:tcPr>
            <w:tcW w:type="dxa" w:w="2304"/>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CPEC adjacency / secondary sanctions eligibility</w:t>
            </w:r>
            <w:r>
              <w:rPr>
                <w:sz w:val="4"/>
              </w:rPr>
              <w:br/>
            </w:r>
            <w:r>
              <w:rPr>
                <w:rFonts w:ascii="Arial" w:hAnsi="Arial"/>
                <w:b w:val="0"/>
                <w:color w:val="1A1A1A"/>
                <w:sz w:val="16"/>
              </w:rPr>
              <w:t>(INFERRED; lower confidence)</w:t>
            </w:r>
          </w:p>
        </w:tc>
        <w:tc>
          <w:tcPr>
            <w:tcW w:type="dxa" w:w="3600"/>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Financial intelligence confirming transactions between cluster-linked entities and CPEC-affiliated entities</w:t>
            </w:r>
            <w:r>
              <w:rPr>
                <w:sz w:val="4"/>
              </w:rPr>
              <w:br/>
            </w:r>
            <w:r>
              <w:rPr>
                <w:rFonts w:ascii="Arial" w:hAnsi="Arial"/>
                <w:b w:val="0"/>
                <w:color w:val="1A1A1A"/>
                <w:sz w:val="16"/>
              </w:rPr>
              <w:t>Shipping records linking cluster supply chain to Chinese state-affiliated vendors</w:t>
            </w:r>
            <w:r>
              <w:rPr>
                <w:sz w:val="4"/>
              </w:rPr>
              <w:br/>
            </w:r>
            <w:r>
              <w:rPr>
                <w:rFonts w:ascii="Arial" w:hAnsi="Arial"/>
                <w:b w:val="0"/>
                <w:color w:val="1A1A1A"/>
                <w:sz w:val="16"/>
              </w:rPr>
              <w:t>SAR filings or § 314(a) responses identifying Chinese financial intermediaries</w:t>
            </w:r>
          </w:p>
        </w:tc>
        <w:tc>
          <w:tcPr>
            <w:tcW w:type="dxa" w:w="3456"/>
            <w:shd w:val="clear" w:color="auto" w:fill="EEF2FA"/>
            <w:tcBorders>
              <w:top w:val="single" w:sz="4" w:space="0" w:color="CCCCCC"/>
              <w:left w:val="single" w:sz="4" w:space="0" w:color="CCCCCC"/>
              <w:bottom w:val="single" w:sz="4" w:space="0" w:color="CCCCCC"/>
              <w:right w:val="single" w:sz="4" w:space="0" w:color="CCCCCC"/>
            </w:tcBorders>
          </w:tcPr>
          <w:p>
            <w:pPr>
              <w:spacing w:before="40" w:after="40"/>
              <w:ind w:left="80" w:right="80"/>
            </w:pPr>
            <w:r>
              <w:rPr>
                <w:rFonts w:ascii="Arial" w:hAnsi="Arial"/>
                <w:b w:val="0"/>
                <w:color w:val="1A1A1A"/>
                <w:sz w:val="16"/>
              </w:rPr>
              <w:t>Supply chain analysis confirms no Chinese state-affiliated entity involvement at any tier</w:t>
            </w:r>
            <w:r>
              <w:rPr>
                <w:sz w:val="4"/>
              </w:rPr>
              <w:br/>
            </w:r>
            <w:r>
              <w:rPr>
                <w:rFonts w:ascii="Arial" w:hAnsi="Arial"/>
                <w:b w:val="0"/>
                <w:color w:val="1A1A1A"/>
                <w:sz w:val="16"/>
              </w:rPr>
              <w:t>Financial intelligence confirms cluster financing exclusively from non-CPEC sources</w:t>
            </w:r>
          </w:p>
        </w:tc>
      </w:tr>
    </w:tbl>
    <w:p>
      <w:pPr>
        <w:spacing w:after="80"/>
      </w:pPr>
    </w:p>
    <w:p>
      <w:pPr>
        <w:spacing w:after="60"/>
        <w:ind w:left="216"/>
      </w:pPr>
      <w:r>
        <w:rPr>
          <w:rFonts w:ascii="Arial" w:hAnsi="Arial"/>
          <w:i/>
          <w:color w:val="555555"/>
          <w:sz w:val="16"/>
        </w:rPr>
        <w:t>The most important disconfirming indicator for the entire framework is one this product cannot supply: affirmative civilian end-use confirmation from a source with direct access. If that evidence exists, the framework's Level 2–3 enforcement eligibility assessments should be revisited before any action proceeds.</w:t>
      </w:r>
    </w:p>
    <w:p>
      <w:pPr>
        <w:spacing w:before="240"/>
      </w:pPr>
    </w:p>
    <w:p>
      <w:pPr>
        <w:spacing w:before="0" w:after="80"/>
        <w:pBdr>
          <w:bottom w:val="single" w:sz="4" w:space="1" w:color="CCCCCC"/>
        </w:pBdr>
      </w:pPr>
    </w:p>
    <w:p>
      <w:pPr>
        <w:spacing w:after="40"/>
        <w:jc w:val="center"/>
      </w:pPr>
      <w:r>
        <w:rPr>
          <w:rFonts w:ascii="Arial" w:hAnsi="Arial"/>
          <w:color w:val="555555"/>
          <w:sz w:val="16"/>
        </w:rPr>
        <w:t>WP-2026-INFRA-01 Rev. 5.4 (Final) | Independent Policy Research Group | February 2026</w:t>
      </w:r>
    </w:p>
    <w:p>
      <w:pPr>
        <w:spacing w:after="40"/>
        <w:jc w:val="center"/>
      </w:pPr>
      <w:r>
        <w:rPr>
          <w:rFonts w:ascii="Arial" w:hAnsi="Arial"/>
          <w:color w:val="555555"/>
          <w:sz w:val="16"/>
        </w:rPr>
        <w:t>UNCLASSIFIED — CONTROLLED DISTRIBUTION (Independent Product; see Handling)</w:t>
      </w:r>
    </w:p>
    <w:p>
      <w:pPr>
        <w:spacing w:after="40"/>
        <w:jc w:val="center"/>
      </w:pPr>
      <w:r>
        <w:rPr>
          <w:rFonts w:ascii="Arial" w:hAnsi="Arial"/>
          <w:color w:val="555555"/>
          <w:sz w:val="16"/>
        </w:rPr>
        <w:t>NON-KINETIC ENFORCEMENT ANALYSIS ONLY — NOT FOR OPERATIONAL OR KINETIC TARGETING</w:t>
      </w:r>
    </w:p>
    <w:p>
      <w:pPr>
        <w:spacing w:after="40"/>
        <w:jc w:val="center"/>
      </w:pPr>
      <w:r>
        <w:rPr>
          <w:rFonts w:ascii="Arial" w:hAnsi="Arial"/>
          <w:color w:val="555555"/>
          <w:sz w:val="16"/>
        </w:rPr>
        <w:t>OSINT basis: commercial satellite imagery and open-source analysis only.</w:t>
      </w:r>
    </w:p>
    <w:p>
      <w:pPr>
        <w:spacing w:after="40"/>
        <w:jc w:val="center"/>
      </w:pPr>
      <w:r>
        <w:rPr>
          <w:rFonts w:ascii="Arial" w:hAnsi="Arial"/>
          <w:color w:val="555555"/>
          <w:sz w:val="16"/>
        </w:rPr>
        <w:t>Coordinates excluded from this version (Dissemination Edition).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1A1A1A"/>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A1A1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