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88EDA" w14:textId="77777777" w:rsidR="008B176B" w:rsidRDefault="009D00BC">
      <w:pPr>
        <w:spacing w:before="2880" w:after="160"/>
        <w:jc w:val="center"/>
      </w:pPr>
      <w:r>
        <w:rPr>
          <w:b/>
          <w:bCs/>
          <w:caps/>
          <w:color w:val="2E5F8A"/>
          <w:sz w:val="20"/>
          <w:szCs w:val="20"/>
        </w:rPr>
        <w:t>UNCLASSIFIED // OPEN SOURCE POLICY ANALYSIS</w:t>
      </w:r>
    </w:p>
    <w:p w14:paraId="45CD30C3" w14:textId="77777777" w:rsidR="008B176B" w:rsidRDefault="009D00BC">
      <w:pPr>
        <w:spacing w:after="80"/>
        <w:jc w:val="center"/>
      </w:pPr>
      <w:r>
        <w:rPr>
          <w:color w:val="7F7F7F"/>
          <w:sz w:val="20"/>
          <w:szCs w:val="20"/>
        </w:rPr>
        <w:t>Independent Policy Research | March 2026</w:t>
      </w:r>
    </w:p>
    <w:p w14:paraId="6BD4946F" w14:textId="77777777" w:rsidR="008B176B" w:rsidRDefault="008B176B">
      <w:pPr>
        <w:pBdr>
          <w:bottom w:val="single" w:sz="6" w:space="1" w:color="2E5F8A"/>
        </w:pBdr>
        <w:spacing w:before="160" w:after="160"/>
      </w:pPr>
    </w:p>
    <w:p w14:paraId="554F603B" w14:textId="77777777" w:rsidR="008B176B" w:rsidRDefault="009D00BC">
      <w:pPr>
        <w:spacing w:before="480" w:after="240"/>
        <w:jc w:val="center"/>
      </w:pPr>
      <w:r>
        <w:rPr>
          <w:b/>
          <w:bCs/>
          <w:color w:val="1F3864"/>
          <w:sz w:val="44"/>
          <w:szCs w:val="44"/>
        </w:rPr>
        <w:t>PRC-SUPPORTED SANCTIONS RESILIENCE:</w:t>
      </w:r>
    </w:p>
    <w:p w14:paraId="612BA5A7" w14:textId="77777777" w:rsidR="008B176B" w:rsidRDefault="009D00BC">
      <w:pPr>
        <w:spacing w:after="120"/>
        <w:jc w:val="center"/>
      </w:pPr>
      <w:r>
        <w:rPr>
          <w:b/>
          <w:bCs/>
          <w:color w:val="2E5F8A"/>
          <w:sz w:val="32"/>
          <w:szCs w:val="32"/>
        </w:rPr>
        <w:t>How U.S. Legal-Economic Statecraft Can Disrupt Shielded Partner-State Networks</w:t>
      </w:r>
    </w:p>
    <w:p w14:paraId="627ED8EC" w14:textId="77777777" w:rsidR="008B176B" w:rsidRDefault="009D00BC">
      <w:pPr>
        <w:spacing w:after="480"/>
        <w:jc w:val="center"/>
      </w:pPr>
      <w:r>
        <w:rPr>
          <w:b/>
          <w:bCs/>
          <w:color w:val="1F3864"/>
          <w:sz w:val="26"/>
          <w:szCs w:val="26"/>
        </w:rPr>
        <w:t>Collin Blaine George</w:t>
      </w:r>
    </w:p>
    <w:p w14:paraId="3754CD19" w14:textId="77777777" w:rsidR="008B176B" w:rsidRDefault="008B176B">
      <w:pPr>
        <w:pBdr>
          <w:bottom w:val="single" w:sz="6" w:space="1" w:color="2E5F8A"/>
        </w:pBdr>
        <w:spacing w:before="160" w:after="160"/>
      </w:pPr>
    </w:p>
    <w:p w14:paraId="4B4CF91F" w14:textId="77777777" w:rsidR="008B176B" w:rsidRDefault="008B176B">
      <w:pPr>
        <w:spacing w:before="40" w:after="40"/>
      </w:pPr>
    </w:p>
    <w:p w14:paraId="62FDE736" w14:textId="77777777" w:rsidR="008B176B" w:rsidRDefault="008B176B">
      <w:pPr>
        <w:spacing w:before="40" w:after="40"/>
      </w:pPr>
    </w:p>
    <w:p w14:paraId="419BF15D" w14:textId="77777777" w:rsidR="008B176B" w:rsidRDefault="009D00BC">
      <w:pPr>
        <w:spacing w:before="240" w:after="80"/>
        <w:jc w:val="center"/>
      </w:pPr>
      <w:r>
        <w:rPr>
          <w:b/>
          <w:bCs/>
          <w:color w:val="1F3864"/>
          <w:sz w:val="24"/>
          <w:szCs w:val="24"/>
        </w:rPr>
        <w:t>WP-2026-SHIELD-01</w:t>
      </w:r>
    </w:p>
    <w:p w14:paraId="16874219" w14:textId="77777777" w:rsidR="008B176B" w:rsidRDefault="009D00BC">
      <w:pPr>
        <w:spacing w:after="480"/>
        <w:jc w:val="center"/>
      </w:pPr>
      <w:r>
        <w:rPr>
          <w:color w:val="7F7F7F"/>
          <w:sz w:val="20"/>
          <w:szCs w:val="20"/>
        </w:rPr>
        <w:t xml:space="preserve">Companion to WP-2026-PERSIST-01 | WP-2026-CONTAIN-01 | </w:t>
      </w:r>
      <w:proofErr w:type="spellStart"/>
      <w:r>
        <w:rPr>
          <w:color w:val="7F7F7F"/>
          <w:sz w:val="20"/>
          <w:szCs w:val="20"/>
        </w:rPr>
        <w:t>WP-2026-MAXPRESS-01</w:t>
      </w:r>
      <w:proofErr w:type="spellEnd"/>
    </w:p>
    <w:p w14:paraId="5DFF6D3B" w14:textId="77777777" w:rsidR="008B176B" w:rsidRDefault="008B176B">
      <w:pPr>
        <w:spacing w:before="40" w:after="40"/>
      </w:pPr>
    </w:p>
    <w:p w14:paraId="2B0E5A75" w14:textId="77777777" w:rsidR="008B176B" w:rsidRDefault="008B176B">
      <w:pPr>
        <w:spacing w:before="40" w:after="40"/>
      </w:pPr>
    </w:p>
    <w:p w14:paraId="60B1152A" w14:textId="77777777" w:rsidR="008B176B" w:rsidRDefault="009D00BC">
      <w:pPr>
        <w:pBdr>
          <w:left w:val="single" w:sz="16" w:space="6" w:color="2E5F8A"/>
        </w:pBdr>
        <w:spacing w:before="240" w:after="80"/>
        <w:ind w:left="360"/>
      </w:pPr>
      <w:r>
        <w:rPr>
          <w:b/>
          <w:bCs/>
          <w:color w:val="1F3864"/>
        </w:rPr>
        <w:t>FRAMING NOTE</w:t>
      </w:r>
    </w:p>
    <w:p w14:paraId="0485E439" w14:textId="77777777" w:rsidR="008B176B" w:rsidRDefault="009D00BC">
      <w:pPr>
        <w:pBdr>
          <w:left w:val="single" w:sz="16" w:space="6" w:color="2E5F8A"/>
        </w:pBdr>
        <w:spacing w:after="80"/>
        <w:ind w:left="360"/>
      </w:pPr>
      <w:r>
        <w:rPr>
          <w:sz w:val="21"/>
          <w:szCs w:val="21"/>
        </w:rPr>
        <w:t>This paper is an independent public-policy synthesis. It evaluates publicly available statutory, regulatory, and institutional authorities. It does not direct covert action, battlefield targeting, or operational military planning. It does not recommend indiscriminate measures against civilian populations or lawful civilian commerce. It distinguishes legal availability from policy desirability. Every instrument discussed is grounded in existing public authorities; every assessment is confidence-labeled and q</w:t>
      </w:r>
      <w:r>
        <w:rPr>
          <w:sz w:val="21"/>
          <w:szCs w:val="21"/>
        </w:rPr>
        <w:t>ualified. Nothing in this paper constitutes legal advice, intelligence community guidance, or government policy direction.</w:t>
      </w:r>
    </w:p>
    <w:p w14:paraId="1F910AC4" w14:textId="77777777" w:rsidR="008B176B" w:rsidRDefault="009D00BC">
      <w:pPr>
        <w:pBdr>
          <w:left w:val="single" w:sz="16" w:space="6" w:color="2E5F8A"/>
        </w:pBdr>
        <w:spacing w:after="240"/>
        <w:ind w:left="360"/>
      </w:pPr>
      <w:r>
        <w:rPr>
          <w:sz w:val="21"/>
          <w:szCs w:val="21"/>
        </w:rPr>
        <w:t>This paper does not provide: battlefield targeting guidance, covert-action design, sabotage concepts, classified collection plans, operational military seizure concepts, or assumptions of unrestricted wartime authority. Those categories are explicitly outside scope.</w:t>
      </w:r>
    </w:p>
    <w:p w14:paraId="1A56D38D" w14:textId="77777777" w:rsidR="008B176B" w:rsidRDefault="009D00BC">
      <w:r>
        <w:br w:type="page"/>
      </w:r>
    </w:p>
    <w:p w14:paraId="0FFE939B" w14:textId="77777777" w:rsidR="008B176B" w:rsidRDefault="009D00BC">
      <w:pPr>
        <w:pStyle w:val="Heading1"/>
      </w:pPr>
      <w:r>
        <w:lastRenderedPageBreak/>
        <w:t>EXECUTIVE SUMMARY — KEY JUDGMENTS</w:t>
      </w:r>
    </w:p>
    <w:p w14:paraId="34714A72" w14:textId="77777777" w:rsidR="008B176B" w:rsidRDefault="009D00BC">
      <w:pPr>
        <w:spacing w:before="80" w:after="80"/>
      </w:pPr>
      <w:r>
        <w:t>These key judgments are confidence-labeled consistent with ODNI analytic standards. Confidence reflects the quality and independence of the available open-source evidentiary record, not the subjective certainty of the analyst. Each judgment distinguishes observed patterns from inferred strategic effects.</w:t>
      </w:r>
    </w:p>
    <w:p w14:paraId="7941C689" w14:textId="77777777" w:rsidR="008B176B" w:rsidRDefault="008B176B">
      <w:pPr>
        <w:spacing w:before="40" w:after="40"/>
      </w:pPr>
    </w:p>
    <w:p w14:paraId="6B6A6EC7" w14:textId="77777777" w:rsidR="008B176B" w:rsidRDefault="009D00BC">
      <w:pPr>
        <w:spacing w:before="120"/>
      </w:pPr>
      <w:r>
        <w:rPr>
          <w:b/>
          <w:bCs/>
          <w:color w:val="1F3864"/>
        </w:rPr>
        <w:t xml:space="preserve">KJ 1  </w:t>
      </w:r>
      <w:r>
        <w:rPr>
          <w:b/>
          <w:bCs/>
          <w:color w:val="FFFFFF"/>
          <w:sz w:val="20"/>
          <w:szCs w:val="20"/>
          <w:shd w:val="clear" w:color="auto" w:fill="2E5F8A"/>
        </w:rPr>
        <w:t>[MODERATE CONFIDENCE]</w:t>
      </w:r>
    </w:p>
    <w:p w14:paraId="6D28AF9E" w14:textId="77777777" w:rsidR="008B176B" w:rsidRDefault="009D00BC">
      <w:pPr>
        <w:pBdr>
          <w:left w:val="single" w:sz="12" w:space="4" w:color="2E5F8A"/>
        </w:pBdr>
        <w:spacing w:before="40" w:after="120"/>
        <w:ind w:left="360"/>
      </w:pPr>
      <w:r>
        <w:t>The available open-source enforcement record supports the assessment that the problem is structural rather than episodic. Iran, Venezuela/Cuba, and DPRK are best assessed as sustaining sanctions evasion less through their own logistical capacity than through a layered enabling architecture of PRC-linked financing, shipping, trading, and market-absorption intermediaries. Fragmented country-by-country enforcement has consistently underperformed where it has addressed nodes rather than the network. Available e</w:t>
      </w:r>
      <w:r>
        <w:t>vidence does not show that any single designation wave, advisory, or secondary-sanctions cycle has durably degraded this architecture; the record indicates that enforcement directed at connective-tissue intermediaries — brokers, exchange operators, shadow maritime actors, logistics facilitators, and financial intermediaries — has been less consistent than enforcement directed at sanctioned-state actors directly.</w:t>
      </w:r>
    </w:p>
    <w:p w14:paraId="4CE62CD2" w14:textId="77777777" w:rsidR="008B176B" w:rsidRDefault="009D00BC">
      <w:pPr>
        <w:spacing w:before="120"/>
      </w:pPr>
      <w:r>
        <w:rPr>
          <w:b/>
          <w:bCs/>
          <w:color w:val="1F3864"/>
        </w:rPr>
        <w:t xml:space="preserve">KJ 2  </w:t>
      </w:r>
      <w:r>
        <w:rPr>
          <w:b/>
          <w:bCs/>
          <w:color w:val="FFFFFF"/>
          <w:sz w:val="20"/>
          <w:szCs w:val="20"/>
          <w:shd w:val="clear" w:color="auto" w:fill="2E5F8A"/>
        </w:rPr>
        <w:t>[MODERATE CONFIDENCE]</w:t>
      </w:r>
    </w:p>
    <w:p w14:paraId="355247D6" w14:textId="77777777" w:rsidR="008B176B" w:rsidRDefault="009D00BC">
      <w:pPr>
        <w:pBdr>
          <w:left w:val="single" w:sz="12" w:space="4" w:color="2E5F8A"/>
        </w:pBdr>
        <w:spacing w:before="40" w:after="120"/>
        <w:ind w:left="360"/>
      </w:pPr>
      <w:r>
        <w:t>Available enforcement-cycle evidence indicates that fragmented approaches underperform where OFAC, BIS, State, and allied counterparts act on separate timelines against separate target sets without synchronized observability metrics. The 2018-2020 Iran enforcement cycle produced documented revenue reduction in declared channels; the open-source record also shows accelerated shadow-fleet normalization, crypto-enabled settlement growth, and alternative clearing infrastructure development during the same perio</w:t>
      </w:r>
      <w:r>
        <w:t>d — each of which represents network adaptation to episodic pressure. The assessment that episodic enforcement calibrated to tolerable risk is a primary driver of underperformance is supported by this record, though alternative explanations — including domestic Iranian adaptation capacity — cannot be excluded on open sources alone.</w:t>
      </w:r>
    </w:p>
    <w:p w14:paraId="309AA486" w14:textId="77777777" w:rsidR="008B176B" w:rsidRDefault="009D00BC">
      <w:pPr>
        <w:spacing w:before="120"/>
      </w:pPr>
      <w:r>
        <w:rPr>
          <w:b/>
          <w:bCs/>
          <w:color w:val="1F3864"/>
        </w:rPr>
        <w:t xml:space="preserve">KJ 3  </w:t>
      </w:r>
      <w:r>
        <w:rPr>
          <w:b/>
          <w:bCs/>
          <w:color w:val="FFFFFF"/>
          <w:sz w:val="20"/>
          <w:szCs w:val="20"/>
          <w:shd w:val="clear" w:color="auto" w:fill="1F3864"/>
        </w:rPr>
        <w:t>[HIGH CONFIDENCE]</w:t>
      </w:r>
    </w:p>
    <w:p w14:paraId="37A682F8" w14:textId="77777777" w:rsidR="008B176B" w:rsidRDefault="009D00BC">
      <w:pPr>
        <w:pBdr>
          <w:left w:val="single" w:sz="12" w:space="4" w:color="2E5F8A"/>
        </w:pBdr>
        <w:spacing w:before="40" w:after="120"/>
        <w:ind w:left="360"/>
      </w:pPr>
      <w:r>
        <w:t xml:space="preserve">Existing public authorities already support a substantial pressure architecture. OFAC administers active sanctions programs for Iran, North Korea, Cuba, and Venezuela-related conduct. BIS administers the Entity List and end-use/end-user controls under the EAR, including treatment of Hong Kong transactions as PRC-destined. State maintains nonproliferation sanctions authority under INKSNA (which requires semiannual reporting to Congress under § 2(a) on transfers triggering its mandatory sanctions authority). </w:t>
      </w:r>
      <w:r>
        <w:t>CAATSA provides secondary sanctions authorities related to Iran, Russia, and North Korea. These authorities, used in sequence with maritime advisories, customs enforcement, coalition-conditioned pressure, and licensing discipline, constitute a significant toolkit. The paper does not argue for new statutory authority; it argues for coherent use of existing authority.</w:t>
      </w:r>
    </w:p>
    <w:p w14:paraId="09FB3937" w14:textId="77777777" w:rsidR="008B176B" w:rsidRDefault="009D00BC">
      <w:pPr>
        <w:spacing w:before="120"/>
      </w:pPr>
      <w:r>
        <w:rPr>
          <w:b/>
          <w:bCs/>
          <w:color w:val="1F3864"/>
        </w:rPr>
        <w:t xml:space="preserve">KJ 4  </w:t>
      </w:r>
      <w:r>
        <w:rPr>
          <w:b/>
          <w:bCs/>
          <w:color w:val="FFFFFF"/>
          <w:sz w:val="20"/>
          <w:szCs w:val="20"/>
          <w:shd w:val="clear" w:color="auto" w:fill="2E5F8A"/>
        </w:rPr>
        <w:t>[MODERATE CONFIDENCE]</w:t>
      </w:r>
    </w:p>
    <w:p w14:paraId="05CEB3A6" w14:textId="77777777" w:rsidR="008B176B" w:rsidRDefault="009D00BC">
      <w:pPr>
        <w:pBdr>
          <w:left w:val="single" w:sz="12" w:space="4" w:color="2E5F8A"/>
        </w:pBdr>
        <w:spacing w:before="40" w:after="120"/>
        <w:ind w:left="360"/>
      </w:pPr>
      <w:r>
        <w:t>Conduct-based pressure is more durable than indiscriminate pressure for three reasons. First, it survives legal and political challenge: designations grounded in documented enabling conduct withstand judicial review and coalition scrutiny in ways that nationality-based or sector-wide measures do not. Second, it preserves coalition participation: allied governments can coordinate on conduct-based enforcement where they cannot coordinate on measures that implicate their own commercial relationships with China</w:t>
      </w:r>
      <w:r>
        <w:t xml:space="preserve"> broadly. Third, it preserves U.S. monetary leverage: indiscriminate financial pressure accelerates the substitution of dollar-denominated infrastructure, while targeted conduct-based pressure does not produce the same incentive for structural evasion at scale.</w:t>
      </w:r>
    </w:p>
    <w:p w14:paraId="65CE916A" w14:textId="77777777" w:rsidR="008B176B" w:rsidRDefault="009D00BC">
      <w:pPr>
        <w:spacing w:before="120"/>
      </w:pPr>
      <w:r>
        <w:rPr>
          <w:b/>
          <w:bCs/>
          <w:color w:val="1F3864"/>
        </w:rPr>
        <w:t xml:space="preserve">KJ 5a  </w:t>
      </w:r>
      <w:r>
        <w:rPr>
          <w:b/>
          <w:bCs/>
          <w:color w:val="FFFFFF"/>
          <w:sz w:val="20"/>
          <w:szCs w:val="20"/>
          <w:shd w:val="clear" w:color="auto" w:fill="2E5F8A"/>
        </w:rPr>
        <w:t>[MODERATE CONFIDENCE — STEADY-STATE BASELINE]</w:t>
      </w:r>
    </w:p>
    <w:p w14:paraId="40AD6C7E" w14:textId="77777777" w:rsidR="008B176B" w:rsidRDefault="009D00BC">
      <w:pPr>
        <w:pBdr>
          <w:left w:val="single" w:sz="12" w:space="4" w:color="2E5F8A"/>
        </w:pBdr>
        <w:spacing w:before="40" w:after="120"/>
        <w:ind w:left="360"/>
      </w:pPr>
      <w:r>
        <w:lastRenderedPageBreak/>
        <w:t xml:space="preserve">The four partner-state nodes are distinct but strategically linked through enabling conduct. Iran functions as the energy, shadow-shipping, and regional-proxy-revenue node, with PRC-linked market absorption providing the essential </w:t>
      </w:r>
      <w:proofErr w:type="spellStart"/>
      <w:r>
        <w:t>offtake</w:t>
      </w:r>
      <w:proofErr w:type="spellEnd"/>
      <w:r>
        <w:t xml:space="preserve"> for sanctioned crude. Venezuela/Cuba functions as the energy-resale, licensing-circumvention, and political-sheltering node — note that the January 2026 change of circumstances (Maduro capture; GL 46/47 re-engagement window) does not dissolve this node's enabling-network logic; the PRC-linked shadow intermediary layer remains active and warrants continued enforcement attention regardless of the current licensing posture governing direct U.S.-person transactions. DPRK functions as the proliferation, </w:t>
      </w:r>
      <w:r>
        <w:t>sanctions-evasion, and high-risk-procurement node, with PRC-linked entities providing the dual-use technology and financial intermediation that sustains its weapons programs. Under steady-state conditions, the PRC-linked enabling layer is assessed as operating primarily at the Support and Enablement tiers of the state-nexus framework — commercial actors that benefit from and facilitate state objectives but are not directly tasked by the PRC state. This assessment carries moderate confidence on the available</w:t>
      </w:r>
      <w:r>
        <w:t xml:space="preserve"> open-source record.</w:t>
      </w:r>
    </w:p>
    <w:p w14:paraId="58280792" w14:textId="77777777" w:rsidR="008B176B" w:rsidRDefault="009D00BC">
      <w:pPr>
        <w:spacing w:before="120"/>
      </w:pPr>
      <w:r>
        <w:rPr>
          <w:b/>
          <w:bCs/>
          <w:color w:val="1F3864"/>
        </w:rPr>
        <w:t xml:space="preserve">KJ 5b  </w:t>
      </w:r>
      <w:r>
        <w:rPr>
          <w:b/>
          <w:bCs/>
          <w:color w:val="FFFFFF"/>
          <w:sz w:val="20"/>
          <w:szCs w:val="20"/>
          <w:shd w:val="clear" w:color="auto" w:fill="2E5F8A"/>
        </w:rPr>
        <w:t>[LOW-TO-MODERATE CONFIDENCE — CRISIS-CONTINGENCY UPDATE (MONITORED VARIABLE)]</w:t>
      </w:r>
    </w:p>
    <w:p w14:paraId="12B7582A" w14:textId="77777777" w:rsidR="008B176B" w:rsidRDefault="009D00BC">
      <w:pPr>
        <w:pBdr>
          <w:left w:val="single" w:sz="12" w:space="4" w:color="2E5F8A"/>
        </w:pBdr>
        <w:spacing w:before="40" w:after="120"/>
        <w:ind w:left="360"/>
      </w:pPr>
      <w:r>
        <w:t>The steady-state assessment in KJ 5a requires a crisis-contingency variant. Emerging open-source reporting as of Q1 2026 indicates that PRC enabling conduct may shift from commercial-intermediary behavior toward active state-directed facilitation under crisis conditions — specifically, selective passage and routing carve-outs for Iran-linked vessels that appear to reflect state-level coordination rather than commercial intermediary initiative. If confirmed, this pattern would represent movement toward the D</w:t>
      </w:r>
      <w:r>
        <w:t>irect Tasking tier of the state-nexus framework, which requires a materially different enforcement response than the Enablement-tier architecture is designed to address. This paper treats this pattern as a monitored variable at low-to-moderate confidence pending additional evidentiary development. Practitioners should apply updated confidence calibration as this evidence base matures. Policy implication: the existing Tier 3 guardrail architecture is designed to prevent over-escalation against commercial PRC</w:t>
      </w:r>
      <w:r>
        <w:t xml:space="preserve"> actors. If Direct Tasking conduct is confirmed, that architecture requires a carve-out — a separate decision-authority track with a higher evidentiary threshold and Principals-level authorization — that this paper flags as a pending design requirement rather than a resolved element of the framework.</w:t>
      </w:r>
    </w:p>
    <w:p w14:paraId="1EBDFADB" w14:textId="77777777" w:rsidR="008B176B" w:rsidRDefault="009D00BC">
      <w:pPr>
        <w:spacing w:before="120"/>
      </w:pPr>
      <w:r>
        <w:rPr>
          <w:b/>
          <w:bCs/>
          <w:color w:val="1F3864"/>
        </w:rPr>
        <w:t xml:space="preserve">KJ 6  </w:t>
      </w:r>
      <w:r>
        <w:rPr>
          <w:b/>
          <w:bCs/>
          <w:color w:val="FFFFFF"/>
          <w:sz w:val="20"/>
          <w:szCs w:val="20"/>
          <w:shd w:val="clear" w:color="auto" w:fill="2E5F8A"/>
        </w:rPr>
        <w:t>[MODERATE CONFIDENCE]</w:t>
      </w:r>
    </w:p>
    <w:p w14:paraId="794D74DA" w14:textId="77777777" w:rsidR="008B176B" w:rsidRDefault="009D00BC">
      <w:pPr>
        <w:pBdr>
          <w:left w:val="single" w:sz="12" w:space="4" w:color="2E5F8A"/>
        </w:pBdr>
        <w:spacing w:before="40" w:after="120"/>
        <w:ind w:left="360"/>
      </w:pPr>
      <w:r>
        <w:t>Coalition discipline is assessed as a necessary — though not sufficient — condition for sustained pressure over a 24-60 month horizon. Measures that treat allied governments' legitimate commercial relationships as equivalent to sanctioned-conduct facilitation, or that impose secondary-sanctions exposure without adequate coordination, introduce coalition fracture risk that the available record shows has degraded enforcement durability in prior cycles. The live contradiction between technology-denial coordina</w:t>
      </w:r>
      <w:r>
        <w:t>tion requirements and simultaneous trade friction with the same partners (Netherlands, Japan, South Korea) represents the largest identified implementation gap. This paper proposes a resolution: a Coalition Conflict Resolution Protocol that establishes explicit priority rules — technology-denial coordination takes precedence over tariff escalation in coalition-sensitive domains, with a mandatory interagency review window before tariff actions affecting primary technology-denial partners. See Section IV.A. T</w:t>
      </w:r>
      <w:r>
        <w:t>his mechanism does not currently exist in the published policy architecture; the protocol is an original contribution of this paper.</w:t>
      </w:r>
    </w:p>
    <w:p w14:paraId="2B88D279" w14:textId="77777777" w:rsidR="008B176B" w:rsidRDefault="009D00BC">
      <w:pPr>
        <w:spacing w:before="120"/>
      </w:pPr>
      <w:r>
        <w:rPr>
          <w:b/>
          <w:bCs/>
          <w:color w:val="1F3864"/>
        </w:rPr>
        <w:t xml:space="preserve">KJ 7  </w:t>
      </w:r>
      <w:r>
        <w:rPr>
          <w:b/>
          <w:bCs/>
          <w:color w:val="FFFFFF"/>
          <w:sz w:val="20"/>
          <w:szCs w:val="20"/>
          <w:shd w:val="clear" w:color="auto" w:fill="2E5F8A"/>
        </w:rPr>
        <w:t>[MODERATE CONFIDENCE]</w:t>
      </w:r>
    </w:p>
    <w:p w14:paraId="3AFF286D" w14:textId="77777777" w:rsidR="008B176B" w:rsidRDefault="009D00BC">
      <w:pPr>
        <w:pBdr>
          <w:left w:val="single" w:sz="12" w:space="4" w:color="2E5F8A"/>
        </w:pBdr>
        <w:spacing w:before="40" w:after="120"/>
        <w:ind w:left="360"/>
      </w:pPr>
      <w:r>
        <w:t>The principal constraints are real and should be stated plainly: dollar-reserve share trajectory limits the speed of financial escalation; coalition endurance limits secondary-sanctions ambition; evidentiary thresholds limit designation volume; and substitution dynamics limit the durability of any single enforcement lane. This paper does not claim that the available toolkit can guarantee collapse of target networks, total cutoff of PRC-linked market absorption, or one-for-one causal linkage between any sing</w:t>
      </w:r>
      <w:r>
        <w:t xml:space="preserve">le enforcement action and any specific strategic behavior change. It claims the </w:t>
      </w:r>
      <w:r>
        <w:lastRenderedPageBreak/>
        <w:t>toolkit can raise cost, increase latency, force rerouting, degrade reliability, and sustain compliance pressure — which is a durable and measurable definition of success.</w:t>
      </w:r>
    </w:p>
    <w:p w14:paraId="69BEA77A" w14:textId="77777777" w:rsidR="008B176B" w:rsidRDefault="009D00BC">
      <w:r>
        <w:br w:type="page"/>
      </w:r>
    </w:p>
    <w:p w14:paraId="522BD0E8" w14:textId="77777777" w:rsidR="008B176B" w:rsidRDefault="009D00BC">
      <w:pPr>
        <w:pStyle w:val="Heading1"/>
      </w:pPr>
      <w:r>
        <w:lastRenderedPageBreak/>
        <w:t>SCOPE AND METHOD</w:t>
      </w:r>
    </w:p>
    <w:p w14:paraId="75FA2919" w14:textId="77777777" w:rsidR="008B176B" w:rsidRDefault="009D00BC">
      <w:pPr>
        <w:spacing w:before="80" w:after="80"/>
      </w:pPr>
      <w:r>
        <w:t>This paper synthesizes publicly available statutory, regulatory, and institutional enforcement architecture. It does not reproduce classified intelligence, claim access to nonpublic agency guidance, or assert that its assessments are equivalent to official government findings. All authority citations are drawn from publicly available U.S. federal law, executive orders, agency guidance documents, and published enforcement actions.</w:t>
      </w:r>
    </w:p>
    <w:p w14:paraId="1907959A" w14:textId="77777777" w:rsidR="008B176B" w:rsidRDefault="008B176B">
      <w:pPr>
        <w:spacing w:before="40" w:after="40"/>
      </w:pPr>
    </w:p>
    <w:p w14:paraId="5302EF9D" w14:textId="77777777" w:rsidR="008B176B" w:rsidRDefault="009D00BC">
      <w:pPr>
        <w:spacing w:before="80" w:after="80"/>
      </w:pPr>
      <w:r>
        <w:t>The paper distinguishes throughout: law from policy preference; observed network conduct from inferred strategic effect; evidentiary basis from analytical inference; and legal availability of an instrument from the policy judgment about whether using it is wise.</w:t>
      </w:r>
    </w:p>
    <w:p w14:paraId="32AF3C7E" w14:textId="77777777" w:rsidR="008B176B" w:rsidRDefault="008B176B">
      <w:pPr>
        <w:spacing w:before="40" w:after="40"/>
      </w:pPr>
    </w:p>
    <w:p w14:paraId="07B07B2E" w14:textId="77777777" w:rsidR="008B176B" w:rsidRDefault="009D00BC">
      <w:pPr>
        <w:spacing w:before="80" w:after="80"/>
      </w:pPr>
      <w:r>
        <w:t>Evidentiary categories follow the structured framework established in the companion papers. The Four-Level State Nexus Framework (WP-2026) distinguishes Presence, Linkage, Support, and Direct Tasking for attribution analysis. The Five-Rung Commercial State Nexus Ladder (WP-2026-CSE-01) adds Enablement as a distinct category — the rung that captures actors who actively facilitate state operational requirements through commercial cover, where the entity's structure provides concealment value the state could n</w:t>
      </w:r>
      <w:r>
        <w:t>ot easily replicate directly. These categories govern how actors are classified throughout this paper, and that classification governs what instrument is appropriate.</w:t>
      </w:r>
    </w:p>
    <w:p w14:paraId="1872392E" w14:textId="77777777" w:rsidR="008B176B" w:rsidRDefault="008B176B">
      <w:pPr>
        <w:spacing w:before="40" w:after="40"/>
      </w:pPr>
    </w:p>
    <w:p w14:paraId="7108464A" w14:textId="77777777" w:rsidR="008B176B" w:rsidRDefault="009D00BC">
      <w:pPr>
        <w:spacing w:before="80" w:after="80"/>
      </w:pPr>
      <w:r>
        <w:t>The paper privileges conduct-based, review-resistant measures over maximalist approaches. This reflects both legal durability — evidence-gated designations survive APA challenge where nationality-based or unsupported measures do not — and coalition durability — allied governments can sustain coordination on conduct-based enforcement where broader measures would fracture participation. Every pressure instrument discussed is assessed against: what it can reach, what evidentiary burden it requires, what its pr</w:t>
      </w:r>
      <w:r>
        <w:t>incipal limits are, and what conditions support suspension or reversal. One analytical construct note: the 'confirmed-attribution' and 'Material Enabling Behavior' standards applied throughout this paper as durability planning benchmarks are this paper's analytical constructs, not statements of the applicable legal threshold under any specific authority. Agencies retain full discretion to apply the applicable statutory standard; these constructs describe the evidentiary quality threshold that the paper judg</w:t>
      </w:r>
      <w:r>
        <w:t>es produces litigation-resilient records.</w:t>
      </w:r>
    </w:p>
    <w:p w14:paraId="657D8801" w14:textId="77777777" w:rsidR="008B176B" w:rsidRDefault="009D00BC">
      <w:r>
        <w:br w:type="page"/>
      </w:r>
    </w:p>
    <w:p w14:paraId="1BD7899F" w14:textId="77777777" w:rsidR="008B176B" w:rsidRDefault="009D00BC">
      <w:pPr>
        <w:pStyle w:val="Heading1"/>
      </w:pPr>
      <w:r>
        <w:lastRenderedPageBreak/>
        <w:t>SECTION I — THE SHIELDED PARTNER-STATE NETWORK</w:t>
      </w:r>
    </w:p>
    <w:p w14:paraId="36C76AE2" w14:textId="77777777" w:rsidR="008B176B" w:rsidRDefault="009D00BC">
      <w:pPr>
        <w:spacing w:before="80" w:after="80"/>
      </w:pPr>
      <w:r>
        <w:t>The sanctioned states addressed in this paper — Iran, Venezuela/Cuba, and DPRK — differ in their strategic objectives, domestic political structures, and the specific character of their sanctions-evasion networks. The open-source record supports the working assessment that each relies to a meaningful degree on external facilitation — financing, market absorption, logistics, technology access, and political cover — that each partner state would have difficulty sustaining domestically at current scale. That e</w:t>
      </w:r>
      <w:r>
        <w:t>nabling layer is the subject of this paper. This working assessment is bounded by open-source evidentiary limits. Classified intelligence, if available to the reader, should take precedence over the confidence levels assigned here.</w:t>
      </w:r>
    </w:p>
    <w:p w14:paraId="1B5C3CF1" w14:textId="77777777" w:rsidR="008B176B" w:rsidRDefault="008B176B">
      <w:pPr>
        <w:spacing w:before="40" w:after="40"/>
      </w:pPr>
    </w:p>
    <w:p w14:paraId="3C9A9F0D" w14:textId="77777777" w:rsidR="008B176B" w:rsidRDefault="009D00BC">
      <w:pPr>
        <w:spacing w:before="80" w:after="80"/>
      </w:pPr>
      <w:r>
        <w:t>This section maps each node by function. The purpose is not to conflate them — the legal frameworks governing pressure on each are distinct, and the enforcement history is different — but to show how they are strategically linked through PRC-adjacent enabling conduct, and why a paper that addresses only one node at a time systematically underestimates the architecture that sustains all three.</w:t>
      </w:r>
    </w:p>
    <w:p w14:paraId="12D483BA" w14:textId="77777777" w:rsidR="008B176B" w:rsidRDefault="009D00BC">
      <w:pPr>
        <w:pStyle w:val="Heading2"/>
      </w:pPr>
      <w:r>
        <w:t>I.A  Iran — Energy, Shadow-Shipping, Procurement, and Regional Revenue</w:t>
      </w:r>
    </w:p>
    <w:p w14:paraId="7DCE2D6A" w14:textId="77777777" w:rsidR="008B176B" w:rsidRDefault="009D00BC">
      <w:pPr>
        <w:spacing w:before="80" w:after="80"/>
      </w:pPr>
      <w:r>
        <w:t xml:space="preserve">Observed: Iran's primary sanctions-evasion strategy operates through shadow-fleet crude exports, predominantly absorbed by PRC-linked buyers — including Zhuhai </w:t>
      </w:r>
      <w:proofErr w:type="spellStart"/>
      <w:r>
        <w:t>Zhenrong</w:t>
      </w:r>
      <w:proofErr w:type="spellEnd"/>
      <w:r>
        <w:t xml:space="preserve">, </w:t>
      </w:r>
      <w:proofErr w:type="spellStart"/>
      <w:r>
        <w:t>Chinaoil</w:t>
      </w:r>
      <w:proofErr w:type="spellEnd"/>
      <w:r>
        <w:t>, and smaller independent refiners — at discounted prices that provide Iran with hard-currency revenue despite formal market exclusion. OFAC's July 2025 designation of 115+ Iranian shipping entities and the April 2025 maritime guidance on deceptive shipping practices reflect the scale of this network. The shadow fleet sustains the network through AIS manipulation, ship-to-ship transfer, multi-flag cycling, and repeated vessel renaming, with enabling services provided by classification soci</w:t>
      </w:r>
      <w:r>
        <w:t>eties, insurance intermediaries, and port agents in jurisdictions including the UAE, Oman, Iraq, and China.</w:t>
      </w:r>
    </w:p>
    <w:p w14:paraId="69B13A36" w14:textId="77777777" w:rsidR="008B176B" w:rsidRDefault="008B176B">
      <w:pPr>
        <w:spacing w:before="40" w:after="40"/>
      </w:pPr>
    </w:p>
    <w:p w14:paraId="4F130973" w14:textId="77777777" w:rsidR="008B176B" w:rsidRDefault="009D00BC">
      <w:pPr>
        <w:spacing w:before="80" w:after="80"/>
      </w:pPr>
      <w:r>
        <w:t xml:space="preserve">Assessment: Iran's energy-revenue node is the financial foundation for its regional proxy architecture — IRGC </w:t>
      </w:r>
      <w:proofErr w:type="spellStart"/>
      <w:r>
        <w:t>Quds</w:t>
      </w:r>
      <w:proofErr w:type="spellEnd"/>
      <w:r>
        <w:t xml:space="preserve"> Force operations, </w:t>
      </w:r>
      <w:proofErr w:type="spellStart"/>
      <w:r>
        <w:t>Hizballah</w:t>
      </w:r>
      <w:proofErr w:type="spellEnd"/>
      <w:r>
        <w:t xml:space="preserve"> support, and Houthi logistics. Revenue degradation in this node produces downstream effects on proxy capacity, though the causal chain is indirect and not one-for-one. PRC-linked market absorption is the enabling variable: without it, the volume of sanctioned crude that Iran can move is substantially constrained.</w:t>
      </w:r>
    </w:p>
    <w:p w14:paraId="285E66D5" w14:textId="77777777" w:rsidR="008B176B" w:rsidRDefault="008B176B">
      <w:pPr>
        <w:spacing w:before="40" w:after="40"/>
      </w:pPr>
    </w:p>
    <w:p w14:paraId="489BBBFD" w14:textId="77777777" w:rsidR="008B176B" w:rsidRDefault="009D00BC">
      <w:pPr>
        <w:spacing w:before="80" w:after="80"/>
      </w:pPr>
      <w:r>
        <w:t>Constraint: PRC sovereign interests in discounted Iranian crude are real and operate at the state level. The relevant target is not PRC energy policy but the specific commercial intermediaries, financial facilitators, shipping operators, and brokers who provide enabling services — most of whom are not state-directed actors at the Direct Tasking level and are appropriately assessed at Support or Enablement under the nexus framework.</w:t>
      </w:r>
    </w:p>
    <w:p w14:paraId="1987C51C" w14:textId="77777777" w:rsidR="008B176B" w:rsidRDefault="009D00BC">
      <w:pPr>
        <w:pStyle w:val="Heading2"/>
      </w:pPr>
      <w:r>
        <w:t>I.B  Venezuela / Cuba — Energy Resale, Licensing, Circumvention, and Political Sheltering</w:t>
      </w:r>
    </w:p>
    <w:p w14:paraId="08A181BE" w14:textId="77777777" w:rsidR="008B176B" w:rsidRDefault="009D00BC">
      <w:pPr>
        <w:spacing w:before="80" w:after="80"/>
      </w:pPr>
      <w:r>
        <w:t>Observed: Venezuela functions simultaneously as a crude producer, sanctions-circumvention corridor, and political-alignment node. PRC-linked entities — including CNPC and affiliated trading companies — maintain significant Venezuelan crude absorption, providing PDVSA with hard-currency revenue despite U.S. sanctions. Cuba receives a portion of this revenue through Venezuelan crude resale arrangements. OFAC's Venezuela sanctions program remains active. Currency note: Following the January 2026 capture of Nic</w:t>
      </w:r>
      <w:r>
        <w:t>olás Maduro and subsequent issuance of General Licenses 46 and 47 authorizing limited Venezuelan oil-trade re-engagement by established U.S. entities, the Venezuela licensing architecture is in active recalibration as of the date of this paper. The foundational blocking authority — E.O.s 13884, 13850, and successor orders — remains in force. Readers should verify current General License scope against OFAC's Venezuela-related sanctions page (ofac.treasury.gov) before relying on any specific license reference</w:t>
      </w:r>
      <w:r>
        <w:t>.</w:t>
      </w:r>
    </w:p>
    <w:p w14:paraId="36FAFCD6" w14:textId="77777777" w:rsidR="008B176B" w:rsidRDefault="008B176B">
      <w:pPr>
        <w:spacing w:before="40" w:after="40"/>
      </w:pPr>
    </w:p>
    <w:p w14:paraId="55C27B07" w14:textId="77777777" w:rsidR="008B176B" w:rsidRDefault="009D00BC">
      <w:pPr>
        <w:spacing w:before="80" w:after="80"/>
      </w:pPr>
      <w:r>
        <w:t>Analytical update — GL conditionality as active enforcement lever: The GL 46/47 recalibration creates a new pressure mechanism that the pre-January 2026 framework did not capture. As legitimate U.S. entity participation in Venezuelan oil trade expands under GL conditionality, the PRC-linked shadow intermediary layer that previously absorbed PDVSA crude under sanctions becomes economically competitive with compliant re-engagement. This creates a structural choice for actors in that layer: compliance with the</w:t>
      </w:r>
      <w:r>
        <w:t xml:space="preserve"> GL conditions (which require contract terms governed by U.S. law and dispute resolution under U.S. jurisdiction) is now the economically rational option for actors who want continued access to the expanding legitimate market. GL conditions can therefore be used actively — structured to make compliance the rational choice for the shadow layer — rather than passively as a carve-out management tool. This is a distinct enforcement lever: instead of designating shadow intermediaries out of the market, the GL ar</w:t>
      </w:r>
      <w:r>
        <w:t>chitecture can price them into compliance. The PRC-linked facilitators who persist in evasion despite expanded legitimate channels are a higher-priority designation target precisely because their continued evasion is now a choice rather than a necessity.</w:t>
      </w:r>
    </w:p>
    <w:p w14:paraId="20F69ADB" w14:textId="77777777" w:rsidR="008B176B" w:rsidRDefault="008B176B">
      <w:pPr>
        <w:spacing w:before="40" w:after="40"/>
      </w:pPr>
    </w:p>
    <w:p w14:paraId="2F9F78D5" w14:textId="77777777" w:rsidR="008B176B" w:rsidRDefault="009D00BC">
      <w:pPr>
        <w:spacing w:before="80" w:after="80"/>
      </w:pPr>
      <w:r>
        <w:t>Assessment: The Venezuela/Cuba corridor is less economically significant than the Iran corridor but strategically significant as a political-sheltering node. Both governments provide diplomatic cover for PRC-adjacent actors in multilateral settings, reducing the effectiveness of coalition-based pressure in UN Security Council forums. The economic relationship creates asymmetric leverage: Venezuelan dependence on PRC-linked market absorption makes Caracas more susceptible to pressure on the enabling intermed</w:t>
      </w:r>
      <w:r>
        <w:t>iaries than Havana, which operates primarily on political logic.</w:t>
      </w:r>
    </w:p>
    <w:p w14:paraId="13EB62D7" w14:textId="77777777" w:rsidR="008B176B" w:rsidRDefault="008B176B">
      <w:pPr>
        <w:spacing w:before="40" w:after="40"/>
      </w:pPr>
    </w:p>
    <w:p w14:paraId="483B9551" w14:textId="77777777" w:rsidR="008B176B" w:rsidRDefault="009D00BC">
      <w:pPr>
        <w:spacing w:before="80" w:after="80"/>
      </w:pPr>
      <w:r>
        <w:t>Constraint: OFAC General Licenses govern humanitarian flows to both Venezuela and Cuba. Any pressure architecture must maintain humanitarian carve-outs that protect legitimate civilian transactions, including medical, food, and personal remittance channels. The risk of sanctions overreach in this corridor producing humanitarian harm is real and must be managed through careful license architecture.</w:t>
      </w:r>
    </w:p>
    <w:p w14:paraId="30DC1BA5" w14:textId="77777777" w:rsidR="008B176B" w:rsidRDefault="009D00BC">
      <w:pPr>
        <w:pStyle w:val="Heading2"/>
      </w:pPr>
      <w:r>
        <w:t>I.C  DPRK — Proliferation, Sanctions Evasion, and Procurement Risk</w:t>
      </w:r>
    </w:p>
    <w:p w14:paraId="071D4CE8" w14:textId="77777777" w:rsidR="008B176B" w:rsidRDefault="009D00BC">
      <w:pPr>
        <w:spacing w:before="80" w:after="80"/>
      </w:pPr>
      <w:r>
        <w:t xml:space="preserve">Observed: DPRK represents the network's highest-risk node from a nonproliferation perspective. Its weapons programs depend on access to dual-use technology, precision manufacturing equipment, and specialized components that originate predominantly through PRC-linked procurement channels. The DPRK Lazarus Group and related cyber actors supplement procurement revenue through cryptocurrency theft — figures from published </w:t>
      </w:r>
      <w:proofErr w:type="spellStart"/>
      <w:r>
        <w:t>Chainalysis</w:t>
      </w:r>
      <w:proofErr w:type="spellEnd"/>
      <w:r>
        <w:t xml:space="preserve"> annual crypto crime reporting have ranged from several hundred million to over one billion USD in recent years, varying materially by year and methodology — providing hard currency outside conventional financial channels. Ship-to-ship transfer of petroleum products and coal exports sustain basic economic function in defiance of UN Security Council resolutions.</w:t>
      </w:r>
    </w:p>
    <w:p w14:paraId="0A1C0A18" w14:textId="77777777" w:rsidR="008B176B" w:rsidRDefault="008B176B">
      <w:pPr>
        <w:spacing w:before="40" w:after="40"/>
      </w:pPr>
    </w:p>
    <w:p w14:paraId="70BBFBD4" w14:textId="77777777" w:rsidR="008B176B" w:rsidRDefault="009D00BC">
      <w:pPr>
        <w:spacing w:before="80" w:after="80"/>
      </w:pPr>
      <w:r>
        <w:t>Assessment: DPRK's economic scale is small relative to Iran or Venezuela, but its proliferation risk is disproportionate. PRC-linked entities that enable DPRK dual-use procurement are subject to NKSPEA authorities and BIS Entity List exposure, and the evidentiary record for several documented PRC-linked DPRK procurement intermediaries is sufficient to support designation analysis at the Support or Enablement level. The principal constraint is that designation of entities with significant PRC state adjacency</w:t>
      </w:r>
      <w:r>
        <w:t xml:space="preserve"> requires graduated evidentiary development and coalition-risk review before Tier 2 action.</w:t>
      </w:r>
    </w:p>
    <w:p w14:paraId="76B8EE4C" w14:textId="77777777" w:rsidR="008B176B" w:rsidRDefault="008B176B">
      <w:pPr>
        <w:spacing w:before="40" w:after="40"/>
      </w:pPr>
    </w:p>
    <w:p w14:paraId="2F9AC43C" w14:textId="77777777" w:rsidR="008B176B" w:rsidRDefault="009D00BC">
      <w:pPr>
        <w:spacing w:before="80" w:after="80"/>
      </w:pPr>
      <w:r>
        <w:t>Constraint: DPRK's closed-loop substitution capacity — the ability to replace designated intermediaries through new shell structures — is high. Designation without simultaneous procurement-denial, cryptocurrency enforcement, and coalition alignment tends to produce network reconstitution faster than the designation pipeline operates. The sequencing logic in Section III is designed specifically to address this problem.</w:t>
      </w:r>
    </w:p>
    <w:p w14:paraId="5F66F78E" w14:textId="77777777" w:rsidR="008B176B" w:rsidRDefault="009D00BC">
      <w:pPr>
        <w:pStyle w:val="Heading2"/>
      </w:pPr>
      <w:r>
        <w:t>I.D  PRC-Linked Enablers — Financing, Logistics, Trading, Technology, and Market Absorption</w:t>
      </w:r>
    </w:p>
    <w:p w14:paraId="0C33E08D" w14:textId="77777777" w:rsidR="008B176B" w:rsidRDefault="009D00BC">
      <w:pPr>
        <w:spacing w:before="80" w:after="80"/>
      </w:pPr>
      <w:r>
        <w:t>Observed: The PRC-linked enabling layer is not a monolith. It ranges from entities with documented Direct Tasking relationships to state operational requirements, to entities at the Enablement level whose commercial structures provide concealment utility, to entities at the Support level who receive state-adjacent benefit without direct operational integration, to entities at the Linkage level who are commercially proximate to sanctioned activity without documented facilitation. The enforcement and attribut</w:t>
      </w:r>
      <w:r>
        <w:t>ion error most damaging to sustained pressure is treating all PRC-linked commercial actors as equivalent — collapsing Presence into Direct Tasking — because it produces over-broad designations that fail legal challenge and fracture coalition participation simultaneously.</w:t>
      </w:r>
    </w:p>
    <w:p w14:paraId="3D3A2C28" w14:textId="77777777" w:rsidR="008B176B" w:rsidRDefault="008B176B">
      <w:pPr>
        <w:spacing w:before="40" w:after="40"/>
      </w:pPr>
    </w:p>
    <w:p w14:paraId="7BBCD770" w14:textId="77777777" w:rsidR="008B176B" w:rsidRDefault="009D00BC">
      <w:pPr>
        <w:spacing w:before="80" w:after="80"/>
      </w:pPr>
      <w:r>
        <w:t xml:space="preserve">Assessment [MODERATE CONFIDENCE]: The open-source record supports the assessment that the strategically significant target set is the Enablement tier — entities whose commercial structure is assessed as specifically integrated into sanctioned-state operational requirements and whose structure provides concealment or jurisdictional insulation the state would have difficulty easily replicating. The record suggests this includes: shipping intermediaries providing flag-cycling, vessel-management, and insurance </w:t>
      </w:r>
      <w:r>
        <w:t>services for shadow-fleet operations; trading houses absorbing sanctioned-origin crude on behalf of PRC-linked downstream refiners; financial institutions processing NIOC purchase payments through non-USD settlement channels; and technology brokers procuring dual-use components for DPRK or Iranian programs through non-PRC legal personalities. These functional assessments are drawn from open-source enforcement records and should be corroborated before supporting designation analysis.</w:t>
      </w:r>
    </w:p>
    <w:p w14:paraId="16A1ECE2" w14:textId="77777777" w:rsidR="008B176B" w:rsidRDefault="008B176B">
      <w:pPr>
        <w:spacing w:before="40" w:after="40"/>
      </w:pPr>
    </w:p>
    <w:p w14:paraId="5D09640E" w14:textId="77777777" w:rsidR="008B176B" w:rsidRDefault="009D00BC">
      <w:pPr>
        <w:spacing w:before="80" w:after="80"/>
      </w:pPr>
      <w:r>
        <w:t>Burden of proof note: Commercial presence in PRC jurisdiction does not establish facilitation. PRC-linked ownership does not establish sovereign control. The evidentiary record must independently support the functional-integration and concealment-utility findings that distinguish Enablement from Support before enforcement action is warranted. Enforcement calibrated below this standard produces the designation failures and adverse precedent that undermine future legitimate actions.</w:t>
      </w:r>
    </w:p>
    <w:p w14:paraId="4C5051A4" w14:textId="77777777" w:rsidR="008B176B" w:rsidRDefault="009D00BC">
      <w:r>
        <w:br w:type="page"/>
      </w:r>
    </w:p>
    <w:p w14:paraId="4058D147" w14:textId="77777777" w:rsidR="008B176B" w:rsidRDefault="009D00BC">
      <w:pPr>
        <w:pStyle w:val="Heading1"/>
      </w:pPr>
      <w:r>
        <w:t>SECTION II — THE FULL AVAILABLE PUBLIC-LAW TOOLKIT</w:t>
      </w:r>
    </w:p>
    <w:p w14:paraId="2A615C53" w14:textId="77777777" w:rsidR="008B176B" w:rsidRDefault="009D00BC">
      <w:pPr>
        <w:spacing w:before="80" w:after="80"/>
      </w:pPr>
      <w:r>
        <w:t>This section maps the publicly available legal-economic instruments across six domains. For each instrument, the analysis uses four consistent subheadings: observed public authority, what it can reach, what evidentiary burden usually applies, and principal limits. The purpose is to eliminate ambiguity about the toolkit — not to argue that every instrument should be used in every circumstance, but to ensure that practitioners and analysts have a clear map of what exists, what conditions it requires, and what</w:t>
      </w:r>
      <w:r>
        <w:t xml:space="preserve"> its limits are.</w:t>
      </w:r>
    </w:p>
    <w:p w14:paraId="741F9339" w14:textId="77777777" w:rsidR="008B176B" w:rsidRDefault="008B176B">
      <w:pPr>
        <w:spacing w:before="40" w:after="40"/>
      </w:pPr>
    </w:p>
    <w:p w14:paraId="7A5FDEF3" w14:textId="77777777" w:rsidR="008B176B" w:rsidRDefault="009D00BC">
      <w:pPr>
        <w:spacing w:before="80" w:after="80"/>
      </w:pPr>
      <w:r>
        <w:t>This section should be read alongside the Authority-to-Action Matrix in Section II.A, which consolidates the instrument map into a decision-support format.</w:t>
      </w:r>
    </w:p>
    <w:p w14:paraId="4AF90A09" w14:textId="77777777" w:rsidR="008B176B" w:rsidRDefault="009D00BC">
      <w:pPr>
        <w:pStyle w:val="Heading2"/>
      </w:pPr>
      <w:r>
        <w:t>II.1  Financial Pressure</w:t>
      </w:r>
    </w:p>
    <w:p w14:paraId="4F02DB8D" w14:textId="77777777" w:rsidR="008B176B" w:rsidRDefault="009D00BC">
      <w:pPr>
        <w:pStyle w:val="Heading3"/>
      </w:pPr>
      <w:r>
        <w:t>OFAC Sanctions Programs and SDN Authority</w:t>
      </w:r>
    </w:p>
    <w:p w14:paraId="3BAD99B9" w14:textId="77777777" w:rsidR="008B176B" w:rsidRDefault="009D00BC">
      <w:pPr>
        <w:spacing w:before="80" w:after="80"/>
      </w:pPr>
      <w:r>
        <w:t>Observed public authority: OFAC administers country and conduct-based sanctions programs under IEEPA (50 U.S.C. § 1701), with active programs for Iran (Executive Orders 13224, 13382, 13846, 13876, 13902, and related orders — E.O. 13902 is the primary vehicle for petroleum/petrochemical sector designations including shadow-fleet operators; National Security Presidential Memorandum 2 (February 2025) directs maximum pressure and drives current OFAC Iran enforcement tempo), North Korea (E.O. 13687, NKSPEA autho</w:t>
      </w:r>
      <w:r>
        <w:t>rities), Cuba (Cuban Assets Control Regulations, 31 C.F.R. Part 515), and Venezuela (E.O. 13884 and successor orders, including E.O. 14373 (January 2026) governing Venezuelan oil revenue). OFAC's SDN List and 50 Percent Rule provide the core blocking architecture. CAATSA (22 U.S.C. § 9241) adds secondary sanctions authorities related to Iran, Russia, and North Korea.</w:t>
      </w:r>
    </w:p>
    <w:p w14:paraId="0DEF1E75" w14:textId="77777777" w:rsidR="008B176B" w:rsidRDefault="009D00BC">
      <w:pPr>
        <w:spacing w:before="80" w:after="80"/>
      </w:pPr>
      <w:r>
        <w:t>What it can reach: Blocking of property in which designated persons have any interest; prohibition of transactions by U.S. persons with designated entities; secondary sanctions exposure for non-U.S. persons engaging in significant transactions with designated entities under applicable program authorities; mandatory sanctions for foreign financial institutions facilitating significant transactions for SDN-designated Iranian parties under CISADA § 104.</w:t>
      </w:r>
    </w:p>
    <w:p w14:paraId="29703696" w14:textId="77777777" w:rsidR="008B176B" w:rsidRDefault="009D00BC">
      <w:pPr>
        <w:spacing w:before="80" w:after="80"/>
      </w:pPr>
      <w:r>
        <w:t>Evidentiary burden: OFAC designation requires documented ownership, control, or nexus to a sanctions program predicate under the applicable authority. The totality-of-circumstances standard governs control analysis. The 50 Percent Rule provides a bright-line threshold for entities owned 50 percent or more in aggregate by blocked persons. For conduct-based designations of third-country facilitators, the evidentiary record must document the specific transactions, the sanctioned-party nexus, and the applicable</w:t>
      </w:r>
      <w:r>
        <w:t xml:space="preserve"> program authority. This paper applies the Material Enabling Behavior standard from PERSIST (confirmed attribution across multiple verified instances) as a durability rule before third-country institutional designations — above the statutory minimum, but producing records that survive judicial and coalition review.</w:t>
      </w:r>
    </w:p>
    <w:p w14:paraId="50EAE84A" w14:textId="77777777" w:rsidR="008B176B" w:rsidRDefault="009D00BC">
      <w:pPr>
        <w:spacing w:before="80" w:after="80"/>
      </w:pPr>
      <w:r>
        <w:t xml:space="preserve">Principal limits: IEEPA nexus requirement is a hard structural limit — designations without documented emergency nexus are subject to reversal. CISADA § 104 is mandatory upon positive finding but requires documented predicate. Secondary sanctions on third-country entities without allied coordination generate coalition fracture. </w:t>
      </w:r>
      <w:proofErr w:type="spellStart"/>
      <w:r>
        <w:t>Stablecoin</w:t>
      </w:r>
      <w:proofErr w:type="spellEnd"/>
      <w:r>
        <w:t xml:space="preserve"> designation scope remains subject to ongoing litigation (Van Loon v. Treasury, 5th Cir.) — agencies apply current DOJ/OLC guidance.</w:t>
      </w:r>
    </w:p>
    <w:p w14:paraId="5EDE49E1" w14:textId="77777777" w:rsidR="008B176B" w:rsidRDefault="009D00BC">
      <w:pPr>
        <w:pStyle w:val="Heading3"/>
      </w:pPr>
      <w:r>
        <w:t>Section 311 (31 U.S.C. § 5318A) — Primary Money Laundering Concern Designation</w:t>
      </w:r>
    </w:p>
    <w:p w14:paraId="10C52544" w14:textId="77777777" w:rsidR="008B176B" w:rsidRDefault="009D00BC">
      <w:pPr>
        <w:spacing w:before="80" w:after="80"/>
      </w:pPr>
      <w:r>
        <w:t>Observed public authority: Treasury/FinCEN may designate a foreign jurisdiction or financial institution as a Primary Money Laundering Concern and impose special measures ranging from enhanced due diligence requirements to prohibition of correspondent accounts (the most severe measure, colloquially the 'Death Penalty' for global banks dependent on USD access).</w:t>
      </w:r>
    </w:p>
    <w:p w14:paraId="76336416" w14:textId="77777777" w:rsidR="008B176B" w:rsidRDefault="009D00BC">
      <w:pPr>
        <w:spacing w:before="80" w:after="80"/>
      </w:pPr>
      <w:r>
        <w:t>What it can reach: Foreign financial institutions — including exchange houses, shadow banking nodes, and cryptocurrency exchanges designated as financial institutions under FinCEN's interpretive guidance — that provide enabling services to sanctioned networks. Class-of-transaction designations under § 5318A(a)(4)(A) can target hawala corridors and shadow payment rails without requiring individual-entity designations.</w:t>
      </w:r>
    </w:p>
    <w:p w14:paraId="2C939DA6" w14:textId="77777777" w:rsidR="008B176B" w:rsidRDefault="009D00BC">
      <w:pPr>
        <w:spacing w:before="80" w:after="80"/>
      </w:pPr>
      <w:r>
        <w:t>Evidentiary burden: § 5318A(c) factors include extent of money laundering, legitimate business use, use by criminal entities, jurisdictional supervision adequacy, and range of services offered. Documented patterns from SARs, blockchain analytics, FATF reporting, and allied financial intelligence provide the evidentiary basis. Standard designation pipeline is 45-90 days; expedited track available upon documented threshold breach.</w:t>
      </w:r>
    </w:p>
    <w:p w14:paraId="3613B44F" w14:textId="77777777" w:rsidR="008B176B" w:rsidRDefault="009D00BC">
      <w:pPr>
        <w:spacing w:before="80" w:after="80"/>
      </w:pPr>
      <w:r>
        <w:t>Principal limits: APA compliance required. Designation of major financial institutions with sovereign-adjacent nexus requires Deputies or Principals concurrence and guardrail-index review. Correspondent severance that affects legitimate humanitarian or commercial flows requires General License architecture. Coalition coordination before § 311 action in allied hub jurisdictions (UAE, Turkey, Hong Kong, Oman) is operationally essential to prevent evasion through parallel systems.</w:t>
      </w:r>
    </w:p>
    <w:p w14:paraId="2CF90DB9" w14:textId="77777777" w:rsidR="008B176B" w:rsidRDefault="009D00BC">
      <w:pPr>
        <w:pStyle w:val="Heading3"/>
      </w:pPr>
      <w:r>
        <w:t>Section 981(k) — Substitute Asset Seizure (18 U.S.C. § 981(k))</w:t>
      </w:r>
    </w:p>
    <w:p w14:paraId="69902F92" w14:textId="77777777" w:rsidR="008B176B" w:rsidRDefault="009D00BC">
      <w:pPr>
        <w:spacing w:before="80" w:after="80"/>
      </w:pPr>
      <w:r>
        <w:t>Observed public authority: Enables DOJ to seize illicit proceeds by targeting a foreign bank's U.S. correspondent account as a fungible substitute, bypassing foreign sovereignty and bank secrecy. The foreign bank must either recover funds from the sanctioned party or absorb the loss — creating an enforcement mechanism that extends beyond formal designation.</w:t>
      </w:r>
    </w:p>
    <w:p w14:paraId="5B7DEB2C" w14:textId="77777777" w:rsidR="008B176B" w:rsidRDefault="009D00BC">
      <w:pPr>
        <w:spacing w:before="80" w:after="80"/>
      </w:pPr>
      <w:r>
        <w:t>What it can reach: Foreign banks with U.S. correspondent accounts that hold proceeds traceable to designated entities. Effective against institutions in UAE, Turkey, Hong Kong, and Singapore that maintain significant U.S. dollar clearing relationships.</w:t>
      </w:r>
    </w:p>
    <w:p w14:paraId="08B3EFD9" w14:textId="77777777" w:rsidR="008B176B" w:rsidRDefault="009D00BC">
      <w:pPr>
        <w:spacing w:before="80" w:after="80"/>
      </w:pPr>
      <w:r>
        <w:t>Evidentiary burden: FTO instrumentality nexus required for applications under IRGC-related programs. Judicial warrant and in rem proceedings. Pre-staged warrant packages eliminate designation latency.</w:t>
      </w:r>
    </w:p>
    <w:p w14:paraId="7A050AC8" w14:textId="77777777" w:rsidR="008B176B" w:rsidRDefault="009D00BC">
      <w:pPr>
        <w:spacing w:before="80" w:after="80"/>
      </w:pPr>
      <w:r>
        <w:t>Principal limits: FTO nexus must be judicially documented. OLC formal opinion required for full vessel confiscation and liquidation. Does not independently substitute for the diplomatic and reputational coordination required to sustain enforcement against major correspondent banks without triggering retaliatory financial fragmentation.</w:t>
      </w:r>
    </w:p>
    <w:p w14:paraId="2E7B8847" w14:textId="77777777" w:rsidR="008B176B" w:rsidRDefault="009D00BC">
      <w:pPr>
        <w:pStyle w:val="Heading2"/>
      </w:pPr>
      <w:r>
        <w:t>II.2  Maritime and Shipping Pressure</w:t>
      </w:r>
    </w:p>
    <w:p w14:paraId="5427DBBE" w14:textId="77777777" w:rsidR="008B176B" w:rsidRDefault="009D00BC">
      <w:pPr>
        <w:spacing w:before="80" w:after="80"/>
      </w:pPr>
      <w:r>
        <w:t>Observed public authority: Maritime enforcement draws on multiple concurrent authorities. OFAC vessel designations (SDN List) and shipping advisories can sever insurance, classification society certification, port access, and flag-registry services. The April 2025 OFAC maritime guidance on deceptive shipping practices and the 2024-2026 shadow fleet advisory series reflect Treasury's current public posture. The Coast Guard's 14 U.S.C. § 522 boarding authority applies to stateless vessels and vessels where fl</w:t>
      </w:r>
      <w:r>
        <w:t>ag-state consent exists. MARPOL compliance framing provides a non-sanctions-enforcement basis for maritime safety engagement with Malacca Strait partners. Specific operational military coordination arrangements are outside the scope of this paper.</w:t>
      </w:r>
    </w:p>
    <w:p w14:paraId="1825DA99" w14:textId="77777777" w:rsidR="008B176B" w:rsidRDefault="009D00BC">
      <w:pPr>
        <w:spacing w:before="80" w:after="80"/>
      </w:pPr>
      <w:r>
        <w:t xml:space="preserve">What it can reach: Shadow-fleet tankers, ship management companies, classification society certification pathways, maritime insurance coverage (Lloyd's market and International Group of P&amp;I Clubs), flag registries, and port-access infrastructure. The Lloyd's/IACS mechanism is operationally relevant as a planning concept: coordinated OFAC/OFSI advisory guidance has, in documented enforcement cycles, affected Lloyd's Market coverage for designated vessels, producing port-access complications without physical </w:t>
      </w:r>
      <w:r>
        <w:t>interdiction. Classification society engagement (Lloyd's Register, Bureau Veritas, DNV, ABS — all with U.S. operations) can extend OFAC advisory guidance into inspection and certification services where those societies choose to apply it.</w:t>
      </w:r>
    </w:p>
    <w:p w14:paraId="7F3FD980" w14:textId="77777777" w:rsidR="008B176B" w:rsidRDefault="009D00BC">
      <w:pPr>
        <w:spacing w:before="80" w:after="80"/>
      </w:pPr>
      <w:r>
        <w:t>Evidentiary burden: OFAC vessel designation requires documented SDN-nexus or program predicate for the vessel or its beneficial owners and operators. AIS manipulation, ship-to-ship transfer patterns, and flag-registry churn are observable through commercial maritime analytics (</w:t>
      </w:r>
      <w:proofErr w:type="spellStart"/>
      <w:r>
        <w:t>Kpler</w:t>
      </w:r>
      <w:proofErr w:type="spellEnd"/>
      <w:r>
        <w:t xml:space="preserve">, </w:t>
      </w:r>
      <w:proofErr w:type="spellStart"/>
      <w:r>
        <w:t>Vortexa</w:t>
      </w:r>
      <w:proofErr w:type="spellEnd"/>
      <w:r>
        <w:t>) and NGA/ONI reporting. USCG boarding requires flag-state consent or stateless-vessel status. High-seas boarding under 14 U.S.C. § 522 applies within its jurisdictional predicates.</w:t>
      </w:r>
    </w:p>
    <w:p w14:paraId="4F87ED00" w14:textId="77777777" w:rsidR="008B176B" w:rsidRDefault="009D00BC">
      <w:pPr>
        <w:spacing w:before="80" w:after="80"/>
      </w:pPr>
      <w:r>
        <w:t>Principal limits: Coordinated U.S.-UK OFAC/OFSI advisory closes the jurisdictional gap in Lloyd's market coverage that unilateral U.S. advisories have not fully closed. Engagement with Malacca Strait partners (Singapore, Malaysia) is most effective when framed as maritime safety and MARPOL compliance rather than sanctions enforcement. Any operations implicating physical vessel interdiction are governed by legal frameworks outside the scope of this paper and are not addressed here.</w:t>
      </w:r>
    </w:p>
    <w:p w14:paraId="2C9BE940" w14:textId="77777777" w:rsidR="008B176B" w:rsidRDefault="009D00BC">
      <w:pPr>
        <w:pStyle w:val="Heading2"/>
      </w:pPr>
      <w:r>
        <w:t>II.3  Export-Control and Technology Denial</w:t>
      </w:r>
    </w:p>
    <w:p w14:paraId="74500454" w14:textId="77777777" w:rsidR="008B176B" w:rsidRDefault="009D00BC">
      <w:pPr>
        <w:spacing w:before="80" w:after="80"/>
      </w:pPr>
      <w:r>
        <w:t xml:space="preserve">Observed public authority: BIS administers the Export Administration Regulations (15 C.F.R. Parts 730-774) under the Export Control Reform Act (50 U.S.C. §§ 4801-4852). The Entity List (Supplement No. 4 to Part 744) identifies specific persons subject to license requirements because they present a risk of diversion to prohibited end-uses or end-users. Effective September 29, 2025, BIS's Affiliates Rule (Interim Final Rule, codified at 15 C.F.R. § 744.11(a)(1)) extends Entity List and Military End User List </w:t>
      </w:r>
      <w:r>
        <w:t>restrictions to any foreign entity owned 50 percent or more — directly or indirectly, individually or in aggregate — by one or more listed parties, mirroring OFAC's 50 Percent Rule and creating an affirmative due-diligence duty on exporters. The Military End User List and Foreign Direct Product Rule extend U.S. export-control reach beyond U.S.-origin items to items produced using U.S. technology, software, or equipment meeting applicable thresholds. Hong Kong transactions are treated as PRC-destined under t</w:t>
      </w:r>
      <w:r>
        <w:t>he EAR. State maintains nonproliferation sanctions under INKSNA (Iran, North Korea, and Syria Nonproliferation Act, 22 U.S.C. §§ 8801-8811).</w:t>
      </w:r>
    </w:p>
    <w:p w14:paraId="3CC300AE" w14:textId="77777777" w:rsidR="008B176B" w:rsidRDefault="009D00BC">
      <w:pPr>
        <w:spacing w:before="80" w:after="80"/>
      </w:pPr>
      <w:r>
        <w:t>What it can reach: PRC defense-industrial firms and military-civil fusion entities on the Entity List; dual-use technology denial targeting semiconductor manufacturing equipment, advanced computing, AI infrastructure, and precision manufacturing components relevant to DPRK and Iranian weapons programs; procurement intermediaries and technology brokers identified through confirmed-attribution analysis; non-U.S. firms using U.S.-origin technology in products destined for embargoed destinations via FDPR.</w:t>
      </w:r>
    </w:p>
    <w:p w14:paraId="1FFDD7EC" w14:textId="77777777" w:rsidR="008B176B" w:rsidRDefault="009D00BC">
      <w:pPr>
        <w:spacing w:before="80" w:after="80"/>
      </w:pPr>
      <w:r>
        <w:t>Evidentiary burden: Entity List additions require documented evidence of diversion risk, military end-use concern, or export-control evasion. This paper applies the confirmed-attribution standard (independently verified finding from two or more sources) as a durability rule — above the EAR's 'reasonable cause to believe' minimum, but producing records that survive APA review and avoid adverse precedent that constrains future legitimate designations. INKSNA determinations require State Department findings of</w:t>
      </w:r>
      <w:r>
        <w:t xml:space="preserve"> transfers of certain goods, services, or technology controlled for nuclear, biological, chemical, or missile reasons.</w:t>
      </w:r>
    </w:p>
    <w:p w14:paraId="685141DD" w14:textId="77777777" w:rsidR="008B176B" w:rsidRDefault="009D00BC">
      <w:pPr>
        <w:spacing w:before="80" w:after="80"/>
      </w:pPr>
      <w:r>
        <w:t>[NOTE: In September 2025, BIS adopted the Affiliates Rule (effective September 29, 2025), which extends Entity List license requirements to entities 50 percent or more owned by listed entities, aligning EAR with OFAC's long-standing 50 Percent Rule. This closes a previously noted compliance gap for affiliated entities not directly listed. FDPR is now consolidated at 15 C.F.R. § 734.9.] Principal limits: FDPR extraterritoriality is bounded by jurisdictional predicates — items must contain qualifying U.S.-ori</w:t>
      </w:r>
      <w:r>
        <w:t>gin content. Unilateral FDPR application beyond these predicates generates WTO and diplomatic exposure. Allied coordination (Netherlands, Japan, South Korea on semiconductor equipment; UK, Germany on dual-use precision manufacturing) is essential for durable technology denial — unilateral Entity List additions without allied concurrence on controlled technology create substitution pathways that undermine denial effectiveness. Simultaneous OFAC + BIS action (same-day financial designation and Entity List add</w:t>
      </w:r>
      <w:r>
        <w:t>ition) eliminates the 30-90 day adaptation window that sequential action creates.</w:t>
      </w:r>
    </w:p>
    <w:p w14:paraId="10589FEB" w14:textId="77777777" w:rsidR="008B176B" w:rsidRDefault="009D00BC">
      <w:pPr>
        <w:pStyle w:val="Heading2"/>
      </w:pPr>
      <w:r>
        <w:t>II.4  Trade and Customs Pressure</w:t>
      </w:r>
    </w:p>
    <w:p w14:paraId="32FBABAD" w14:textId="77777777" w:rsidR="008B176B" w:rsidRDefault="009D00BC">
      <w:pPr>
        <w:spacing w:before="80" w:after="80"/>
      </w:pPr>
      <w:r>
        <w:t>Observed public authority: Customs and Border Protection enforces rules-of-origin requirements, withhold-release orders for goods produced with forced labor (Uyghur Forced Labor Prevention Act, 19 U.S.C. § 1307), and anti-evasion investigations under the Enforce and Protect Act. Section 301 (Trade Act of 1974, 19 U.S.C. § 2411) provides authority for USTR action against unfair trade practices documented through formal investigation. IEEPA provides authority for strategic-dependency tariffs where emergency n</w:t>
      </w:r>
      <w:r>
        <w:t>exus is documented (distinct from the punitive framing this paper explicitly avoids). AD-CVD proceedings provide quasi-judicial remedies against documented dumping and actionable subsidies.</w:t>
      </w:r>
    </w:p>
    <w:p w14:paraId="7BF5D340" w14:textId="77777777" w:rsidR="008B176B" w:rsidRDefault="009D00BC">
      <w:pPr>
        <w:spacing w:before="80" w:after="80"/>
      </w:pPr>
      <w:r>
        <w:t>What it can reach: Trade-based money laundering through over- and under-invoicing; transshipment of controlled goods through third-country intermediaries; goods produced with sanctioned-origin inputs; forced-labor supply chains with documented Xinjiang nexus. Customs enforcement at U.S. ports of entry can deny entry to goods with sanctioned-origin content or undisclosed controlled-technology inputs, creating compliance pressure on downstream importers.</w:t>
      </w:r>
    </w:p>
    <w:p w14:paraId="20B6426D" w14:textId="77777777" w:rsidR="008B176B" w:rsidRDefault="009D00BC">
      <w:pPr>
        <w:spacing w:before="80" w:after="80"/>
      </w:pPr>
      <w:r>
        <w:t>Evidentiary burden: Withhold-release orders require CBP finding of reasonable cause to believe goods are produced with forced labor. Anti-evasion investigations require documented transshipment or country-of-origin manipulation pattern. § 301 actions require USTR investigation and written determination. The evidentiary standard for customs enforcement is lower than for OFAC designation, making customs tools useful at earlier stages of the evidentiary development cycle.</w:t>
      </w:r>
    </w:p>
    <w:p w14:paraId="0B1F12F6" w14:textId="77777777" w:rsidR="008B176B" w:rsidRDefault="009D00BC">
      <w:pPr>
        <w:spacing w:before="80" w:after="80"/>
      </w:pPr>
      <w:r>
        <w:t>Principal limits: HS-code targeting is the CBP-enforceable default unit — broad country-wide measures are less defensible without documented enforceability basis. Rules-of-origin manipulation through minimal processing in third countries (Vietnam, Malaysia, Mexico for electronics with PRC inputs) remains the primary evasion pathway and requires sustained anti-evasion investment to close. Trade measures directed at allied FTA partners without documented rationale generate the same coalition fracture as secon</w:t>
      </w:r>
      <w:r>
        <w:t>dary sanctions without coordination.</w:t>
      </w:r>
    </w:p>
    <w:p w14:paraId="42272628" w14:textId="77777777" w:rsidR="008B176B" w:rsidRDefault="009D00BC">
      <w:pPr>
        <w:pStyle w:val="Heading2"/>
      </w:pPr>
      <w:r>
        <w:t>II.5  Secondary Sanctions and Facilitation Pressure</w:t>
      </w:r>
    </w:p>
    <w:p w14:paraId="72EFAE9C" w14:textId="77777777" w:rsidR="008B176B" w:rsidRDefault="009D00BC">
      <w:pPr>
        <w:spacing w:before="80" w:after="80"/>
      </w:pPr>
      <w:r>
        <w:t>Observed public authority: CAATSA §§ 231-232 (22 U.S.C. § 9241) provides mandatory sanctions for significant transactions with Russian defense/intelligence (§ 231) or financial (§ 232) sectors, with third-country application. CISADA § 104 (22 U.S.C. § 8513) provides mandatory sanctions on foreign financial institutions facilitating significant transactions for SDN-designated Iranian parties. NKSPEA (22 U.S.C. § 9214) provides designation authority for entities engaging in significant trade with DPRK in dual</w:t>
      </w:r>
      <w:r>
        <w:t>-use technology. EO 13846 provides secondary sanctions on entities providing material support to Iran's petroleum, petrochemical, and financial sectors.</w:t>
      </w:r>
    </w:p>
    <w:p w14:paraId="700A8DF5" w14:textId="77777777" w:rsidR="008B176B" w:rsidRDefault="009D00BC">
      <w:pPr>
        <w:spacing w:before="80" w:after="80"/>
      </w:pPr>
      <w:r>
        <w:t>What it can reach: PRC financial institutions facilitating NIOC purchases (CISADA § 104 mandatory predicate); Turkish trading firms and exchange houses processing Iranian petroleum proceeds; PRC entities engaging in significant DPRK dual-use trade (NKSPEA); third-country institutions facilitating Russian war-economy transactions (CAATSA § 231/232). The mandatory character of CISADA and CAATSA reduces discretion and strengthens deterrence credibility — targets cannot calculate that episodic enforcement makes</w:t>
      </w:r>
      <w:r>
        <w:t xml:space="preserve"> risk tolerable.</w:t>
      </w:r>
    </w:p>
    <w:p w14:paraId="5FF4D06F" w14:textId="77777777" w:rsidR="008B176B" w:rsidRDefault="009D00BC">
      <w:pPr>
        <w:spacing w:before="80" w:after="80"/>
      </w:pPr>
      <w:r>
        <w:t>Evidentiary burden: CISADA § 104 determination requires finding that the institution has knowingly facilitated a significant transaction for a designated Iranian party. CAATSA determinations require State Department lead for §§ 231/232. Pre-staged determination packages maintained in readiness for threshold-triggered execution eliminate designation latency for the most significant target set (top-tier Chinese financial institutions by NIOC transaction volume).</w:t>
      </w:r>
    </w:p>
    <w:p w14:paraId="4DED29D6" w14:textId="77777777" w:rsidR="008B176B" w:rsidRDefault="009D00BC">
      <w:pPr>
        <w:spacing w:before="80" w:after="80"/>
      </w:pPr>
      <w:r>
        <w:t>Principal limits: Deterrence requires predictable, calendared enforcement — episodic cycles are correctly assessed as tolerable risk by sophisticated targets. Sovereign-adjacent designations (major PRC state bank subsidiaries) require Principals-level decision authority and guardrail-index review. Coalition coordination before secondary-sanctions action affecting major allied financial institutions is operationally essential. Published quarterly enforcement rhythm, communicated diplomatically with 72-hour a</w:t>
      </w:r>
      <w:r>
        <w:t>dvance notice to GCC partners and 14-day pre-brief to Five Eyes financial intelligence counterparts, restores deterrence credibility at lower designation volume than unpredictable escalation.</w:t>
      </w:r>
    </w:p>
    <w:p w14:paraId="1E6AC5B8" w14:textId="77777777" w:rsidR="008B176B" w:rsidRDefault="009D00BC">
      <w:pPr>
        <w:pStyle w:val="Heading2"/>
      </w:pPr>
      <w:r>
        <w:t>II.6  Licensing, Waivers, and Humanitarian Architecture</w:t>
      </w:r>
    </w:p>
    <w:p w14:paraId="012FE88F" w14:textId="77777777" w:rsidR="008B176B" w:rsidRDefault="009D00BC">
      <w:pPr>
        <w:spacing w:before="80" w:after="80"/>
      </w:pPr>
      <w:r>
        <w:t>Observed public authority: OFAC maintains General Licenses across Iran, North Korea, Cuba, and Venezuela programs covering personal remittances, agricultural commodities, medical supplies, humanitarian assistance, and journalistic/educational activities. These licenses are not optional accommodations — they are legally required carve-outs that protect lawful civilian transactions and ensure that pressure is directed at enabling networks rather than civilian populations. OFAC General License renewal and modi</w:t>
      </w:r>
      <w:r>
        <w:t>fication authority provides a lever: license conditions can be tightened or relaxed in response to partner-state conduct, creating incentive architecture.</w:t>
      </w:r>
    </w:p>
    <w:p w14:paraId="25F958B8" w14:textId="77777777" w:rsidR="008B176B" w:rsidRDefault="009D00BC">
      <w:pPr>
        <w:spacing w:before="80" w:after="80"/>
      </w:pPr>
      <w:r>
        <w:t>What it can reach: Licensing architecture governs the boundary between permissible and prohibited transactions, creating the framework within which enforcement pressure is legitimate. License conditionality — where specific licenses are available only if certain conditions are met — provides a non-designation tool for incentive management. Fast-track licensing for firms demonstrating active compliance provides the compliance pathway that sustains enforcement credibility: evasion must be more costly than com</w:t>
      </w:r>
      <w:r>
        <w:t>pliance.</w:t>
      </w:r>
    </w:p>
    <w:p w14:paraId="69CD491C" w14:textId="77777777" w:rsidR="008B176B" w:rsidRDefault="009D00BC">
      <w:pPr>
        <w:spacing w:before="80" w:after="80"/>
      </w:pPr>
      <w:r>
        <w:t>Evidentiary burden: General License issuance and modification is a OFAC administrative function governed by program-specific regulations. License conditions must be grounded in the applicable sanctions program predicate and must be consistent with APA notice requirements where material changes are involved.</w:t>
      </w:r>
    </w:p>
    <w:p w14:paraId="037A9A58" w14:textId="77777777" w:rsidR="008B176B" w:rsidRDefault="009D00BC">
      <w:pPr>
        <w:spacing w:before="80" w:after="80"/>
      </w:pPr>
      <w:r>
        <w:t xml:space="preserve">Principal limits: Overly restrictive licensing architecture generates humanitarian harm, increases diplomatic pressure from UN bodies and allied governments, and provides sanctioned states with narrative leverage. Humanitarian carve-outs must be maintained at a level that ensures 95%+ approval rates for licensed NGO humanitarian operations. The risk of chilling legitimate humanitarian flows through excessive compliance friction is real and must be managed through safe-harbor provisions and expedited review </w:t>
      </w:r>
      <w:r>
        <w:t>mechanisms.</w:t>
      </w:r>
    </w:p>
    <w:p w14:paraId="117FD1B4" w14:textId="77777777" w:rsidR="008B176B" w:rsidRDefault="009D00BC">
      <w:pPr>
        <w:pStyle w:val="Heading2"/>
      </w:pPr>
      <w:r>
        <w:t>II.7  Coalition-Conditioned Measures</w:t>
      </w:r>
    </w:p>
    <w:p w14:paraId="6F9C8E8D" w14:textId="77777777" w:rsidR="008B176B" w:rsidRDefault="009D00BC">
      <w:pPr>
        <w:spacing w:before="80" w:after="80"/>
      </w:pPr>
      <w:r>
        <w:t>Observed public authority: Coalition-conditioned measures are not a separate legal authority but a sequencing discipline that governs when and how the instruments above are deployed. Five Eyes financial intelligence pre-briefing (14 days before major § 311 targets and designation sequences) prevents evasion through allied financial systems. EU/EEAS synchronized quarterly designation calendars eliminate jurisdiction arbitrage. UK OFSI coordination on shadow-fleet advisory guidance closes the Lloyd's market j</w:t>
      </w:r>
      <w:r>
        <w:t>urisdictional gap. GCC bilateral engagement (72-hour advance notice on § 311 actions in UAE, Qatar, Bahrain) creates compliance options and preserves relationships. Malacca Strait partner engagement requires minimum 14-day bilateral consultation before interdiction operations.</w:t>
      </w:r>
    </w:p>
    <w:p w14:paraId="64159ED9" w14:textId="77777777" w:rsidR="008B176B" w:rsidRDefault="009D00BC">
      <w:pPr>
        <w:spacing w:before="80" w:after="80"/>
      </w:pPr>
      <w:r>
        <w:t>What it can reach: Coalition coordination converts unilateral enforcement actions with predictable substitution pathways into jointly enforced measures with reduced substitution options. It also provides the political sustainability that multi-year pressure campaigns require — without coalition endurance, enforcement pressure typically diminishes as political and diplomatic costs accumulate.</w:t>
      </w:r>
    </w:p>
    <w:p w14:paraId="2C7BCCC4" w14:textId="77777777" w:rsidR="008B176B" w:rsidRDefault="009D00BC">
      <w:pPr>
        <w:spacing w:before="80" w:after="80"/>
      </w:pPr>
      <w:r>
        <w:t>Evidentiary burden: Coalition coordination does not have a formal evidentiary threshold, but its practical effectiveness depends on the quality of intelligence sharing and the specificity of the consultation. Partners who receive advance notice with documented evidentiary basis for proposed actions are substantially more likely to coordinate than partners who receive notification of completed actions.</w:t>
      </w:r>
    </w:p>
    <w:p w14:paraId="246B3E31" w14:textId="77777777" w:rsidR="008B176B" w:rsidRDefault="009D00BC">
      <w:pPr>
        <w:spacing w:before="80" w:after="80"/>
      </w:pPr>
      <w:r>
        <w:t>Principal limits: Coalition participation requires active management — compliance must provide predictable commercial benefit for allied entities, and remediation pathways must be structured, transparent, and credible. The live contradiction between technology-denial coordination requirements and simultaneous trade friction with allied partners is the largest unresolved implementation gap in the current posture. This paper cannot resolve it; it can only require that it be addressed before Tier 2+ escalation</w:t>
      </w:r>
      <w:r>
        <w:t xml:space="preserve"> in coalition-sensitive domains.</w:t>
      </w:r>
    </w:p>
    <w:p w14:paraId="413DA01D" w14:textId="77777777" w:rsidR="008B176B" w:rsidRDefault="009D00BC">
      <w:r>
        <w:br w:type="page"/>
      </w:r>
    </w:p>
    <w:p w14:paraId="743448DB" w14:textId="77777777" w:rsidR="008B176B" w:rsidRDefault="009D00BC">
      <w:pPr>
        <w:pStyle w:val="Heading1"/>
      </w:pPr>
      <w:r>
        <w:t>SECTION II.A — AUTHORITY-TO-ACTION MATRIX</w:t>
      </w:r>
    </w:p>
    <w:p w14:paraId="14DBEEF9" w14:textId="77777777" w:rsidR="008B176B" w:rsidRDefault="009D00BC">
      <w:pPr>
        <w:spacing w:before="80" w:after="80"/>
      </w:pPr>
      <w:r>
        <w:t>The matrix below consolidates the instrument map across ten analytical dimensions. It is a decision-support tool, not a policy directive. Every entry distinguishes what the instrument can reach from what it excludes; what evidentiary threshold is typically required from what the instrument cannot reach without additional foundation; and what conditions support reversal. Confidence in effect estimates is moderate — they reflect enforcement patterns from 2023-2026 public enforcement record, not classified ope</w:t>
      </w:r>
      <w:r>
        <w:t>rational data.</w:t>
      </w:r>
    </w:p>
    <w:p w14:paraId="546B9235" w14:textId="77777777" w:rsidR="008B176B" w:rsidRDefault="008B176B">
      <w:pPr>
        <w:spacing w:before="40" w:after="4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6"/>
        <w:gridCol w:w="1785"/>
        <w:gridCol w:w="2597"/>
        <w:gridCol w:w="1572"/>
        <w:gridCol w:w="1610"/>
      </w:tblGrid>
      <w:tr w:rsidR="008B176B" w14:paraId="50D252A1" w14:textId="77777777">
        <w:tblPrEx>
          <w:tblCellMar>
            <w:top w:w="0" w:type="dxa"/>
            <w:bottom w:w="0" w:type="dxa"/>
          </w:tblCellMar>
        </w:tblPrEx>
        <w:tc>
          <w:tcPr>
            <w:tcW w:w="1440" w:type="dxa"/>
            <w:tcBorders>
              <w:top w:val="single" w:sz="1" w:space="0" w:color="AABBCC"/>
              <w:left w:val="single" w:sz="1" w:space="0" w:color="AABBCC"/>
              <w:bottom w:val="single" w:sz="1" w:space="0" w:color="AABBCC"/>
              <w:right w:val="single" w:sz="1" w:space="0" w:color="AABBCC"/>
            </w:tcBorders>
            <w:shd w:val="clear" w:color="auto" w:fill="1F3864"/>
            <w:tcMar>
              <w:top w:w="80" w:type="dxa"/>
              <w:left w:w="120" w:type="dxa"/>
              <w:bottom w:w="80" w:type="dxa"/>
              <w:right w:w="120" w:type="dxa"/>
            </w:tcMar>
          </w:tcPr>
          <w:p w14:paraId="3DD4ED98" w14:textId="77777777" w:rsidR="008B176B" w:rsidRDefault="009D00BC">
            <w:r>
              <w:rPr>
                <w:b/>
                <w:bCs/>
                <w:color w:val="FFFFFF"/>
                <w:sz w:val="20"/>
                <w:szCs w:val="20"/>
              </w:rPr>
              <w:t>Authority / Program</w:t>
            </w:r>
          </w:p>
        </w:tc>
        <w:tc>
          <w:tcPr>
            <w:tcW w:w="1080" w:type="dxa"/>
            <w:tcBorders>
              <w:top w:val="single" w:sz="1" w:space="0" w:color="AABBCC"/>
              <w:left w:val="single" w:sz="1" w:space="0" w:color="AABBCC"/>
              <w:bottom w:val="single" w:sz="1" w:space="0" w:color="AABBCC"/>
              <w:right w:val="single" w:sz="1" w:space="0" w:color="AABBCC"/>
            </w:tcBorders>
            <w:shd w:val="clear" w:color="auto" w:fill="1F3864"/>
            <w:tcMar>
              <w:top w:w="80" w:type="dxa"/>
              <w:left w:w="120" w:type="dxa"/>
              <w:bottom w:w="80" w:type="dxa"/>
              <w:right w:w="120" w:type="dxa"/>
            </w:tcMar>
          </w:tcPr>
          <w:p w14:paraId="2CABC11A" w14:textId="77777777" w:rsidR="008B176B" w:rsidRDefault="009D00BC">
            <w:r>
              <w:rPr>
                <w:b/>
                <w:bCs/>
                <w:color w:val="FFFFFF"/>
                <w:sz w:val="20"/>
                <w:szCs w:val="20"/>
              </w:rPr>
              <w:t>Lead Institution</w:t>
            </w:r>
          </w:p>
        </w:tc>
        <w:tc>
          <w:tcPr>
            <w:tcW w:w="2160" w:type="dxa"/>
            <w:tcBorders>
              <w:top w:val="single" w:sz="1" w:space="0" w:color="AABBCC"/>
              <w:left w:val="single" w:sz="1" w:space="0" w:color="AABBCC"/>
              <w:bottom w:val="single" w:sz="1" w:space="0" w:color="AABBCC"/>
              <w:right w:val="single" w:sz="1" w:space="0" w:color="AABBCC"/>
            </w:tcBorders>
            <w:shd w:val="clear" w:color="auto" w:fill="1F3864"/>
            <w:tcMar>
              <w:top w:w="80" w:type="dxa"/>
              <w:left w:w="120" w:type="dxa"/>
              <w:bottom w:w="80" w:type="dxa"/>
              <w:right w:w="120" w:type="dxa"/>
            </w:tcMar>
          </w:tcPr>
          <w:p w14:paraId="541BD6F7" w14:textId="77777777" w:rsidR="008B176B" w:rsidRDefault="009D00BC">
            <w:r>
              <w:rPr>
                <w:b/>
                <w:bCs/>
                <w:color w:val="FFFFFF"/>
                <w:sz w:val="20"/>
                <w:szCs w:val="20"/>
              </w:rPr>
              <w:t>Covered Conduct</w:t>
            </w:r>
          </w:p>
        </w:tc>
        <w:tc>
          <w:tcPr>
            <w:tcW w:w="2160" w:type="dxa"/>
            <w:tcBorders>
              <w:top w:val="single" w:sz="1" w:space="0" w:color="AABBCC"/>
              <w:left w:val="single" w:sz="1" w:space="0" w:color="AABBCC"/>
              <w:bottom w:val="single" w:sz="1" w:space="0" w:color="AABBCC"/>
              <w:right w:val="single" w:sz="1" w:space="0" w:color="AABBCC"/>
            </w:tcBorders>
            <w:shd w:val="clear" w:color="auto" w:fill="1F3864"/>
            <w:tcMar>
              <w:top w:w="80" w:type="dxa"/>
              <w:left w:w="120" w:type="dxa"/>
              <w:bottom w:w="80" w:type="dxa"/>
              <w:right w:w="120" w:type="dxa"/>
            </w:tcMar>
          </w:tcPr>
          <w:p w14:paraId="4B129760" w14:textId="77777777" w:rsidR="008B176B" w:rsidRDefault="009D00BC">
            <w:r>
              <w:rPr>
                <w:b/>
                <w:bCs/>
                <w:color w:val="FFFFFF"/>
                <w:sz w:val="20"/>
                <w:szCs w:val="20"/>
              </w:rPr>
              <w:t>Excluded Conduct</w:t>
            </w:r>
          </w:p>
        </w:tc>
        <w:tc>
          <w:tcPr>
            <w:tcW w:w="2520" w:type="dxa"/>
            <w:tcBorders>
              <w:top w:val="single" w:sz="1" w:space="0" w:color="AABBCC"/>
              <w:left w:val="single" w:sz="1" w:space="0" w:color="AABBCC"/>
              <w:bottom w:val="single" w:sz="1" w:space="0" w:color="AABBCC"/>
              <w:right w:val="single" w:sz="1" w:space="0" w:color="AABBCC"/>
            </w:tcBorders>
            <w:shd w:val="clear" w:color="auto" w:fill="1F3864"/>
            <w:tcMar>
              <w:top w:w="80" w:type="dxa"/>
              <w:left w:w="120" w:type="dxa"/>
              <w:bottom w:w="80" w:type="dxa"/>
              <w:right w:w="120" w:type="dxa"/>
            </w:tcMar>
          </w:tcPr>
          <w:p w14:paraId="234608F5" w14:textId="77777777" w:rsidR="008B176B" w:rsidRDefault="009D00BC">
            <w:r>
              <w:rPr>
                <w:b/>
                <w:bCs/>
                <w:color w:val="FFFFFF"/>
                <w:sz w:val="20"/>
                <w:szCs w:val="20"/>
              </w:rPr>
              <w:t>Min Evidentiary Threshold</w:t>
            </w:r>
          </w:p>
        </w:tc>
      </w:tr>
      <w:tr w:rsidR="008B176B" w14:paraId="47719208" w14:textId="77777777">
        <w:tblPrEx>
          <w:tblCellMar>
            <w:top w:w="0" w:type="dxa"/>
            <w:bottom w:w="0" w:type="dxa"/>
          </w:tblCellMar>
        </w:tblPrEx>
        <w:tc>
          <w:tcPr>
            <w:tcW w:w="144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2FB8CA19" w14:textId="77777777" w:rsidR="008B176B" w:rsidRDefault="009D00BC">
            <w:pPr>
              <w:spacing w:before="40" w:after="40"/>
            </w:pPr>
            <w:r>
              <w:rPr>
                <w:b/>
                <w:bCs/>
                <w:sz w:val="20"/>
                <w:szCs w:val="20"/>
              </w:rPr>
              <w:t xml:space="preserve">OFAC SDN / IEEPA </w:t>
            </w:r>
            <w:proofErr w:type="spellStart"/>
            <w:r>
              <w:rPr>
                <w:b/>
                <w:bCs/>
                <w:sz w:val="20"/>
                <w:szCs w:val="20"/>
              </w:rPr>
              <w:t>EOs</w:t>
            </w:r>
            <w:proofErr w:type="spellEnd"/>
            <w:r>
              <w:rPr>
                <w:b/>
                <w:bCs/>
                <w:sz w:val="20"/>
                <w:szCs w:val="20"/>
              </w:rPr>
              <w:t xml:space="preserve"> (Iran, DPRK, Cuba, Venezuela programs)</w:t>
            </w:r>
          </w:p>
        </w:tc>
        <w:tc>
          <w:tcPr>
            <w:tcW w:w="108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F2DF23A" w14:textId="77777777" w:rsidR="008B176B" w:rsidRDefault="009D00BC">
            <w:pPr>
              <w:spacing w:before="40" w:after="40"/>
            </w:pPr>
            <w:r>
              <w:rPr>
                <w:sz w:val="20"/>
                <w:szCs w:val="20"/>
              </w:rPr>
              <w:t>Treasury/OFAC</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0B2906A" w14:textId="77777777" w:rsidR="008B176B" w:rsidRDefault="009D00BC">
            <w:pPr>
              <w:spacing w:before="40" w:after="40"/>
            </w:pPr>
            <w:r>
              <w:rPr>
                <w:sz w:val="20"/>
                <w:szCs w:val="20"/>
              </w:rPr>
              <w:t>Blocking property of designated persons; prohibiting U.S.-person transactions; secondary exposure for significant facilitation of SDN-designated parties under applicable program</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D5AD0DA" w14:textId="77777777" w:rsidR="008B176B" w:rsidRDefault="009D00BC">
            <w:pPr>
              <w:spacing w:before="40" w:after="40"/>
            </w:pPr>
            <w:r>
              <w:rPr>
                <w:sz w:val="20"/>
                <w:szCs w:val="20"/>
              </w:rPr>
              <w:t>Nationality alone; commercial presence absent documented nexus; humanitarian transactions under active General License</w:t>
            </w:r>
          </w:p>
        </w:tc>
        <w:tc>
          <w:tcPr>
            <w:tcW w:w="252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00B2AB2" w14:textId="77777777" w:rsidR="008B176B" w:rsidRDefault="009D00BC">
            <w:pPr>
              <w:spacing w:before="40" w:after="40"/>
            </w:pPr>
            <w:r>
              <w:rPr>
                <w:sz w:val="20"/>
                <w:szCs w:val="20"/>
              </w:rPr>
              <w:t>Documented ownership, control, or nexus to program predicate. Totality-of-circumstances for control. Material Enabling Behavior standard for third-country institutional designations (this paper's durability rule)</w:t>
            </w:r>
          </w:p>
        </w:tc>
      </w:tr>
      <w:tr w:rsidR="008B176B" w14:paraId="3E48D9B6" w14:textId="77777777">
        <w:tblPrEx>
          <w:tblCellMar>
            <w:top w:w="0" w:type="dxa"/>
            <w:bottom w:w="0" w:type="dxa"/>
          </w:tblCellMar>
        </w:tblPrEx>
        <w:tc>
          <w:tcPr>
            <w:tcW w:w="144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6AFC0C8E" w14:textId="77777777" w:rsidR="008B176B" w:rsidRDefault="009D00BC">
            <w:pPr>
              <w:spacing w:before="40" w:after="40"/>
            </w:pPr>
            <w:r>
              <w:rPr>
                <w:b/>
                <w:bCs/>
                <w:sz w:val="20"/>
                <w:szCs w:val="20"/>
              </w:rPr>
              <w:t>Section 311 (31 U.S.C. § 5318A)</w:t>
            </w:r>
          </w:p>
        </w:tc>
        <w:tc>
          <w:tcPr>
            <w:tcW w:w="108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27A8E48" w14:textId="77777777" w:rsidR="008B176B" w:rsidRDefault="009D00BC">
            <w:pPr>
              <w:spacing w:before="40" w:after="40"/>
            </w:pPr>
            <w:r>
              <w:rPr>
                <w:sz w:val="20"/>
                <w:szCs w:val="20"/>
              </w:rPr>
              <w:t>Treasury/FinCEN</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2B1532D" w14:textId="77777777" w:rsidR="008B176B" w:rsidRDefault="009D00BC">
            <w:pPr>
              <w:spacing w:before="40" w:after="40"/>
            </w:pPr>
            <w:r>
              <w:rPr>
                <w:sz w:val="20"/>
                <w:szCs w:val="20"/>
              </w:rPr>
              <w:t>PMLC designation of foreign financial institutions; special measures up to correspondent prohibition; class-of-transaction designation for hawala corridors and shadow payment rails</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7D091DB" w14:textId="77777777" w:rsidR="008B176B" w:rsidRDefault="009D00BC">
            <w:pPr>
              <w:spacing w:before="40" w:after="40"/>
            </w:pPr>
            <w:r>
              <w:rPr>
                <w:sz w:val="20"/>
                <w:szCs w:val="20"/>
              </w:rPr>
              <w:t>Institutions with documented AML compliance and no sanctioned-entity transaction pattern; lawful correspondent relationships</w:t>
            </w:r>
          </w:p>
        </w:tc>
        <w:tc>
          <w:tcPr>
            <w:tcW w:w="252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778545A" w14:textId="77777777" w:rsidR="008B176B" w:rsidRDefault="009D00BC">
            <w:pPr>
              <w:spacing w:before="40" w:after="40"/>
            </w:pPr>
            <w:r>
              <w:rPr>
                <w:sz w:val="20"/>
                <w:szCs w:val="20"/>
              </w:rPr>
              <w:t>§ 5318A(c) factors documented; SAR and blockchain pattern evidence; FATF/allied intelligence corroboration. Standard administrative pipeline typically 45-90 days; expedited review track may be available upon documented threshold breach, subject to agency determination.</w:t>
            </w:r>
          </w:p>
        </w:tc>
      </w:tr>
      <w:tr w:rsidR="008B176B" w14:paraId="613AE638" w14:textId="77777777">
        <w:tblPrEx>
          <w:tblCellMar>
            <w:top w:w="0" w:type="dxa"/>
            <w:bottom w:w="0" w:type="dxa"/>
          </w:tblCellMar>
        </w:tblPrEx>
        <w:tc>
          <w:tcPr>
            <w:tcW w:w="144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0BD4ECDE" w14:textId="77777777" w:rsidR="008B176B" w:rsidRDefault="009D00BC">
            <w:pPr>
              <w:spacing w:before="40" w:after="40"/>
            </w:pPr>
            <w:r>
              <w:rPr>
                <w:b/>
                <w:bCs/>
                <w:sz w:val="20"/>
                <w:szCs w:val="20"/>
              </w:rPr>
              <w:t>CISADA § 104 (22 U.S.C. § 8513)</w:t>
            </w:r>
          </w:p>
        </w:tc>
        <w:tc>
          <w:tcPr>
            <w:tcW w:w="108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28FBAA6" w14:textId="77777777" w:rsidR="008B176B" w:rsidRDefault="009D00BC">
            <w:pPr>
              <w:spacing w:before="40" w:after="40"/>
            </w:pPr>
            <w:r>
              <w:rPr>
                <w:sz w:val="20"/>
                <w:szCs w:val="20"/>
              </w:rPr>
              <w:t>Treasury/OFAC + State (joint)</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EF8160B" w14:textId="77777777" w:rsidR="008B176B" w:rsidRDefault="009D00BC">
            <w:pPr>
              <w:spacing w:before="40" w:after="40"/>
            </w:pPr>
            <w:r>
              <w:rPr>
                <w:sz w:val="20"/>
                <w:szCs w:val="20"/>
              </w:rPr>
              <w:t>Mandatory sanctions on foreign financial institutions knowingly facilitating significant transactions for SDN-designated Iranian parties; USD correspondent severance</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E72967D" w14:textId="77777777" w:rsidR="008B176B" w:rsidRDefault="009D00BC">
            <w:pPr>
              <w:spacing w:before="40" w:after="40"/>
            </w:pPr>
            <w:r>
              <w:rPr>
                <w:sz w:val="20"/>
                <w:szCs w:val="20"/>
              </w:rPr>
              <w:t>Institutions with no documented NIOC or Iranian SDN transaction nexus; humanitarian-licensed transactions</w:t>
            </w:r>
          </w:p>
        </w:tc>
        <w:tc>
          <w:tcPr>
            <w:tcW w:w="252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D0418DF" w14:textId="77777777" w:rsidR="008B176B" w:rsidRDefault="009D00BC">
            <w:pPr>
              <w:spacing w:before="40" w:after="40"/>
            </w:pPr>
            <w:r>
              <w:rPr>
                <w:sz w:val="20"/>
                <w:szCs w:val="20"/>
              </w:rPr>
              <w:t>Positive finding of knowing facilitation of significant transaction. Mandatory upon finding — reduces discretion. Pre-staged determination packages for top-tier PRC banks by NIOC volume</w:t>
            </w:r>
          </w:p>
        </w:tc>
      </w:tr>
      <w:tr w:rsidR="008B176B" w14:paraId="7ACE2AE3" w14:textId="77777777">
        <w:tblPrEx>
          <w:tblCellMar>
            <w:top w:w="0" w:type="dxa"/>
            <w:bottom w:w="0" w:type="dxa"/>
          </w:tblCellMar>
        </w:tblPrEx>
        <w:tc>
          <w:tcPr>
            <w:tcW w:w="144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2B9EEFED" w14:textId="77777777" w:rsidR="008B176B" w:rsidRDefault="009D00BC">
            <w:pPr>
              <w:spacing w:before="40" w:after="40"/>
            </w:pPr>
            <w:r>
              <w:rPr>
                <w:b/>
                <w:bCs/>
                <w:sz w:val="20"/>
                <w:szCs w:val="20"/>
              </w:rPr>
              <w:t>CAATSA §§ 231-232 (22 U.S.C. § 9241)</w:t>
            </w:r>
          </w:p>
        </w:tc>
        <w:tc>
          <w:tcPr>
            <w:tcW w:w="108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B671B10" w14:textId="77777777" w:rsidR="008B176B" w:rsidRDefault="009D00BC">
            <w:pPr>
              <w:spacing w:before="40" w:after="40"/>
            </w:pPr>
            <w:r>
              <w:rPr>
                <w:sz w:val="20"/>
                <w:szCs w:val="20"/>
              </w:rPr>
              <w:t>State (regional bureau)</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D85DEA0" w14:textId="77777777" w:rsidR="008B176B" w:rsidRDefault="009D00BC">
            <w:pPr>
              <w:spacing w:before="40" w:after="40"/>
            </w:pPr>
            <w:r>
              <w:rPr>
                <w:sz w:val="20"/>
                <w:szCs w:val="20"/>
              </w:rPr>
              <w:t>Mandatory sanctions for significant transactions with Russian defense/intelligence (§ 231) or financial (§ 232) sectors; third-country application to Iran/DPRK/Russia nexus</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3BA613C" w14:textId="77777777" w:rsidR="008B176B" w:rsidRDefault="009D00BC">
            <w:pPr>
              <w:spacing w:before="40" w:after="40"/>
            </w:pPr>
            <w:r>
              <w:rPr>
                <w:sz w:val="20"/>
                <w:szCs w:val="20"/>
              </w:rPr>
              <w:t>Humanitarian, agricultural, and licensed transactions; transactions with non-sanctioned sectors</w:t>
            </w:r>
          </w:p>
        </w:tc>
        <w:tc>
          <w:tcPr>
            <w:tcW w:w="252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0313516" w14:textId="77777777" w:rsidR="008B176B" w:rsidRDefault="009D00BC">
            <w:pPr>
              <w:spacing w:before="40" w:after="40"/>
            </w:pPr>
            <w:r>
              <w:rPr>
                <w:sz w:val="20"/>
                <w:szCs w:val="20"/>
              </w:rPr>
              <w:t>State Department determination. Mandatory provisions more credible than discretionary. CAATSA packages in readiness posture for top Russian defense-sector counterparties</w:t>
            </w:r>
          </w:p>
        </w:tc>
      </w:tr>
      <w:tr w:rsidR="008B176B" w14:paraId="5DFD0E32" w14:textId="77777777">
        <w:tblPrEx>
          <w:tblCellMar>
            <w:top w:w="0" w:type="dxa"/>
            <w:bottom w:w="0" w:type="dxa"/>
          </w:tblCellMar>
        </w:tblPrEx>
        <w:tc>
          <w:tcPr>
            <w:tcW w:w="144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52503283" w14:textId="77777777" w:rsidR="008B176B" w:rsidRDefault="009D00BC">
            <w:pPr>
              <w:spacing w:before="40" w:after="40"/>
            </w:pPr>
            <w:r>
              <w:rPr>
                <w:b/>
                <w:bCs/>
                <w:sz w:val="20"/>
                <w:szCs w:val="20"/>
              </w:rPr>
              <w:t>NKSPEA (22 U.S.C. § 9214)</w:t>
            </w:r>
          </w:p>
        </w:tc>
        <w:tc>
          <w:tcPr>
            <w:tcW w:w="108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9AEB0F7" w14:textId="77777777" w:rsidR="008B176B" w:rsidRDefault="009D00BC">
            <w:pPr>
              <w:spacing w:before="40" w:after="40"/>
            </w:pPr>
            <w:r>
              <w:rPr>
                <w:sz w:val="20"/>
                <w:szCs w:val="20"/>
              </w:rPr>
              <w:t>Treasury/OFAC + State</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DC7EAB7" w14:textId="77777777" w:rsidR="008B176B" w:rsidRDefault="009D00BC">
            <w:pPr>
              <w:spacing w:before="40" w:after="40"/>
            </w:pPr>
            <w:r>
              <w:rPr>
                <w:sz w:val="20"/>
                <w:szCs w:val="20"/>
              </w:rPr>
              <w:t>Designation of entities engaging in significant trade with DPRK in dual-use technology; secondary exposure for DPRK procurement facilitators</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9845968" w14:textId="77777777" w:rsidR="008B176B" w:rsidRDefault="009D00BC">
            <w:pPr>
              <w:spacing w:before="40" w:after="40"/>
            </w:pPr>
            <w:r>
              <w:rPr>
                <w:sz w:val="20"/>
                <w:szCs w:val="20"/>
              </w:rPr>
              <w:t>Humanitarian transactions; entities with no documented DPRK dual-use nexus</w:t>
            </w:r>
          </w:p>
        </w:tc>
        <w:tc>
          <w:tcPr>
            <w:tcW w:w="252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566A60C" w14:textId="77777777" w:rsidR="008B176B" w:rsidRDefault="009D00BC">
            <w:pPr>
              <w:spacing w:before="40" w:after="40"/>
            </w:pPr>
            <w:r>
              <w:rPr>
                <w:sz w:val="20"/>
                <w:szCs w:val="20"/>
              </w:rPr>
              <w:t>Documented significant trade in dual-use technology. Confirmed-attribution standard for PRC-linked entities to ensure durability</w:t>
            </w:r>
          </w:p>
        </w:tc>
      </w:tr>
      <w:tr w:rsidR="008B176B" w14:paraId="378FC6D3" w14:textId="77777777">
        <w:tblPrEx>
          <w:tblCellMar>
            <w:top w:w="0" w:type="dxa"/>
            <w:bottom w:w="0" w:type="dxa"/>
          </w:tblCellMar>
        </w:tblPrEx>
        <w:tc>
          <w:tcPr>
            <w:tcW w:w="144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50168D53" w14:textId="77777777" w:rsidR="008B176B" w:rsidRDefault="009D00BC">
            <w:pPr>
              <w:spacing w:before="40" w:after="40"/>
            </w:pPr>
            <w:r>
              <w:rPr>
                <w:b/>
                <w:bCs/>
                <w:sz w:val="20"/>
                <w:szCs w:val="20"/>
              </w:rPr>
              <w:t>BIS Entity List (15 C.F.R. § 744.11)</w:t>
            </w:r>
          </w:p>
        </w:tc>
        <w:tc>
          <w:tcPr>
            <w:tcW w:w="108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C3877FB" w14:textId="77777777" w:rsidR="008B176B" w:rsidRDefault="009D00BC">
            <w:pPr>
              <w:spacing w:before="40" w:after="40"/>
            </w:pPr>
            <w:r>
              <w:rPr>
                <w:sz w:val="20"/>
                <w:szCs w:val="20"/>
              </w:rPr>
              <w:t>Commerce/BIS</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D5F8EF4" w14:textId="77777777" w:rsidR="008B176B" w:rsidRDefault="009D00BC">
            <w:pPr>
              <w:spacing w:before="40" w:after="40"/>
            </w:pPr>
            <w:r>
              <w:rPr>
                <w:sz w:val="20"/>
                <w:szCs w:val="20"/>
              </w:rPr>
              <w:t>License requirement for all EAR-controlled items to listed entities; simultaneous OFAC action eliminates adaptation window; FDPR extension to non-U.S. firms using U.S.-origin technology</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5FC1E61" w14:textId="77777777" w:rsidR="008B176B" w:rsidRDefault="009D00BC">
            <w:pPr>
              <w:spacing w:before="40" w:after="40"/>
            </w:pPr>
            <w:r>
              <w:rPr>
                <w:sz w:val="20"/>
                <w:szCs w:val="20"/>
              </w:rPr>
              <w:t>Entities without documented diversion risk, military end-use, or evasion pattern; items below EAR control thresholds</w:t>
            </w:r>
          </w:p>
        </w:tc>
        <w:tc>
          <w:tcPr>
            <w:tcW w:w="252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4262CC1" w14:textId="77777777" w:rsidR="008B176B" w:rsidRDefault="009D00BC">
            <w:pPr>
              <w:spacing w:before="40" w:after="40"/>
            </w:pPr>
            <w:r>
              <w:rPr>
                <w:sz w:val="20"/>
                <w:szCs w:val="20"/>
              </w:rPr>
              <w:t>Reasonable cause to believe involvement in activities contrary to U.S. national security/foreign policy (statutory minimum). This paper applies confirmed-attribution standard as durability rule. APA administrative record required</w:t>
            </w:r>
          </w:p>
        </w:tc>
      </w:tr>
      <w:tr w:rsidR="008B176B" w14:paraId="5A7C031D" w14:textId="77777777">
        <w:tblPrEx>
          <w:tblCellMar>
            <w:top w:w="0" w:type="dxa"/>
            <w:bottom w:w="0" w:type="dxa"/>
          </w:tblCellMar>
        </w:tblPrEx>
        <w:tc>
          <w:tcPr>
            <w:tcW w:w="144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21CB56E9" w14:textId="77777777" w:rsidR="008B176B" w:rsidRDefault="009D00BC">
            <w:pPr>
              <w:spacing w:before="40" w:after="40"/>
            </w:pPr>
            <w:r>
              <w:rPr>
                <w:b/>
                <w:bCs/>
                <w:sz w:val="20"/>
                <w:szCs w:val="20"/>
              </w:rPr>
              <w:t>INKSNA (Iran, N. Korea, Syria Nonproliferation Act)</w:t>
            </w:r>
          </w:p>
        </w:tc>
        <w:tc>
          <w:tcPr>
            <w:tcW w:w="108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0D1DC59" w14:textId="77777777" w:rsidR="008B176B" w:rsidRDefault="009D00BC">
            <w:pPr>
              <w:spacing w:before="40" w:after="40"/>
            </w:pPr>
            <w:r>
              <w:rPr>
                <w:sz w:val="20"/>
                <w:szCs w:val="20"/>
              </w:rPr>
              <w:t>State Department</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DFF028B" w14:textId="77777777" w:rsidR="008B176B" w:rsidRDefault="009D00BC">
            <w:pPr>
              <w:spacing w:before="40" w:after="40"/>
            </w:pPr>
            <w:r>
              <w:rPr>
                <w:sz w:val="20"/>
                <w:szCs w:val="20"/>
              </w:rPr>
              <w:t>Mandatory sanctions for transfers of goods/services/technology controlled for WMD or missile reasons to/from Iran, DPRK, or Syria; applies to non-U.S. persons</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B1181E3" w14:textId="77777777" w:rsidR="008B176B" w:rsidRDefault="009D00BC">
            <w:pPr>
              <w:spacing w:before="40" w:after="40"/>
            </w:pPr>
            <w:r>
              <w:rPr>
                <w:sz w:val="20"/>
                <w:szCs w:val="20"/>
              </w:rPr>
              <w:t>Transfers of non-controlled items; humanitarian goods; licensed transfers</w:t>
            </w:r>
          </w:p>
        </w:tc>
        <w:tc>
          <w:tcPr>
            <w:tcW w:w="252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9B0B0D1" w14:textId="77777777" w:rsidR="008B176B" w:rsidRDefault="009D00BC">
            <w:pPr>
              <w:spacing w:before="40" w:after="40"/>
            </w:pPr>
            <w:r>
              <w:rPr>
                <w:sz w:val="20"/>
                <w:szCs w:val="20"/>
              </w:rPr>
              <w:t>State Department finding of covered transfer. Annual certification process. Pattern of documented transfers strengthens determination record</w:t>
            </w:r>
          </w:p>
        </w:tc>
      </w:tr>
      <w:tr w:rsidR="008B176B" w14:paraId="47AA0B92" w14:textId="77777777">
        <w:tblPrEx>
          <w:tblCellMar>
            <w:top w:w="0" w:type="dxa"/>
            <w:bottom w:w="0" w:type="dxa"/>
          </w:tblCellMar>
        </w:tblPrEx>
        <w:tc>
          <w:tcPr>
            <w:tcW w:w="144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62904A6C" w14:textId="77777777" w:rsidR="008B176B" w:rsidRDefault="009D00BC">
            <w:pPr>
              <w:spacing w:before="40" w:after="40"/>
            </w:pPr>
            <w:r>
              <w:rPr>
                <w:b/>
                <w:bCs/>
                <w:sz w:val="20"/>
                <w:szCs w:val="20"/>
              </w:rPr>
              <w:t>Maritime Advisories / Shadow Fleet (OFAC + USCG + State)</w:t>
            </w:r>
          </w:p>
        </w:tc>
        <w:tc>
          <w:tcPr>
            <w:tcW w:w="108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483F7BC" w14:textId="77777777" w:rsidR="008B176B" w:rsidRDefault="009D00BC">
            <w:pPr>
              <w:spacing w:before="40" w:after="40"/>
            </w:pPr>
            <w:r>
              <w:rPr>
                <w:sz w:val="20"/>
                <w:szCs w:val="20"/>
              </w:rPr>
              <w:t>Multi-agency (OFAC lead)</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5C3D3B7" w14:textId="77777777" w:rsidR="008B176B" w:rsidRDefault="009D00BC">
            <w:pPr>
              <w:spacing w:before="40" w:after="40"/>
            </w:pPr>
            <w:r>
              <w:rPr>
                <w:sz w:val="20"/>
                <w:szCs w:val="20"/>
              </w:rPr>
              <w:t>Vessel designation (SDN); Lloyd's/P&amp;I Club advisory severing insurance coverage; classification society guidance; flag-registry engagement; AIS-manipulation documentation</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49E0D51" w14:textId="77777777" w:rsidR="008B176B" w:rsidRDefault="009D00BC">
            <w:pPr>
              <w:spacing w:before="40" w:after="40"/>
            </w:pPr>
            <w:r>
              <w:rPr>
                <w:sz w:val="20"/>
                <w:szCs w:val="20"/>
              </w:rPr>
              <w:t>Lawfully flagged vessels with compliant insurance and no SDN-nexus; vessels with documented legitimate cargo</w:t>
            </w:r>
          </w:p>
        </w:tc>
        <w:tc>
          <w:tcPr>
            <w:tcW w:w="252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E719D3D" w14:textId="77777777" w:rsidR="008B176B" w:rsidRDefault="009D00BC">
            <w:pPr>
              <w:spacing w:before="40" w:after="40"/>
            </w:pPr>
            <w:r>
              <w:rPr>
                <w:sz w:val="20"/>
                <w:szCs w:val="20"/>
              </w:rPr>
              <w:t>OFAC vessel designation requires beneficial owner SDN-nexus or program predicate. AIS manipulation, STS transfer, flag churn documented through commercial analytics (</w:t>
            </w:r>
            <w:proofErr w:type="spellStart"/>
            <w:r>
              <w:rPr>
                <w:sz w:val="20"/>
                <w:szCs w:val="20"/>
              </w:rPr>
              <w:t>Kpler</w:t>
            </w:r>
            <w:proofErr w:type="spellEnd"/>
            <w:r>
              <w:rPr>
                <w:sz w:val="20"/>
                <w:szCs w:val="20"/>
              </w:rPr>
              <w:t xml:space="preserve">, </w:t>
            </w:r>
            <w:proofErr w:type="spellStart"/>
            <w:r>
              <w:rPr>
                <w:sz w:val="20"/>
                <w:szCs w:val="20"/>
              </w:rPr>
              <w:t>Vortexa</w:t>
            </w:r>
            <w:proofErr w:type="spellEnd"/>
            <w:r>
              <w:rPr>
                <w:sz w:val="20"/>
                <w:szCs w:val="20"/>
              </w:rPr>
              <w:t>, NGA)</w:t>
            </w:r>
          </w:p>
        </w:tc>
      </w:tr>
      <w:tr w:rsidR="008B176B" w14:paraId="480F80BE" w14:textId="77777777">
        <w:tblPrEx>
          <w:tblCellMar>
            <w:top w:w="0" w:type="dxa"/>
            <w:bottom w:w="0" w:type="dxa"/>
          </w:tblCellMar>
        </w:tblPrEx>
        <w:tc>
          <w:tcPr>
            <w:tcW w:w="144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618AB4C8" w14:textId="77777777" w:rsidR="008B176B" w:rsidRDefault="009D00BC">
            <w:pPr>
              <w:spacing w:before="40" w:after="40"/>
            </w:pPr>
            <w:r>
              <w:rPr>
                <w:b/>
                <w:bCs/>
                <w:sz w:val="20"/>
                <w:szCs w:val="20"/>
              </w:rPr>
              <w:t>Section 981(k) Substitute Seizure (18 U.S.C. § 981(k))</w:t>
            </w:r>
          </w:p>
        </w:tc>
        <w:tc>
          <w:tcPr>
            <w:tcW w:w="108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1464735" w14:textId="77777777" w:rsidR="008B176B" w:rsidRDefault="009D00BC">
            <w:pPr>
              <w:spacing w:before="40" w:after="40"/>
            </w:pPr>
            <w:r>
              <w:rPr>
                <w:sz w:val="20"/>
                <w:szCs w:val="20"/>
              </w:rPr>
              <w:t>DOJ/AFMLS</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0267AF9" w14:textId="77777777" w:rsidR="008B176B" w:rsidRDefault="009D00BC">
            <w:pPr>
              <w:spacing w:before="40" w:after="40"/>
            </w:pPr>
            <w:r>
              <w:rPr>
                <w:sz w:val="20"/>
                <w:szCs w:val="20"/>
              </w:rPr>
              <w:t>Seizure of correspondent account assets as fungible substitute for overseas illicit proceeds; applies to banks with U.S. correspondent accounts regardless of location</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F485734" w14:textId="77777777" w:rsidR="008B176B" w:rsidRDefault="009D00BC">
            <w:pPr>
              <w:spacing w:before="40" w:after="40"/>
            </w:pPr>
            <w:r>
              <w:rPr>
                <w:sz w:val="20"/>
                <w:szCs w:val="20"/>
              </w:rPr>
              <w:t>Correspondent assets of banks with no traceable sanctioned-entity proceeds; legitimate interbank clearing</w:t>
            </w:r>
          </w:p>
        </w:tc>
        <w:tc>
          <w:tcPr>
            <w:tcW w:w="252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546614D" w14:textId="77777777" w:rsidR="008B176B" w:rsidRDefault="009D00BC">
            <w:pPr>
              <w:spacing w:before="40" w:after="40"/>
            </w:pPr>
            <w:r>
              <w:rPr>
                <w:sz w:val="20"/>
                <w:szCs w:val="20"/>
              </w:rPr>
              <w:t>FTO instrumentality nexus (IRGC designation); judicial warrant; in rem proceedings. Illustrative readiness planning concept: pre-prepared warrant applications for highest-priority IRGC-adjacent entities, available for judicial submission upon authorization. Latency reduction depends on judicial timeline and DOJ resource allocation.</w:t>
            </w:r>
          </w:p>
        </w:tc>
      </w:tr>
      <w:tr w:rsidR="008B176B" w14:paraId="6D617A73" w14:textId="77777777">
        <w:tblPrEx>
          <w:tblCellMar>
            <w:top w:w="0" w:type="dxa"/>
            <w:bottom w:w="0" w:type="dxa"/>
          </w:tblCellMar>
        </w:tblPrEx>
        <w:tc>
          <w:tcPr>
            <w:tcW w:w="144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15CAD497" w14:textId="77777777" w:rsidR="008B176B" w:rsidRDefault="009D00BC">
            <w:pPr>
              <w:spacing w:before="40" w:after="40"/>
            </w:pPr>
            <w:r>
              <w:rPr>
                <w:b/>
                <w:bCs/>
                <w:sz w:val="20"/>
                <w:szCs w:val="20"/>
              </w:rPr>
              <w:t>Customs / WRO / Anti-Evasion (19 U.S.C. § 1307; Enforce &amp; Protect Act)</w:t>
            </w:r>
          </w:p>
        </w:tc>
        <w:tc>
          <w:tcPr>
            <w:tcW w:w="108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14A56FC" w14:textId="77777777" w:rsidR="008B176B" w:rsidRDefault="009D00BC">
            <w:pPr>
              <w:spacing w:before="40" w:after="40"/>
            </w:pPr>
            <w:r>
              <w:rPr>
                <w:sz w:val="20"/>
                <w:szCs w:val="20"/>
              </w:rPr>
              <w:t>CBP + Commerce</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BF7C8E1" w14:textId="77777777" w:rsidR="008B176B" w:rsidRDefault="009D00BC">
            <w:pPr>
              <w:spacing w:before="40" w:after="40"/>
            </w:pPr>
            <w:r>
              <w:rPr>
                <w:sz w:val="20"/>
                <w:szCs w:val="20"/>
              </w:rPr>
              <w:t>Withhold-release orders for forced-labor goods; anti-evasion investigations for transshipment and origin manipulation; exclusion of controlled-technology inputs from U.S. market</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BE23695" w14:textId="77777777" w:rsidR="008B176B" w:rsidRDefault="009D00BC">
            <w:pPr>
              <w:spacing w:before="40" w:after="40"/>
            </w:pPr>
            <w:r>
              <w:rPr>
                <w:sz w:val="20"/>
                <w:szCs w:val="20"/>
              </w:rPr>
              <w:t>Goods with compliant origin documentation and no controlled-technology content; lawful FTA-partner trade</w:t>
            </w:r>
          </w:p>
        </w:tc>
        <w:tc>
          <w:tcPr>
            <w:tcW w:w="252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054B99D" w14:textId="77777777" w:rsidR="008B176B" w:rsidRDefault="009D00BC">
            <w:pPr>
              <w:spacing w:before="40" w:after="40"/>
            </w:pPr>
            <w:r>
              <w:rPr>
                <w:sz w:val="20"/>
                <w:szCs w:val="20"/>
              </w:rPr>
              <w:t>Reasonable cause to believe forced-labor production (WRO). Documented transshipment or origin-manipulation pattern (anti-evasion). Lower threshold than OFAC designation — useful for early-cycle pressure</w:t>
            </w:r>
          </w:p>
        </w:tc>
      </w:tr>
    </w:tbl>
    <w:p w14:paraId="4FA37361" w14:textId="77777777" w:rsidR="008B176B" w:rsidRDefault="008B176B">
      <w:pPr>
        <w:spacing w:before="40" w:after="40"/>
      </w:pPr>
    </w:p>
    <w:p w14:paraId="4C8E35C4" w14:textId="77777777" w:rsidR="008B176B" w:rsidRDefault="008B176B">
      <w:pPr>
        <w:spacing w:before="40" w:after="4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1530"/>
        <w:gridCol w:w="2008"/>
        <w:gridCol w:w="1553"/>
        <w:gridCol w:w="1552"/>
        <w:gridCol w:w="1474"/>
      </w:tblGrid>
      <w:tr w:rsidR="008B176B" w14:paraId="7C232D1F" w14:textId="77777777">
        <w:tblPrEx>
          <w:tblCellMar>
            <w:top w:w="0" w:type="dxa"/>
            <w:bottom w:w="0" w:type="dxa"/>
          </w:tblCellMar>
        </w:tblPrEx>
        <w:tc>
          <w:tcPr>
            <w:tcW w:w="1440" w:type="dxa"/>
            <w:tcBorders>
              <w:top w:val="single" w:sz="1" w:space="0" w:color="AABBCC"/>
              <w:left w:val="single" w:sz="1" w:space="0" w:color="AABBCC"/>
              <w:bottom w:val="single" w:sz="1" w:space="0" w:color="AABBCC"/>
              <w:right w:val="single" w:sz="1" w:space="0" w:color="AABBCC"/>
            </w:tcBorders>
            <w:shd w:val="clear" w:color="auto" w:fill="1F3864"/>
            <w:tcMar>
              <w:top w:w="80" w:type="dxa"/>
              <w:left w:w="120" w:type="dxa"/>
              <w:bottom w:w="80" w:type="dxa"/>
              <w:right w:w="120" w:type="dxa"/>
            </w:tcMar>
          </w:tcPr>
          <w:p w14:paraId="06B17EC4" w14:textId="77777777" w:rsidR="008B176B" w:rsidRDefault="009D00BC">
            <w:r>
              <w:rPr>
                <w:b/>
                <w:bCs/>
                <w:color w:val="FFFFFF"/>
                <w:sz w:val="20"/>
                <w:szCs w:val="20"/>
              </w:rPr>
              <w:t>Authority / Program</w:t>
            </w:r>
          </w:p>
        </w:tc>
        <w:tc>
          <w:tcPr>
            <w:tcW w:w="840" w:type="dxa"/>
            <w:tcBorders>
              <w:top w:val="single" w:sz="1" w:space="0" w:color="AABBCC"/>
              <w:left w:val="single" w:sz="1" w:space="0" w:color="AABBCC"/>
              <w:bottom w:val="single" w:sz="1" w:space="0" w:color="AABBCC"/>
              <w:right w:val="single" w:sz="1" w:space="0" w:color="AABBCC"/>
            </w:tcBorders>
            <w:shd w:val="clear" w:color="auto" w:fill="1F3864"/>
            <w:tcMar>
              <w:top w:w="80" w:type="dxa"/>
              <w:left w:w="120" w:type="dxa"/>
              <w:bottom w:w="80" w:type="dxa"/>
              <w:right w:w="120" w:type="dxa"/>
            </w:tcMar>
          </w:tcPr>
          <w:p w14:paraId="6258E185" w14:textId="77777777" w:rsidR="008B176B" w:rsidRDefault="009D00BC">
            <w:r>
              <w:rPr>
                <w:b/>
                <w:bCs/>
                <w:color w:val="FFFFFF"/>
                <w:sz w:val="20"/>
                <w:szCs w:val="20"/>
              </w:rPr>
              <w:t>Typical Lag</w:t>
            </w:r>
          </w:p>
        </w:tc>
        <w:tc>
          <w:tcPr>
            <w:tcW w:w="1800" w:type="dxa"/>
            <w:tcBorders>
              <w:top w:val="single" w:sz="1" w:space="0" w:color="AABBCC"/>
              <w:left w:val="single" w:sz="1" w:space="0" w:color="AABBCC"/>
              <w:bottom w:val="single" w:sz="1" w:space="0" w:color="AABBCC"/>
              <w:right w:val="single" w:sz="1" w:space="0" w:color="AABBCC"/>
            </w:tcBorders>
            <w:shd w:val="clear" w:color="auto" w:fill="1F3864"/>
            <w:tcMar>
              <w:top w:w="80" w:type="dxa"/>
              <w:left w:w="120" w:type="dxa"/>
              <w:bottom w:w="80" w:type="dxa"/>
              <w:right w:w="120" w:type="dxa"/>
            </w:tcMar>
          </w:tcPr>
          <w:p w14:paraId="06D08DA0" w14:textId="77777777" w:rsidR="008B176B" w:rsidRDefault="009D00BC">
            <w:r>
              <w:rPr>
                <w:b/>
                <w:bCs/>
                <w:color w:val="FFFFFF"/>
                <w:sz w:val="20"/>
                <w:szCs w:val="20"/>
              </w:rPr>
              <w:t>Likely Immediate Effect</w:t>
            </w:r>
          </w:p>
        </w:tc>
        <w:tc>
          <w:tcPr>
            <w:tcW w:w="1800" w:type="dxa"/>
            <w:tcBorders>
              <w:top w:val="single" w:sz="1" w:space="0" w:color="AABBCC"/>
              <w:left w:val="single" w:sz="1" w:space="0" w:color="AABBCC"/>
              <w:bottom w:val="single" w:sz="1" w:space="0" w:color="AABBCC"/>
              <w:right w:val="single" w:sz="1" w:space="0" w:color="AABBCC"/>
            </w:tcBorders>
            <w:shd w:val="clear" w:color="auto" w:fill="1F3864"/>
            <w:tcMar>
              <w:top w:w="80" w:type="dxa"/>
              <w:left w:w="120" w:type="dxa"/>
              <w:bottom w:w="80" w:type="dxa"/>
              <w:right w:w="120" w:type="dxa"/>
            </w:tcMar>
          </w:tcPr>
          <w:p w14:paraId="09D5F298" w14:textId="77777777" w:rsidR="008B176B" w:rsidRDefault="009D00BC">
            <w:r>
              <w:rPr>
                <w:b/>
                <w:bCs/>
                <w:color w:val="FFFFFF"/>
                <w:sz w:val="20"/>
                <w:szCs w:val="20"/>
              </w:rPr>
              <w:t>Likely Second-Order Effect</w:t>
            </w:r>
          </w:p>
        </w:tc>
        <w:tc>
          <w:tcPr>
            <w:tcW w:w="2040" w:type="dxa"/>
            <w:tcBorders>
              <w:top w:val="single" w:sz="1" w:space="0" w:color="AABBCC"/>
              <w:left w:val="single" w:sz="1" w:space="0" w:color="AABBCC"/>
              <w:bottom w:val="single" w:sz="1" w:space="0" w:color="AABBCC"/>
              <w:right w:val="single" w:sz="1" w:space="0" w:color="AABBCC"/>
            </w:tcBorders>
            <w:shd w:val="clear" w:color="auto" w:fill="1F3864"/>
            <w:tcMar>
              <w:top w:w="80" w:type="dxa"/>
              <w:left w:w="120" w:type="dxa"/>
              <w:bottom w:w="80" w:type="dxa"/>
              <w:right w:w="120" w:type="dxa"/>
            </w:tcMar>
          </w:tcPr>
          <w:p w14:paraId="6FC85EEC" w14:textId="77777777" w:rsidR="008B176B" w:rsidRDefault="009D00BC">
            <w:r>
              <w:rPr>
                <w:b/>
                <w:bCs/>
                <w:color w:val="FFFFFF"/>
                <w:sz w:val="20"/>
                <w:szCs w:val="20"/>
              </w:rPr>
              <w:t>Main Legal / Coalition / Market Constraint</w:t>
            </w:r>
          </w:p>
        </w:tc>
        <w:tc>
          <w:tcPr>
            <w:tcW w:w="1440" w:type="dxa"/>
            <w:tcBorders>
              <w:top w:val="single" w:sz="1" w:space="0" w:color="AABBCC"/>
              <w:left w:val="single" w:sz="1" w:space="0" w:color="AABBCC"/>
              <w:bottom w:val="single" w:sz="1" w:space="0" w:color="AABBCC"/>
              <w:right w:val="single" w:sz="1" w:space="0" w:color="AABBCC"/>
            </w:tcBorders>
            <w:shd w:val="clear" w:color="auto" w:fill="1F3864"/>
            <w:tcMar>
              <w:top w:w="80" w:type="dxa"/>
              <w:left w:w="120" w:type="dxa"/>
              <w:bottom w:w="80" w:type="dxa"/>
              <w:right w:w="120" w:type="dxa"/>
            </w:tcMar>
          </w:tcPr>
          <w:p w14:paraId="74EE7C4B" w14:textId="77777777" w:rsidR="008B176B" w:rsidRDefault="009D00BC">
            <w:r>
              <w:rPr>
                <w:b/>
                <w:bCs/>
                <w:color w:val="FFFFFF"/>
                <w:sz w:val="20"/>
                <w:szCs w:val="20"/>
              </w:rPr>
              <w:t>Reversibility / Off-Ramp</w:t>
            </w:r>
          </w:p>
        </w:tc>
      </w:tr>
      <w:tr w:rsidR="008B176B" w14:paraId="05F63657" w14:textId="77777777">
        <w:tblPrEx>
          <w:tblCellMar>
            <w:top w:w="0" w:type="dxa"/>
            <w:bottom w:w="0" w:type="dxa"/>
          </w:tblCellMar>
        </w:tblPrEx>
        <w:tc>
          <w:tcPr>
            <w:tcW w:w="144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6C870368" w14:textId="77777777" w:rsidR="008B176B" w:rsidRDefault="009D00BC">
            <w:pPr>
              <w:spacing w:before="40" w:after="40"/>
            </w:pPr>
            <w:r>
              <w:rPr>
                <w:b/>
                <w:bCs/>
                <w:sz w:val="20"/>
                <w:szCs w:val="20"/>
              </w:rPr>
              <w:t xml:space="preserve">OFAC SDN / IEEPA </w:t>
            </w:r>
            <w:proofErr w:type="spellStart"/>
            <w:r>
              <w:rPr>
                <w:b/>
                <w:bCs/>
                <w:sz w:val="20"/>
                <w:szCs w:val="20"/>
              </w:rPr>
              <w:t>EOs</w:t>
            </w:r>
            <w:proofErr w:type="spellEnd"/>
          </w:p>
        </w:tc>
        <w:tc>
          <w:tcPr>
            <w:tcW w:w="8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29AA472" w14:textId="77777777" w:rsidR="008B176B" w:rsidRDefault="009D00BC">
            <w:pPr>
              <w:spacing w:before="40" w:after="40"/>
            </w:pPr>
            <w:r>
              <w:rPr>
                <w:sz w:val="20"/>
                <w:szCs w:val="20"/>
              </w:rPr>
              <w:t>45-120 days standard; pre-staged: threshold-triggered</w:t>
            </w:r>
          </w:p>
        </w:tc>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1A36009" w14:textId="77777777" w:rsidR="008B176B" w:rsidRDefault="009D00BC">
            <w:pPr>
              <w:spacing w:before="40" w:after="40"/>
            </w:pPr>
            <w:r>
              <w:rPr>
                <w:sz w:val="20"/>
                <w:szCs w:val="20"/>
              </w:rPr>
              <w:t>Asset blocking; U.S. financial system exclusion; downstream compliance pressure on counterparties</w:t>
            </w:r>
          </w:p>
        </w:tc>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3A82313" w14:textId="77777777" w:rsidR="008B176B" w:rsidRDefault="009D00BC">
            <w:pPr>
              <w:spacing w:before="40" w:after="40"/>
            </w:pPr>
            <w:r>
              <w:rPr>
                <w:sz w:val="20"/>
                <w:szCs w:val="20"/>
              </w:rPr>
              <w:t>Network fragmentation; intermediary exit; elevated state subsidy burden; rerouting cost inflation</w:t>
            </w:r>
          </w:p>
        </w:tc>
        <w:tc>
          <w:tcPr>
            <w:tcW w:w="20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4562F4C" w14:textId="77777777" w:rsidR="008B176B" w:rsidRDefault="009D00BC">
            <w:pPr>
              <w:spacing w:before="40" w:after="40"/>
            </w:pPr>
            <w:r>
              <w:rPr>
                <w:sz w:val="20"/>
                <w:szCs w:val="20"/>
              </w:rPr>
              <w:t>IEEPA nexus requirement; APA arbitrary-and-capricious review; coalition fracture if applied without coordination at Tier 2+; dollar-reserve trajectory guardrail at Tier 3</w:t>
            </w:r>
          </w:p>
        </w:tc>
        <w:tc>
          <w:tcPr>
            <w:tcW w:w="14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9615491" w14:textId="77777777" w:rsidR="008B176B" w:rsidRDefault="009D00BC">
            <w:pPr>
              <w:spacing w:before="40" w:after="40"/>
            </w:pPr>
            <w:r>
              <w:rPr>
                <w:sz w:val="20"/>
                <w:szCs w:val="20"/>
              </w:rPr>
              <w:t>OFAC administrative delisting on verified conduct cessation; coalition concurrence at Tier 2+</w:t>
            </w:r>
          </w:p>
        </w:tc>
      </w:tr>
      <w:tr w:rsidR="008B176B" w14:paraId="610FDAA1" w14:textId="77777777">
        <w:tblPrEx>
          <w:tblCellMar>
            <w:top w:w="0" w:type="dxa"/>
            <w:bottom w:w="0" w:type="dxa"/>
          </w:tblCellMar>
        </w:tblPrEx>
        <w:tc>
          <w:tcPr>
            <w:tcW w:w="144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518F5E27" w14:textId="77777777" w:rsidR="008B176B" w:rsidRDefault="009D00BC">
            <w:pPr>
              <w:spacing w:before="40" w:after="40"/>
            </w:pPr>
            <w:r>
              <w:rPr>
                <w:b/>
                <w:bCs/>
                <w:sz w:val="20"/>
                <w:szCs w:val="20"/>
              </w:rPr>
              <w:t>Section 311</w:t>
            </w:r>
          </w:p>
        </w:tc>
        <w:tc>
          <w:tcPr>
            <w:tcW w:w="8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41BE101" w14:textId="77777777" w:rsidR="008B176B" w:rsidRDefault="009D00BC">
            <w:pPr>
              <w:spacing w:before="40" w:after="40"/>
            </w:pPr>
            <w:r>
              <w:rPr>
                <w:sz w:val="20"/>
                <w:szCs w:val="20"/>
              </w:rPr>
              <w:t>45-90 days standard; 10-day expedited track on breach</w:t>
            </w:r>
          </w:p>
        </w:tc>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C9386E1" w14:textId="77777777" w:rsidR="008B176B" w:rsidRDefault="009D00BC">
            <w:pPr>
              <w:spacing w:before="40" w:after="40"/>
            </w:pPr>
            <w:r>
              <w:rPr>
                <w:sz w:val="20"/>
                <w:szCs w:val="20"/>
              </w:rPr>
              <w:t>USD correspondent severance; U.S. financial system exclusion for designated institution</w:t>
            </w:r>
          </w:p>
        </w:tc>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2AA4354" w14:textId="77777777" w:rsidR="008B176B" w:rsidRDefault="009D00BC">
            <w:pPr>
              <w:spacing w:before="40" w:after="40"/>
            </w:pPr>
            <w:r>
              <w:rPr>
                <w:sz w:val="20"/>
                <w:szCs w:val="20"/>
              </w:rPr>
              <w:t>Network rerouting to non-designated institutions; pressure on hub-jurisdiction regulators to impose own AML action</w:t>
            </w:r>
          </w:p>
        </w:tc>
        <w:tc>
          <w:tcPr>
            <w:tcW w:w="20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8E59BF8" w14:textId="77777777" w:rsidR="008B176B" w:rsidRDefault="009D00BC">
            <w:pPr>
              <w:spacing w:before="40" w:after="40"/>
            </w:pPr>
            <w:r>
              <w:rPr>
                <w:sz w:val="20"/>
                <w:szCs w:val="20"/>
              </w:rPr>
              <w:t>APA compliance; Deputies concurrence for major institutional targets; guardrail review for sovereign-adjacent institutions; humanitarian General License required for carve-outs</w:t>
            </w:r>
          </w:p>
        </w:tc>
        <w:tc>
          <w:tcPr>
            <w:tcW w:w="14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B9D6A9C" w14:textId="77777777" w:rsidR="008B176B" w:rsidRDefault="009D00BC">
            <w:pPr>
              <w:spacing w:before="40" w:after="40"/>
            </w:pPr>
            <w:r>
              <w:rPr>
                <w:sz w:val="20"/>
                <w:szCs w:val="20"/>
              </w:rPr>
              <w:t>FinCEN revocation on verified compliance remediation; structured remediation window available</w:t>
            </w:r>
          </w:p>
        </w:tc>
      </w:tr>
      <w:tr w:rsidR="008B176B" w14:paraId="41995C65" w14:textId="77777777">
        <w:tblPrEx>
          <w:tblCellMar>
            <w:top w:w="0" w:type="dxa"/>
            <w:bottom w:w="0" w:type="dxa"/>
          </w:tblCellMar>
        </w:tblPrEx>
        <w:tc>
          <w:tcPr>
            <w:tcW w:w="144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38434B59" w14:textId="77777777" w:rsidR="008B176B" w:rsidRDefault="009D00BC">
            <w:pPr>
              <w:spacing w:before="40" w:after="40"/>
            </w:pPr>
            <w:r>
              <w:rPr>
                <w:b/>
                <w:bCs/>
                <w:sz w:val="20"/>
                <w:szCs w:val="20"/>
              </w:rPr>
              <w:t>CISADA § 104</w:t>
            </w:r>
          </w:p>
        </w:tc>
        <w:tc>
          <w:tcPr>
            <w:tcW w:w="8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8AE6EA6" w14:textId="77777777" w:rsidR="008B176B" w:rsidRDefault="009D00BC">
            <w:pPr>
              <w:spacing w:before="40" w:after="40"/>
            </w:pPr>
            <w:r>
              <w:rPr>
                <w:sz w:val="20"/>
                <w:szCs w:val="20"/>
              </w:rPr>
              <w:t>Upon positive finding; pre-staged packages eliminate lag for top targets</w:t>
            </w:r>
          </w:p>
        </w:tc>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6D79D90" w14:textId="77777777" w:rsidR="008B176B" w:rsidRDefault="009D00BC">
            <w:pPr>
              <w:spacing w:before="40" w:after="40"/>
            </w:pPr>
            <w:r>
              <w:rPr>
                <w:sz w:val="20"/>
                <w:szCs w:val="20"/>
              </w:rPr>
              <w:t>Mandatory correspondent severance; USD clearing denial for designated institution</w:t>
            </w:r>
          </w:p>
        </w:tc>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8C46D30" w14:textId="77777777" w:rsidR="008B176B" w:rsidRDefault="009D00BC">
            <w:pPr>
              <w:spacing w:before="40" w:after="40"/>
            </w:pPr>
            <w:r>
              <w:rPr>
                <w:sz w:val="20"/>
                <w:szCs w:val="20"/>
              </w:rPr>
              <w:t>Deterrence effect on other facilitating institutions; PRC-bank calculation that NIOC business is not worth USD access risk</w:t>
            </w:r>
          </w:p>
        </w:tc>
        <w:tc>
          <w:tcPr>
            <w:tcW w:w="20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29D960A" w14:textId="77777777" w:rsidR="008B176B" w:rsidRDefault="009D00BC">
            <w:pPr>
              <w:spacing w:before="40" w:after="40"/>
            </w:pPr>
            <w:r>
              <w:rPr>
                <w:sz w:val="20"/>
                <w:szCs w:val="20"/>
              </w:rPr>
              <w:t>Mandatory upon finding — reduces political discretion but also removes flexibility; requires evidentiary record sufficient for Treasury/State joint determination</w:t>
            </w:r>
          </w:p>
        </w:tc>
        <w:tc>
          <w:tcPr>
            <w:tcW w:w="14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291E209" w14:textId="77777777" w:rsidR="008B176B" w:rsidRDefault="009D00BC">
            <w:pPr>
              <w:spacing w:before="40" w:after="40"/>
            </w:pPr>
            <w:r>
              <w:rPr>
                <w:sz w:val="20"/>
                <w:szCs w:val="20"/>
              </w:rPr>
              <w:t>Delisting upon documented cessation of NIOC facilitation; allied concurrence</w:t>
            </w:r>
          </w:p>
        </w:tc>
      </w:tr>
      <w:tr w:rsidR="008B176B" w14:paraId="64CCF104" w14:textId="77777777">
        <w:tblPrEx>
          <w:tblCellMar>
            <w:top w:w="0" w:type="dxa"/>
            <w:bottom w:w="0" w:type="dxa"/>
          </w:tblCellMar>
        </w:tblPrEx>
        <w:tc>
          <w:tcPr>
            <w:tcW w:w="144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337A6276" w14:textId="77777777" w:rsidR="008B176B" w:rsidRDefault="009D00BC">
            <w:pPr>
              <w:spacing w:before="40" w:after="40"/>
            </w:pPr>
            <w:r>
              <w:rPr>
                <w:b/>
                <w:bCs/>
                <w:sz w:val="20"/>
                <w:szCs w:val="20"/>
              </w:rPr>
              <w:t>CAATSA §§ 231-232</w:t>
            </w:r>
          </w:p>
        </w:tc>
        <w:tc>
          <w:tcPr>
            <w:tcW w:w="8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920258D" w14:textId="77777777" w:rsidR="008B176B" w:rsidRDefault="009D00BC">
            <w:pPr>
              <w:spacing w:before="40" w:after="40"/>
            </w:pPr>
            <w:r>
              <w:rPr>
                <w:sz w:val="20"/>
                <w:szCs w:val="20"/>
              </w:rPr>
              <w:t>State Department determination; pre-staged packages reduce lag</w:t>
            </w:r>
          </w:p>
        </w:tc>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14D8682" w14:textId="77777777" w:rsidR="008B176B" w:rsidRDefault="009D00BC">
            <w:pPr>
              <w:spacing w:before="40" w:after="40"/>
            </w:pPr>
            <w:r>
              <w:rPr>
                <w:sz w:val="20"/>
                <w:szCs w:val="20"/>
              </w:rPr>
              <w:t>Sanctions on third-country entities with Russian defense/intelligence nexus; deterrence on remaining facilitators</w:t>
            </w:r>
          </w:p>
        </w:tc>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62E25D4" w14:textId="77777777" w:rsidR="008B176B" w:rsidRDefault="009D00BC">
            <w:pPr>
              <w:spacing w:before="40" w:after="40"/>
            </w:pPr>
            <w:r>
              <w:rPr>
                <w:sz w:val="20"/>
                <w:szCs w:val="20"/>
              </w:rPr>
              <w:t>Reduced supply of sophisticated Russian military inputs from third-country sources; pressure on transit corridors</w:t>
            </w:r>
          </w:p>
        </w:tc>
        <w:tc>
          <w:tcPr>
            <w:tcW w:w="20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36E38D7" w14:textId="77777777" w:rsidR="008B176B" w:rsidRDefault="009D00BC">
            <w:pPr>
              <w:spacing w:before="40" w:after="40"/>
            </w:pPr>
            <w:r>
              <w:rPr>
                <w:sz w:val="20"/>
                <w:szCs w:val="20"/>
              </w:rPr>
              <w:t>State Department lead; mandatory character constrains discretion; allied coordination essential to avoid fracture where same partners have Russian economic exposure</w:t>
            </w:r>
          </w:p>
        </w:tc>
        <w:tc>
          <w:tcPr>
            <w:tcW w:w="14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6876F7E" w14:textId="77777777" w:rsidR="008B176B" w:rsidRDefault="009D00BC">
            <w:pPr>
              <w:spacing w:before="40" w:after="40"/>
            </w:pPr>
            <w:r>
              <w:rPr>
                <w:sz w:val="20"/>
                <w:szCs w:val="20"/>
              </w:rPr>
              <w:t>State determination of cessation; multilateral coordination where entity subject to parallel allied controls</w:t>
            </w:r>
          </w:p>
        </w:tc>
      </w:tr>
      <w:tr w:rsidR="008B176B" w14:paraId="089502AA" w14:textId="77777777">
        <w:tblPrEx>
          <w:tblCellMar>
            <w:top w:w="0" w:type="dxa"/>
            <w:bottom w:w="0" w:type="dxa"/>
          </w:tblCellMar>
        </w:tblPrEx>
        <w:tc>
          <w:tcPr>
            <w:tcW w:w="144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254701CB" w14:textId="77777777" w:rsidR="008B176B" w:rsidRDefault="009D00BC">
            <w:pPr>
              <w:spacing w:before="40" w:after="40"/>
            </w:pPr>
            <w:r>
              <w:rPr>
                <w:b/>
                <w:bCs/>
                <w:sz w:val="20"/>
                <w:szCs w:val="20"/>
              </w:rPr>
              <w:t>NKSPEA</w:t>
            </w:r>
          </w:p>
        </w:tc>
        <w:tc>
          <w:tcPr>
            <w:tcW w:w="8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01C8C55" w14:textId="77777777" w:rsidR="008B176B" w:rsidRDefault="009D00BC">
            <w:pPr>
              <w:spacing w:before="40" w:after="40"/>
            </w:pPr>
            <w:r>
              <w:rPr>
                <w:sz w:val="20"/>
                <w:szCs w:val="20"/>
              </w:rPr>
              <w:t>State Department determination</w:t>
            </w:r>
          </w:p>
        </w:tc>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2406C93" w14:textId="77777777" w:rsidR="008B176B" w:rsidRDefault="009D00BC">
            <w:pPr>
              <w:spacing w:before="40" w:after="40"/>
            </w:pPr>
            <w:r>
              <w:rPr>
                <w:sz w:val="20"/>
                <w:szCs w:val="20"/>
              </w:rPr>
              <w:t>Designation of DPRK dual-use facilitators; restriction on their access to U.S. market and financial system</w:t>
            </w:r>
          </w:p>
        </w:tc>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C921920" w14:textId="77777777" w:rsidR="008B176B" w:rsidRDefault="009D00BC">
            <w:pPr>
              <w:spacing w:before="40" w:after="40"/>
            </w:pPr>
            <w:r>
              <w:rPr>
                <w:sz w:val="20"/>
                <w:szCs w:val="20"/>
              </w:rPr>
              <w:t>Disruption of DPRK procurement pipeline; elevated procurement latency; increased shell-structure cycling</w:t>
            </w:r>
          </w:p>
        </w:tc>
        <w:tc>
          <w:tcPr>
            <w:tcW w:w="20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BDA8C4F" w14:textId="77777777" w:rsidR="008B176B" w:rsidRDefault="009D00BC">
            <w:pPr>
              <w:spacing w:before="40" w:after="40"/>
            </w:pPr>
            <w:r>
              <w:rPr>
                <w:sz w:val="20"/>
                <w:szCs w:val="20"/>
              </w:rPr>
              <w:t>Confirmed-attribution evidentiary standard required for PRC-linked entities; coalition coordination before actions affecting major PRC commercial actors</w:t>
            </w:r>
          </w:p>
        </w:tc>
        <w:tc>
          <w:tcPr>
            <w:tcW w:w="14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A458891" w14:textId="77777777" w:rsidR="008B176B" w:rsidRDefault="009D00BC">
            <w:pPr>
              <w:spacing w:before="40" w:after="40"/>
            </w:pPr>
            <w:r>
              <w:rPr>
                <w:sz w:val="20"/>
                <w:szCs w:val="20"/>
              </w:rPr>
              <w:t>State determination of cessation; OFAC delisting on verified conduct change</w:t>
            </w:r>
          </w:p>
        </w:tc>
      </w:tr>
      <w:tr w:rsidR="008B176B" w14:paraId="791B03ED" w14:textId="77777777">
        <w:tblPrEx>
          <w:tblCellMar>
            <w:top w:w="0" w:type="dxa"/>
            <w:bottom w:w="0" w:type="dxa"/>
          </w:tblCellMar>
        </w:tblPrEx>
        <w:tc>
          <w:tcPr>
            <w:tcW w:w="144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5793DB05" w14:textId="77777777" w:rsidR="008B176B" w:rsidRDefault="009D00BC">
            <w:pPr>
              <w:spacing w:before="40" w:after="40"/>
            </w:pPr>
            <w:r>
              <w:rPr>
                <w:b/>
                <w:bCs/>
                <w:sz w:val="20"/>
                <w:szCs w:val="20"/>
              </w:rPr>
              <w:t>BIS Entity List</w:t>
            </w:r>
          </w:p>
        </w:tc>
        <w:tc>
          <w:tcPr>
            <w:tcW w:w="8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E462F8C" w14:textId="77777777" w:rsidR="008B176B" w:rsidRDefault="009D00BC">
            <w:pPr>
              <w:spacing w:before="40" w:after="40"/>
            </w:pPr>
            <w:r>
              <w:rPr>
                <w:sz w:val="20"/>
                <w:szCs w:val="20"/>
              </w:rPr>
              <w:t>Standard pipeline varies; simultaneous OFAC+BIS eliminates 30-90 day adaptation window</w:t>
            </w:r>
          </w:p>
        </w:tc>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59AFACE" w14:textId="77777777" w:rsidR="008B176B" w:rsidRDefault="009D00BC">
            <w:pPr>
              <w:spacing w:before="40" w:after="40"/>
            </w:pPr>
            <w:r>
              <w:rPr>
                <w:sz w:val="20"/>
                <w:szCs w:val="20"/>
              </w:rPr>
              <w:t>License requirement for all EAR-controlled items; denial of controlled technology access</w:t>
            </w:r>
          </w:p>
        </w:tc>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5948EB8" w14:textId="77777777" w:rsidR="008B176B" w:rsidRDefault="009D00BC">
            <w:pPr>
              <w:spacing w:before="40" w:after="40"/>
            </w:pPr>
            <w:r>
              <w:rPr>
                <w:sz w:val="20"/>
                <w:szCs w:val="20"/>
              </w:rPr>
              <w:t>Procurement rerouting through non-listed intermediaries; accelerated domestic development by denied entity; FDPR pressure on third-country suppliers</w:t>
            </w:r>
          </w:p>
        </w:tc>
        <w:tc>
          <w:tcPr>
            <w:tcW w:w="20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F34198A" w14:textId="77777777" w:rsidR="008B176B" w:rsidRDefault="009D00BC">
            <w:pPr>
              <w:spacing w:before="40" w:after="40"/>
            </w:pPr>
            <w:r>
              <w:rPr>
                <w:sz w:val="20"/>
                <w:szCs w:val="20"/>
              </w:rPr>
              <w:t>APA due process; FDPR jurisdictional predicates (U.S.-origin content threshold); allied coordination for FDPR application; adversarial Entity List removal proceedings</w:t>
            </w:r>
          </w:p>
        </w:tc>
        <w:tc>
          <w:tcPr>
            <w:tcW w:w="14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CC47DCD" w14:textId="77777777" w:rsidR="008B176B" w:rsidRDefault="009D00BC">
            <w:pPr>
              <w:spacing w:before="40" w:after="40"/>
            </w:pPr>
            <w:r>
              <w:rPr>
                <w:sz w:val="20"/>
                <w:szCs w:val="20"/>
              </w:rPr>
              <w:t>BIS administrative review of removal request; delisting on demonstrated conduct change; allied coordination where parallel controls exist</w:t>
            </w:r>
          </w:p>
        </w:tc>
      </w:tr>
      <w:tr w:rsidR="008B176B" w14:paraId="15256C1C" w14:textId="77777777">
        <w:tblPrEx>
          <w:tblCellMar>
            <w:top w:w="0" w:type="dxa"/>
            <w:bottom w:w="0" w:type="dxa"/>
          </w:tblCellMar>
        </w:tblPrEx>
        <w:tc>
          <w:tcPr>
            <w:tcW w:w="144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1C728EDD" w14:textId="77777777" w:rsidR="008B176B" w:rsidRDefault="009D00BC">
            <w:pPr>
              <w:spacing w:before="40" w:after="40"/>
            </w:pPr>
            <w:r>
              <w:rPr>
                <w:b/>
                <w:bCs/>
                <w:sz w:val="20"/>
                <w:szCs w:val="20"/>
              </w:rPr>
              <w:t>INKSNA</w:t>
            </w:r>
          </w:p>
        </w:tc>
        <w:tc>
          <w:tcPr>
            <w:tcW w:w="8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1DF802F" w14:textId="77777777" w:rsidR="008B176B" w:rsidRDefault="009D00BC">
            <w:pPr>
              <w:spacing w:before="40" w:after="40"/>
            </w:pPr>
            <w:r>
              <w:rPr>
                <w:sz w:val="20"/>
                <w:szCs w:val="20"/>
              </w:rPr>
              <w:t>State Department annual certification; ad hoc determination possible</w:t>
            </w:r>
          </w:p>
        </w:tc>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6458B5A" w14:textId="77777777" w:rsidR="008B176B" w:rsidRDefault="009D00BC">
            <w:pPr>
              <w:spacing w:before="40" w:after="40"/>
            </w:pPr>
            <w:r>
              <w:rPr>
                <w:sz w:val="20"/>
                <w:szCs w:val="20"/>
              </w:rPr>
              <w:t>Mandatory sanctions on transferring entities; access restriction to U.S. market, financial system, and government procurement</w:t>
            </w:r>
          </w:p>
        </w:tc>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4FFD456" w14:textId="77777777" w:rsidR="008B176B" w:rsidRDefault="009D00BC">
            <w:pPr>
              <w:spacing w:before="40" w:after="40"/>
            </w:pPr>
            <w:r>
              <w:rPr>
                <w:sz w:val="20"/>
                <w:szCs w:val="20"/>
              </w:rPr>
              <w:t>Deterrence effect on potential future transferors; pressure on technology-source states to restrict controlled transfers</w:t>
            </w:r>
          </w:p>
        </w:tc>
        <w:tc>
          <w:tcPr>
            <w:tcW w:w="20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581BC82" w14:textId="77777777" w:rsidR="008B176B" w:rsidRDefault="009D00BC">
            <w:pPr>
              <w:spacing w:before="40" w:after="40"/>
            </w:pPr>
            <w:r>
              <w:rPr>
                <w:sz w:val="20"/>
                <w:szCs w:val="20"/>
              </w:rPr>
              <w:t>Annual certification creates predictable rhythm; ad hoc determinations require documented transfer evidence; foreign government political cost when own nationals are designated</w:t>
            </w:r>
          </w:p>
        </w:tc>
        <w:tc>
          <w:tcPr>
            <w:tcW w:w="14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D29BC31" w14:textId="77777777" w:rsidR="008B176B" w:rsidRDefault="009D00BC">
            <w:pPr>
              <w:spacing w:before="40" w:after="40"/>
            </w:pPr>
            <w:r>
              <w:rPr>
                <w:sz w:val="20"/>
                <w:szCs w:val="20"/>
              </w:rPr>
              <w:t>State certification modification; no formal off-ramp provision — conduct cessation and diplomatic engagement are the primary pathways</w:t>
            </w:r>
          </w:p>
        </w:tc>
      </w:tr>
      <w:tr w:rsidR="008B176B" w14:paraId="217507DB" w14:textId="77777777">
        <w:tblPrEx>
          <w:tblCellMar>
            <w:top w:w="0" w:type="dxa"/>
            <w:bottom w:w="0" w:type="dxa"/>
          </w:tblCellMar>
        </w:tblPrEx>
        <w:tc>
          <w:tcPr>
            <w:tcW w:w="144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57B12C83" w14:textId="77777777" w:rsidR="008B176B" w:rsidRDefault="009D00BC">
            <w:pPr>
              <w:spacing w:before="40" w:after="40"/>
            </w:pPr>
            <w:r>
              <w:rPr>
                <w:b/>
                <w:bCs/>
                <w:sz w:val="20"/>
                <w:szCs w:val="20"/>
              </w:rPr>
              <w:t>Maritime Advisories / Shadow Fleet</w:t>
            </w:r>
          </w:p>
        </w:tc>
        <w:tc>
          <w:tcPr>
            <w:tcW w:w="8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3057C39" w14:textId="77777777" w:rsidR="008B176B" w:rsidRDefault="009D00BC">
            <w:pPr>
              <w:spacing w:before="40" w:after="40"/>
            </w:pPr>
            <w:r>
              <w:rPr>
                <w:sz w:val="20"/>
                <w:szCs w:val="20"/>
              </w:rPr>
              <w:t>Advisory: immediate; SDN designation: 45-120 days; Lloyd's/P&amp;I: coordinated advisory timing</w:t>
            </w:r>
          </w:p>
        </w:tc>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47B805B" w14:textId="77777777" w:rsidR="008B176B" w:rsidRDefault="009D00BC">
            <w:pPr>
              <w:spacing w:before="40" w:after="40"/>
            </w:pPr>
            <w:r>
              <w:rPr>
                <w:sz w:val="20"/>
                <w:szCs w:val="20"/>
              </w:rPr>
              <w:t>Insurance withdrawal for designated vessels; port-access complications; flag-registry compliance pressure; classification society guidance compliance</w:t>
            </w:r>
          </w:p>
        </w:tc>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0F8013E" w14:textId="77777777" w:rsidR="008B176B" w:rsidRDefault="009D00BC">
            <w:pPr>
              <w:spacing w:before="40" w:after="40"/>
            </w:pPr>
            <w:r>
              <w:rPr>
                <w:sz w:val="20"/>
                <w:szCs w:val="20"/>
              </w:rPr>
              <w:t>Fleet expansion constraint; increased operational cost for shadow operators; flag-registry reform pressure; reduced normalization of workaround infrastructure</w:t>
            </w:r>
          </w:p>
        </w:tc>
        <w:tc>
          <w:tcPr>
            <w:tcW w:w="20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5548DBA" w14:textId="77777777" w:rsidR="008B176B" w:rsidRDefault="009D00BC">
            <w:pPr>
              <w:spacing w:before="40" w:after="40"/>
            </w:pPr>
            <w:r>
              <w:rPr>
                <w:sz w:val="20"/>
                <w:szCs w:val="20"/>
              </w:rPr>
              <w:t>Unilateral OFAC advisories have not fully closed Lloyd's market jurisdictional gap — U.S.-UK coordinated advisory required; Malacca Strait partner bilateral engagement required before interdiction; lethal interdiction requires § 3093 finding (out of scope)</w:t>
            </w:r>
          </w:p>
        </w:tc>
        <w:tc>
          <w:tcPr>
            <w:tcW w:w="14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7CDE91F" w14:textId="77777777" w:rsidR="008B176B" w:rsidRDefault="009D00BC">
            <w:pPr>
              <w:spacing w:before="40" w:after="40"/>
            </w:pPr>
            <w:r>
              <w:rPr>
                <w:sz w:val="20"/>
                <w:szCs w:val="20"/>
              </w:rPr>
              <w:t>SDN delisting on vessel ownership change and conduct cessation; advisory withdrawal on documented compliance; Lloyd's coverage restoration on delisting</w:t>
            </w:r>
          </w:p>
        </w:tc>
      </w:tr>
      <w:tr w:rsidR="008B176B" w14:paraId="6B9A8187" w14:textId="77777777">
        <w:tblPrEx>
          <w:tblCellMar>
            <w:top w:w="0" w:type="dxa"/>
            <w:bottom w:w="0" w:type="dxa"/>
          </w:tblCellMar>
        </w:tblPrEx>
        <w:tc>
          <w:tcPr>
            <w:tcW w:w="144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21BB1BE0" w14:textId="77777777" w:rsidR="008B176B" w:rsidRDefault="009D00BC">
            <w:pPr>
              <w:spacing w:before="40" w:after="40"/>
            </w:pPr>
            <w:r>
              <w:rPr>
                <w:b/>
                <w:bCs/>
                <w:sz w:val="20"/>
                <w:szCs w:val="20"/>
              </w:rPr>
              <w:t>Section 981(k) Substitute Seizure</w:t>
            </w:r>
          </w:p>
        </w:tc>
        <w:tc>
          <w:tcPr>
            <w:tcW w:w="8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2292683" w14:textId="77777777" w:rsidR="008B176B" w:rsidRDefault="009D00BC">
            <w:pPr>
              <w:spacing w:before="40" w:after="40"/>
            </w:pPr>
            <w:r>
              <w:rPr>
                <w:sz w:val="20"/>
                <w:szCs w:val="20"/>
              </w:rPr>
              <w:t>Judicial timeline; pre-staged warrants reduce to weeks</w:t>
            </w:r>
          </w:p>
        </w:tc>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FB723AB" w14:textId="77777777" w:rsidR="008B176B" w:rsidRDefault="009D00BC">
            <w:pPr>
              <w:spacing w:before="40" w:after="40"/>
            </w:pPr>
            <w:r>
              <w:rPr>
                <w:sz w:val="20"/>
                <w:szCs w:val="20"/>
              </w:rPr>
              <w:t>Seizure of correspondent account assets; enforcement signal to other correspondent-relationship banks</w:t>
            </w:r>
          </w:p>
        </w:tc>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FE013D0" w14:textId="77777777" w:rsidR="008B176B" w:rsidRDefault="009D00BC">
            <w:pPr>
              <w:spacing w:before="40" w:after="40"/>
            </w:pPr>
            <w:r>
              <w:rPr>
                <w:sz w:val="20"/>
                <w:szCs w:val="20"/>
              </w:rPr>
              <w:t>Compliance recalculation by other foreign banks with U.S. correspondent relationships; increased due diligence on sanctioned-party clients</w:t>
            </w:r>
          </w:p>
        </w:tc>
        <w:tc>
          <w:tcPr>
            <w:tcW w:w="20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264F158" w14:textId="77777777" w:rsidR="008B176B" w:rsidRDefault="009D00BC">
            <w:pPr>
              <w:spacing w:before="40" w:after="40"/>
            </w:pPr>
            <w:r>
              <w:rPr>
                <w:sz w:val="20"/>
                <w:szCs w:val="20"/>
              </w:rPr>
              <w:t>FTO nexus must be judicially documented; OLC opinion required for full vessel confiscation; diplomatic friction with correspondent bank's home government</w:t>
            </w:r>
          </w:p>
        </w:tc>
        <w:tc>
          <w:tcPr>
            <w:tcW w:w="14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58BB48E" w14:textId="77777777" w:rsidR="008B176B" w:rsidRDefault="009D00BC">
            <w:pPr>
              <w:spacing w:before="40" w:after="40"/>
            </w:pPr>
            <w:r>
              <w:rPr>
                <w:sz w:val="20"/>
                <w:szCs w:val="20"/>
              </w:rPr>
              <w:t>Asset recovery through judicial process; no standard off-ramp — civil forfeiture proceedings govern</w:t>
            </w:r>
          </w:p>
        </w:tc>
      </w:tr>
      <w:tr w:rsidR="008B176B" w14:paraId="491AA258" w14:textId="77777777">
        <w:tblPrEx>
          <w:tblCellMar>
            <w:top w:w="0" w:type="dxa"/>
            <w:bottom w:w="0" w:type="dxa"/>
          </w:tblCellMar>
        </w:tblPrEx>
        <w:tc>
          <w:tcPr>
            <w:tcW w:w="144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2167FEFF" w14:textId="77777777" w:rsidR="008B176B" w:rsidRDefault="009D00BC">
            <w:pPr>
              <w:spacing w:before="40" w:after="40"/>
            </w:pPr>
            <w:r>
              <w:rPr>
                <w:b/>
                <w:bCs/>
                <w:sz w:val="20"/>
                <w:szCs w:val="20"/>
              </w:rPr>
              <w:t>Customs / WRO / Anti-Evasion</w:t>
            </w:r>
          </w:p>
        </w:tc>
        <w:tc>
          <w:tcPr>
            <w:tcW w:w="8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DAE4625" w14:textId="77777777" w:rsidR="008B176B" w:rsidRDefault="009D00BC">
            <w:pPr>
              <w:spacing w:before="40" w:after="40"/>
            </w:pPr>
            <w:r>
              <w:rPr>
                <w:sz w:val="20"/>
                <w:szCs w:val="20"/>
              </w:rPr>
              <w:t>WRO: CBP administrative; anti-evasion: varies</w:t>
            </w:r>
          </w:p>
        </w:tc>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1C5B430" w14:textId="77777777" w:rsidR="008B176B" w:rsidRDefault="009D00BC">
            <w:pPr>
              <w:spacing w:before="40" w:after="40"/>
            </w:pPr>
            <w:r>
              <w:rPr>
                <w:sz w:val="20"/>
                <w:szCs w:val="20"/>
              </w:rPr>
              <w:t>Entry denial for controlled-technology goods with sanctioned-origin content; compliance pressure on importers</w:t>
            </w:r>
          </w:p>
        </w:tc>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89E587F" w14:textId="77777777" w:rsidR="008B176B" w:rsidRDefault="009D00BC">
            <w:pPr>
              <w:spacing w:before="40" w:after="40"/>
            </w:pPr>
            <w:r>
              <w:rPr>
                <w:sz w:val="20"/>
                <w:szCs w:val="20"/>
              </w:rPr>
              <w:t>Supply-chain restructuring by downstream importers; increased origin documentation requirements; diversion through countries with less robust origin-marking enforcement</w:t>
            </w:r>
          </w:p>
        </w:tc>
        <w:tc>
          <w:tcPr>
            <w:tcW w:w="20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DB5EFC8" w14:textId="77777777" w:rsidR="008B176B" w:rsidRDefault="009D00BC">
            <w:pPr>
              <w:spacing w:before="40" w:after="40"/>
            </w:pPr>
            <w:r>
              <w:rPr>
                <w:sz w:val="20"/>
                <w:szCs w:val="20"/>
              </w:rPr>
              <w:t>Rules-of-origin manipulation through minimal processing remains primary evasion pathway; CBP enforcement capacity constraints; allied FTA partner differentiation required</w:t>
            </w:r>
          </w:p>
        </w:tc>
        <w:tc>
          <w:tcPr>
            <w:tcW w:w="14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7BC97DB" w14:textId="77777777" w:rsidR="008B176B" w:rsidRDefault="009D00BC">
            <w:pPr>
              <w:spacing w:before="40" w:after="40"/>
            </w:pPr>
            <w:r>
              <w:rPr>
                <w:sz w:val="20"/>
                <w:szCs w:val="20"/>
              </w:rPr>
              <w:t>WRO revocation on documented supply-chain remediation; anti-evasion order closure on compliance</w:t>
            </w:r>
          </w:p>
        </w:tc>
      </w:tr>
    </w:tbl>
    <w:p w14:paraId="1DD2F87E" w14:textId="77777777" w:rsidR="008B176B" w:rsidRDefault="008B176B">
      <w:pPr>
        <w:spacing w:before="40" w:after="40"/>
      </w:pPr>
    </w:p>
    <w:p w14:paraId="4193AA2D" w14:textId="77777777" w:rsidR="008B176B" w:rsidRDefault="009D00BC">
      <w:pPr>
        <w:spacing w:before="80" w:after="80"/>
      </w:pPr>
      <w:r>
        <w:t>Note: Effect estimates in this matrix reflect the public enforcement record from 2023-2026 and available open-source analysis. They are presented at moderate confidence. Classified operational data, if available, would materially affect effect-size estimates. The matrix is a planning and triage tool — it does not substitute for institution-specific legal review, evidentiary sufficiency analysis, or policy judgment.</w:t>
      </w:r>
    </w:p>
    <w:p w14:paraId="58F46739" w14:textId="77777777" w:rsidR="008B176B" w:rsidRDefault="009D00BC">
      <w:r>
        <w:br w:type="page"/>
      </w:r>
    </w:p>
    <w:p w14:paraId="3328DE9C" w14:textId="77777777" w:rsidR="008B176B" w:rsidRDefault="009D00BC">
      <w:pPr>
        <w:pStyle w:val="Heading1"/>
      </w:pPr>
      <w:r>
        <w:t>SECTION III — SEQUENCING PRESSURE WITHOUT STRATEGIC OVERREACH</w:t>
      </w:r>
    </w:p>
    <w:p w14:paraId="41F0C589" w14:textId="77777777" w:rsidR="008B176B" w:rsidRDefault="009D00BC">
      <w:pPr>
        <w:spacing w:before="80" w:after="80"/>
      </w:pPr>
      <w:r>
        <w:t>This section organizes the available toolkit into a phased sequencing architecture. The phases are not strictly chronological — they are analytically ordered by the evidentiary development required to sustain each level of action and the coalition discipline required to keep each level durable. Phases overlap in practice. Phase I work is never complete; Phase IV coalition synchronization must begin before Phase II action and continue through Phase V.</w:t>
      </w:r>
    </w:p>
    <w:p w14:paraId="4CD701D2" w14:textId="77777777" w:rsidR="008B176B" w:rsidRDefault="008B176B">
      <w:pPr>
        <w:spacing w:before="40" w:after="40"/>
      </w:pPr>
    </w:p>
    <w:p w14:paraId="6F6DA217" w14:textId="77777777" w:rsidR="008B176B" w:rsidRDefault="009D00BC">
      <w:pPr>
        <w:spacing w:before="80" w:after="80"/>
      </w:pPr>
      <w:r>
        <w:t xml:space="preserve">The sequencing logic draws directly from the ISAD/SPAD structure in CONTAIN (WP-2026-CONTAIN-01), the tiered escalation ladder in PERSIST (WP-2026-PERSIST-01), and the modular designation-sequencing framework in </w:t>
      </w:r>
      <w:proofErr w:type="spellStart"/>
      <w:r>
        <w:t>MAXPRESS</w:t>
      </w:r>
      <w:proofErr w:type="spellEnd"/>
      <w:r>
        <w:t xml:space="preserve"> (</w:t>
      </w:r>
      <w:proofErr w:type="spellStart"/>
      <w:r>
        <w:t>WP-2026-MAXPRESS-01</w:t>
      </w:r>
      <w:proofErr w:type="spellEnd"/>
      <w:r>
        <w:t>). The governing principle throughout: escalation is evidence-gated, not reactive. Tier 3 actions require observability confirmation that prior-tier actions have produced measurable effects. Absent that confirmation, escalation defers.</w:t>
      </w:r>
    </w:p>
    <w:p w14:paraId="5BF02D29" w14:textId="77777777" w:rsidR="008B176B" w:rsidRDefault="008B176B">
      <w:pPr>
        <w:spacing w:before="40" w:after="40"/>
      </w:pPr>
    </w:p>
    <w:p w14:paraId="280171CF" w14:textId="77777777" w:rsidR="008B176B" w:rsidRDefault="009D00BC">
      <w:pPr>
        <w:spacing w:before="80" w:after="80"/>
      </w:pPr>
      <w:r>
        <w:rPr>
          <w:b/>
          <w:bCs/>
        </w:rPr>
        <w:t>Critical analytic warning: The Support-to-Enablement boundary is the sequencing framework's most consequential threshold. Actors assessed at Support level are not appropriate targets for Tier 2 financial designations without additional evidentiary development. Actors assessed at Enablement level — where commercial structure is specifically integrated into state operational requirements and provides concealment utility — support designation analysis referral. This distinction governs the phasing architecture</w:t>
      </w:r>
      <w:r>
        <w:rPr>
          <w:b/>
          <w:bCs/>
        </w:rPr>
        <w:t xml:space="preserve"> throughout.</w:t>
      </w:r>
    </w:p>
    <w:p w14:paraId="5A77EBF6" w14:textId="77777777" w:rsidR="008B176B" w:rsidRDefault="008B176B">
      <w:pPr>
        <w:spacing w:before="40" w:after="40"/>
      </w:pPr>
    </w:p>
    <w:p w14:paraId="45A42D6F" w14:textId="77777777" w:rsidR="008B176B" w:rsidRDefault="009D00BC">
      <w:pPr>
        <w:pStyle w:val="Heading2"/>
      </w:pPr>
      <w:r>
        <w:t>Phase I — Exposure and Designation Discipline</w:t>
      </w:r>
    </w:p>
    <w:p w14:paraId="466FD8D6" w14:textId="77777777" w:rsidR="008B176B" w:rsidRDefault="009D00BC">
      <w:pPr>
        <w:spacing w:before="80" w:after="80"/>
      </w:pPr>
      <w:r>
        <w:t>Phase I is the foundation of the entire architecture. Every subsequent phase depends on the evidentiary file quality developed here. The objective is not immediate action but building the administrative record that makes subsequent action durable, legally defensible, and coalition-sustainable.</w:t>
      </w:r>
    </w:p>
    <w:p w14:paraId="4BDE5798" w14:textId="77777777" w:rsidR="008B176B" w:rsidRDefault="008B176B">
      <w:pPr>
        <w:spacing w:before="40" w:after="40"/>
      </w:pPr>
    </w:p>
    <w:p w14:paraId="2BD3317F" w14:textId="77777777" w:rsidR="008B176B" w:rsidRDefault="009D00BC">
      <w:pPr>
        <w:spacing w:before="80" w:after="80"/>
      </w:pPr>
      <w:r>
        <w:t>Classify actors by nexus level using the Five-Rung Commercial State Nexus Ladder (WP-2026-CSE-01). For each candidate entity: document the structural-domain evidence (corporate registry, ownership chain, nominee arrangements, VIE architecture where applicable); document the financial-domain evidence (transaction patterns, policy-bank exposure, pass-through structures, non-commercial-terms financing); document the personnel-domain evidence (state-institutional service, board appointment patterns); document o</w:t>
      </w:r>
      <w:r>
        <w:t>perational-domain evidence (customer concentration in SDN-adjacent entities, procurement patterns inconsistent with commercial status); and document protection/toleration evidence (regulatory non-enforcement, preferential access). No single domain is sufficient above the Presence level. Multi-domain convergence is required.</w:t>
      </w:r>
    </w:p>
    <w:p w14:paraId="601E8F5B" w14:textId="77777777" w:rsidR="008B176B" w:rsidRDefault="008B176B">
      <w:pPr>
        <w:spacing w:before="40" w:after="40"/>
      </w:pPr>
    </w:p>
    <w:p w14:paraId="0F6E7512" w14:textId="77777777" w:rsidR="008B176B" w:rsidRDefault="009D00BC">
      <w:pPr>
        <w:spacing w:before="80" w:after="80"/>
      </w:pPr>
      <w:r>
        <w:t>Prioritize by centrality and substitutability. The highest-value targets are those whose removal or designation creates network disruption that cannot be rapidly substituted — intermediaries with unique jurisdictional insulation, logistics providers with unique port-access relationships, financial institutions with unique clearing arrangements. Entities that are easily substituted produce designation effects that reconstitute within 90 days. Entities that provide unique network functions produce effects tha</w:t>
      </w:r>
      <w:r>
        <w:t>t sustain over 12-24 months.</w:t>
      </w:r>
    </w:p>
    <w:p w14:paraId="1B8DF34E" w14:textId="77777777" w:rsidR="008B176B" w:rsidRDefault="008B176B">
      <w:pPr>
        <w:spacing w:before="40" w:after="40"/>
      </w:pPr>
    </w:p>
    <w:p w14:paraId="2FBBC0EB" w14:textId="77777777" w:rsidR="008B176B" w:rsidRDefault="009D00BC">
      <w:pPr>
        <w:spacing w:before="80" w:after="80"/>
      </w:pPr>
      <w:r>
        <w:t>Build designation packages to readiness posture. Pre-staged CISADA determination packages for top-tier PRC financial institutions by NIOC transaction volume. Pre-staged NKSPEA packages for documented DPRK dual-use procurement intermediaries. Pre-staged BIS Entity List memoranda for confirmed-attribution facilitation networks. Pre-staged § 981(k) warrant applications for IRGC-adjacent correspondent-account holders. Readiness posture eliminates the 45-120 day standard designation pipeline and enables threshol</w:t>
      </w:r>
      <w:r>
        <w:t>d-triggered execution.</w:t>
      </w:r>
    </w:p>
    <w:p w14:paraId="50E4B915" w14:textId="77777777" w:rsidR="008B176B" w:rsidRDefault="008B176B">
      <w:pPr>
        <w:spacing w:before="40" w:after="4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40"/>
        <w:gridCol w:w="2040"/>
        <w:gridCol w:w="2040"/>
        <w:gridCol w:w="2040"/>
      </w:tblGrid>
      <w:tr w:rsidR="008B176B" w14:paraId="38AA7D7B" w14:textId="77777777">
        <w:tblPrEx>
          <w:tblCellMar>
            <w:top w:w="0" w:type="dxa"/>
            <w:bottom w:w="0" w:type="dxa"/>
          </w:tblCellMar>
        </w:tblPrEx>
        <w:tc>
          <w:tcPr>
            <w:tcW w:w="9360" w:type="dxa"/>
            <w:gridSpan w:val="5"/>
            <w:tcBorders>
              <w:top w:val="single" w:sz="1" w:space="0" w:color="AABBCC"/>
              <w:left w:val="single" w:sz="1" w:space="0" w:color="AABBCC"/>
              <w:bottom w:val="single" w:sz="1" w:space="0" w:color="AABBCC"/>
              <w:right w:val="single" w:sz="1" w:space="0" w:color="AABBCC"/>
            </w:tcBorders>
            <w:shd w:val="clear" w:color="auto" w:fill="1F3864"/>
            <w:tcMar>
              <w:top w:w="80" w:type="dxa"/>
              <w:left w:w="120" w:type="dxa"/>
              <w:bottom w:w="80" w:type="dxa"/>
              <w:right w:w="120" w:type="dxa"/>
            </w:tcMar>
          </w:tcPr>
          <w:p w14:paraId="719D3FEE" w14:textId="77777777" w:rsidR="008B176B" w:rsidRDefault="009D00BC">
            <w:r>
              <w:rPr>
                <w:b/>
                <w:bCs/>
                <w:color w:val="FFFFFF"/>
              </w:rPr>
              <w:t>PHASE I — EXPOSURE AND DESIGNATION DISCIPLINE</w:t>
            </w:r>
          </w:p>
        </w:tc>
      </w:tr>
      <w:tr w:rsidR="008B176B" w14:paraId="47CB1F64"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2E5F8A"/>
            <w:tcMar>
              <w:top w:w="80" w:type="dxa"/>
              <w:left w:w="120" w:type="dxa"/>
              <w:bottom w:w="80" w:type="dxa"/>
              <w:right w:w="120" w:type="dxa"/>
            </w:tcMar>
          </w:tcPr>
          <w:p w14:paraId="7F9CA06F" w14:textId="77777777" w:rsidR="008B176B" w:rsidRDefault="009D00BC">
            <w:r>
              <w:rPr>
                <w:b/>
                <w:bCs/>
                <w:color w:val="FFFFFF"/>
                <w:sz w:val="20"/>
                <w:szCs w:val="20"/>
              </w:rPr>
              <w:t>TRIGGER</w:t>
            </w:r>
          </w:p>
        </w:tc>
        <w:tc>
          <w:tcPr>
            <w:tcW w:w="2040" w:type="dxa"/>
            <w:tcBorders>
              <w:top w:val="single" w:sz="1" w:space="0" w:color="AABBCC"/>
              <w:left w:val="single" w:sz="1" w:space="0" w:color="AABBCC"/>
              <w:bottom w:val="single" w:sz="1" w:space="0" w:color="AABBCC"/>
              <w:right w:val="single" w:sz="1" w:space="0" w:color="AABBCC"/>
            </w:tcBorders>
            <w:shd w:val="clear" w:color="auto" w:fill="2E5F8A"/>
            <w:tcMar>
              <w:top w:w="80" w:type="dxa"/>
              <w:left w:w="120" w:type="dxa"/>
              <w:bottom w:w="80" w:type="dxa"/>
              <w:right w:w="120" w:type="dxa"/>
            </w:tcMar>
          </w:tcPr>
          <w:p w14:paraId="36C3D0D7" w14:textId="77777777" w:rsidR="008B176B" w:rsidRDefault="009D00BC">
            <w:r>
              <w:rPr>
                <w:b/>
                <w:bCs/>
                <w:color w:val="FFFFFF"/>
                <w:sz w:val="20"/>
                <w:szCs w:val="20"/>
              </w:rPr>
              <w:t>ENTRY CONDITION</w:t>
            </w:r>
          </w:p>
        </w:tc>
        <w:tc>
          <w:tcPr>
            <w:tcW w:w="2040" w:type="dxa"/>
            <w:tcBorders>
              <w:top w:val="single" w:sz="1" w:space="0" w:color="AABBCC"/>
              <w:left w:val="single" w:sz="1" w:space="0" w:color="AABBCC"/>
              <w:bottom w:val="single" w:sz="1" w:space="0" w:color="AABBCC"/>
              <w:right w:val="single" w:sz="1" w:space="0" w:color="AABBCC"/>
            </w:tcBorders>
            <w:shd w:val="clear" w:color="auto" w:fill="2E5F8A"/>
            <w:tcMar>
              <w:top w:w="80" w:type="dxa"/>
              <w:left w:w="120" w:type="dxa"/>
              <w:bottom w:w="80" w:type="dxa"/>
              <w:right w:w="120" w:type="dxa"/>
            </w:tcMar>
          </w:tcPr>
          <w:p w14:paraId="112F8E04" w14:textId="77777777" w:rsidR="008B176B" w:rsidRDefault="009D00BC">
            <w:r>
              <w:rPr>
                <w:b/>
                <w:bCs/>
                <w:color w:val="FFFFFF"/>
                <w:sz w:val="20"/>
                <w:szCs w:val="20"/>
              </w:rPr>
              <w:t>ESCALATION THRESHOLD</w:t>
            </w:r>
          </w:p>
        </w:tc>
        <w:tc>
          <w:tcPr>
            <w:tcW w:w="2040" w:type="dxa"/>
            <w:tcBorders>
              <w:top w:val="single" w:sz="1" w:space="0" w:color="AABBCC"/>
              <w:left w:val="single" w:sz="1" w:space="0" w:color="AABBCC"/>
              <w:bottom w:val="single" w:sz="1" w:space="0" w:color="AABBCC"/>
              <w:right w:val="single" w:sz="1" w:space="0" w:color="AABBCC"/>
            </w:tcBorders>
            <w:shd w:val="clear" w:color="auto" w:fill="2E5F8A"/>
            <w:tcMar>
              <w:top w:w="80" w:type="dxa"/>
              <w:left w:w="120" w:type="dxa"/>
              <w:bottom w:w="80" w:type="dxa"/>
              <w:right w:w="120" w:type="dxa"/>
            </w:tcMar>
          </w:tcPr>
          <w:p w14:paraId="6867F4FC" w14:textId="77777777" w:rsidR="008B176B" w:rsidRDefault="009D00BC">
            <w:r>
              <w:rPr>
                <w:b/>
                <w:bCs/>
                <w:color w:val="FFFFFF"/>
                <w:sz w:val="20"/>
                <w:szCs w:val="20"/>
              </w:rPr>
              <w:t>PAUSE CONDITION</w:t>
            </w:r>
          </w:p>
        </w:tc>
        <w:tc>
          <w:tcPr>
            <w:tcW w:w="2040" w:type="dxa"/>
            <w:tcBorders>
              <w:top w:val="single" w:sz="1" w:space="0" w:color="AABBCC"/>
              <w:left w:val="single" w:sz="1" w:space="0" w:color="AABBCC"/>
              <w:bottom w:val="single" w:sz="1" w:space="0" w:color="AABBCC"/>
              <w:right w:val="single" w:sz="1" w:space="0" w:color="AABBCC"/>
            </w:tcBorders>
            <w:shd w:val="clear" w:color="auto" w:fill="2E5F8A"/>
            <w:tcMar>
              <w:top w:w="80" w:type="dxa"/>
              <w:left w:w="120" w:type="dxa"/>
              <w:bottom w:w="80" w:type="dxa"/>
              <w:right w:w="120" w:type="dxa"/>
            </w:tcMar>
          </w:tcPr>
          <w:p w14:paraId="772E56F6" w14:textId="77777777" w:rsidR="008B176B" w:rsidRDefault="009D00BC">
            <w:r>
              <w:rPr>
                <w:b/>
                <w:bCs/>
                <w:color w:val="FFFFFF"/>
                <w:sz w:val="20"/>
                <w:szCs w:val="20"/>
              </w:rPr>
              <w:t>ROLLBACK CONDITION</w:t>
            </w:r>
          </w:p>
        </w:tc>
      </w:tr>
      <w:tr w:rsidR="008B176B" w14:paraId="650BA161"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56801B1D" w14:textId="77777777" w:rsidR="008B176B" w:rsidRDefault="008B176B">
            <w:pPr>
              <w:spacing w:before="40" w:after="40"/>
            </w:pPr>
          </w:p>
        </w:tc>
        <w:tc>
          <w:tcPr>
            <w:tcW w:w="20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B9D14EF" w14:textId="77777777" w:rsidR="008B176B" w:rsidRDefault="009D00BC">
            <w:pPr>
              <w:spacing w:before="40" w:after="40"/>
            </w:pPr>
            <w:r>
              <w:rPr>
                <w:sz w:val="20"/>
                <w:szCs w:val="20"/>
              </w:rPr>
              <w:t>Initiation: ongoing baseline condition. Enhanced monitoring triggered by credible signal (OSINT pattern, allied intelligence assessment, commercial analytics anomaly). No action threshold required for Phase I file-building.</w:t>
            </w:r>
          </w:p>
        </w:tc>
        <w:tc>
          <w:tcPr>
            <w:tcW w:w="20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438CFCB" w14:textId="77777777" w:rsidR="008B176B" w:rsidRDefault="009D00BC">
            <w:pPr>
              <w:spacing w:before="40" w:after="40"/>
            </w:pPr>
            <w:r>
              <w:rPr>
                <w:sz w:val="20"/>
                <w:szCs w:val="20"/>
              </w:rPr>
              <w:t>Confirmed attribution across two or more independent domains; Support or Enablement nexus assessment at moderate confidence; designation-readiness files for highest-priority targets brought to evidentiary-sufficiency standard on a rolling review cycle.</w:t>
            </w:r>
          </w:p>
        </w:tc>
        <w:tc>
          <w:tcPr>
            <w:tcW w:w="20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28876B7" w14:textId="77777777" w:rsidR="008B176B" w:rsidRDefault="009D00BC">
            <w:pPr>
              <w:spacing w:before="40" w:after="40"/>
            </w:pPr>
            <w:r>
              <w:rPr>
                <w:sz w:val="20"/>
                <w:szCs w:val="20"/>
              </w:rPr>
              <w:t>Pause Phase I escalation (not baseline file-building) if guardrail-index indicators show dollar-reserve-share decline exceeding threshold or coalition-divergence events, pending review.</w:t>
            </w:r>
          </w:p>
        </w:tc>
        <w:tc>
          <w:tcPr>
            <w:tcW w:w="20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83F0766" w14:textId="77777777" w:rsidR="008B176B" w:rsidRDefault="009D00BC">
            <w:pPr>
              <w:spacing w:before="40" w:after="40"/>
            </w:pPr>
            <w:r>
              <w:rPr>
                <w:sz w:val="20"/>
                <w:szCs w:val="20"/>
              </w:rPr>
              <w:t>Phase I file-building continues indefinitely as baseline. Escalation to designation action rolls back to readiness posture if evidentiary record does not reach confirmed-attribution standard or coalition-risk review identifies unacceptable fracture risk.</w:t>
            </w:r>
          </w:p>
        </w:tc>
      </w:tr>
    </w:tbl>
    <w:p w14:paraId="0A3AF177" w14:textId="77777777" w:rsidR="008B176B" w:rsidRDefault="008B176B">
      <w:pPr>
        <w:spacing w:before="40" w:after="40"/>
      </w:pPr>
    </w:p>
    <w:p w14:paraId="124E12F0" w14:textId="77777777" w:rsidR="008B176B" w:rsidRDefault="008B176B">
      <w:pPr>
        <w:spacing w:before="40" w:after="40"/>
      </w:pPr>
    </w:p>
    <w:p w14:paraId="58393736" w14:textId="77777777" w:rsidR="008B176B" w:rsidRDefault="009D00BC">
      <w:pPr>
        <w:pStyle w:val="Heading2"/>
      </w:pPr>
      <w:r>
        <w:t>Phase II — Maritime / Trade / Customs Friction</w:t>
      </w:r>
    </w:p>
    <w:p w14:paraId="2607EB09" w14:textId="77777777" w:rsidR="008B176B" w:rsidRDefault="009D00BC">
      <w:pPr>
        <w:spacing w:before="80" w:after="80"/>
      </w:pPr>
      <w:r>
        <w:t>Phase II operates at the network's logistics layer — the shipping, trading, and customs infrastructure that moves sanctioned-origin crude, controlled technology, and dual-use procurement through the enabling network. Phase II actions are generally lower escalation risk than financial designations, produce observable effects that can be measured for Phase III escalation gating, and are more coalition-compatible because maritime safety and customs enforcement framing is less politically sensitive than financi</w:t>
      </w:r>
      <w:r>
        <w:t>al blacklisting.</w:t>
      </w:r>
    </w:p>
    <w:p w14:paraId="18D078A3" w14:textId="77777777" w:rsidR="008B176B" w:rsidRDefault="008B176B">
      <w:pPr>
        <w:spacing w:before="40" w:after="40"/>
      </w:pPr>
    </w:p>
    <w:p w14:paraId="10B0B9D1" w14:textId="77777777" w:rsidR="008B176B" w:rsidRDefault="009D00BC">
      <w:pPr>
        <w:spacing w:before="80" w:after="80"/>
      </w:pPr>
      <w:r>
        <w:t>Maritime advisory actions: Issue OFAC vessel designations for shadow-fleet tankers with documented SDN-nexus. Coordinate OFAC/OFSI advisory to Lloyd's market and International Group of P&amp;I Clubs — the coordinated U.S.-UK advisory closes the jurisdictional gap that unilateral OFAC advisories have not fully closed. Provide IACS member classification society guidance on inspection services for designated vessels. Engage flag registries through State Department diplomatic channels with documented deceptive ship</w:t>
      </w:r>
      <w:r>
        <w:t>ping evidence.</w:t>
      </w:r>
    </w:p>
    <w:p w14:paraId="66D54E08" w14:textId="77777777" w:rsidR="008B176B" w:rsidRDefault="008B176B">
      <w:pPr>
        <w:spacing w:before="40" w:after="40"/>
      </w:pPr>
    </w:p>
    <w:p w14:paraId="201F7135" w14:textId="77777777" w:rsidR="008B176B" w:rsidRDefault="009D00BC">
      <w:pPr>
        <w:spacing w:before="80" w:after="80"/>
      </w:pPr>
      <w:r>
        <w:t>Shadow-shipping exposure: Publish AIS-manipulation documentation through public OFAC guidance and allied maritime advisory channels. Make vessel renaming and re-flagging patterns visible through commercial analytics channels and government-industry engagement. Increase flag-registry churn rate as an observable metric of network friction — increasing churn is a positive pressure indicator.</w:t>
      </w:r>
    </w:p>
    <w:p w14:paraId="7146D219" w14:textId="77777777" w:rsidR="008B176B" w:rsidRDefault="008B176B">
      <w:pPr>
        <w:spacing w:before="40" w:after="40"/>
      </w:pPr>
    </w:p>
    <w:p w14:paraId="44F6ECBD" w14:textId="77777777" w:rsidR="008B176B" w:rsidRDefault="009D00BC">
      <w:pPr>
        <w:spacing w:before="80" w:after="80"/>
      </w:pPr>
      <w:r>
        <w:t>Registry and insurer scrutiny: Engagement with Panama, Liberia, and Marshall Islands registries — the primary shadow-fleet registry corridors — through State Department bilateral channels. Coordinated P&amp;I Club engagement through OFAC advisory and UK OFSI guidance. Increased scrutiny should be framed as maritime safety compliance rather than sanctions enforcement when engaging Malacca Strait partners, consistent with MARPOL and IMO safety frameworks.</w:t>
      </w:r>
    </w:p>
    <w:p w14:paraId="4FE4D877" w14:textId="77777777" w:rsidR="008B176B" w:rsidRDefault="008B176B">
      <w:pPr>
        <w:spacing w:before="40" w:after="40"/>
      </w:pPr>
    </w:p>
    <w:p w14:paraId="195123DA" w14:textId="77777777" w:rsidR="008B176B" w:rsidRDefault="009D00BC">
      <w:pPr>
        <w:spacing w:before="80" w:after="80"/>
      </w:pPr>
      <w:r>
        <w:t>Customs and origin-verification pressure: CBP withhold-release orders for goods with documented sanctioned-origin or forced-labor content. Anti-evasion investigations for transshipment patterns routing controlled technology through third countries. Mandatory enhanced due diligence for correspondent banks in high-risk jurisdictions on beneficial ownership of foreign exchange houses — amending 31 C.F.R. § 1010.610 CDD requirements as documented in CTF-01.</w:t>
      </w:r>
    </w:p>
    <w:p w14:paraId="58D914C5" w14:textId="77777777" w:rsidR="008B176B" w:rsidRDefault="008B176B">
      <w:pPr>
        <w:spacing w:before="40" w:after="4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40"/>
        <w:gridCol w:w="2040"/>
        <w:gridCol w:w="2040"/>
        <w:gridCol w:w="2040"/>
      </w:tblGrid>
      <w:tr w:rsidR="008B176B" w14:paraId="394D963C" w14:textId="77777777">
        <w:tblPrEx>
          <w:tblCellMar>
            <w:top w:w="0" w:type="dxa"/>
            <w:bottom w:w="0" w:type="dxa"/>
          </w:tblCellMar>
        </w:tblPrEx>
        <w:tc>
          <w:tcPr>
            <w:tcW w:w="9360" w:type="dxa"/>
            <w:gridSpan w:val="5"/>
            <w:tcBorders>
              <w:top w:val="single" w:sz="1" w:space="0" w:color="AABBCC"/>
              <w:left w:val="single" w:sz="1" w:space="0" w:color="AABBCC"/>
              <w:bottom w:val="single" w:sz="1" w:space="0" w:color="AABBCC"/>
              <w:right w:val="single" w:sz="1" w:space="0" w:color="AABBCC"/>
            </w:tcBorders>
            <w:shd w:val="clear" w:color="auto" w:fill="1F3864"/>
            <w:tcMar>
              <w:top w:w="80" w:type="dxa"/>
              <w:left w:w="120" w:type="dxa"/>
              <w:bottom w:w="80" w:type="dxa"/>
              <w:right w:w="120" w:type="dxa"/>
            </w:tcMar>
          </w:tcPr>
          <w:p w14:paraId="1AFEBAB6" w14:textId="77777777" w:rsidR="008B176B" w:rsidRDefault="009D00BC">
            <w:r>
              <w:rPr>
                <w:b/>
                <w:bCs/>
                <w:color w:val="FFFFFF"/>
              </w:rPr>
              <w:t>PHASE II — MARITIME / TRADE / CUSTOMS FRICTION</w:t>
            </w:r>
          </w:p>
        </w:tc>
      </w:tr>
      <w:tr w:rsidR="008B176B" w14:paraId="3498103A"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2E5F8A"/>
            <w:tcMar>
              <w:top w:w="80" w:type="dxa"/>
              <w:left w:w="120" w:type="dxa"/>
              <w:bottom w:w="80" w:type="dxa"/>
              <w:right w:w="120" w:type="dxa"/>
            </w:tcMar>
          </w:tcPr>
          <w:p w14:paraId="70894586" w14:textId="77777777" w:rsidR="008B176B" w:rsidRDefault="009D00BC">
            <w:r>
              <w:rPr>
                <w:b/>
                <w:bCs/>
                <w:color w:val="FFFFFF"/>
                <w:sz w:val="20"/>
                <w:szCs w:val="20"/>
              </w:rPr>
              <w:t>TRIGGER</w:t>
            </w:r>
          </w:p>
        </w:tc>
        <w:tc>
          <w:tcPr>
            <w:tcW w:w="2040" w:type="dxa"/>
            <w:tcBorders>
              <w:top w:val="single" w:sz="1" w:space="0" w:color="AABBCC"/>
              <w:left w:val="single" w:sz="1" w:space="0" w:color="AABBCC"/>
              <w:bottom w:val="single" w:sz="1" w:space="0" w:color="AABBCC"/>
              <w:right w:val="single" w:sz="1" w:space="0" w:color="AABBCC"/>
            </w:tcBorders>
            <w:shd w:val="clear" w:color="auto" w:fill="2E5F8A"/>
            <w:tcMar>
              <w:top w:w="80" w:type="dxa"/>
              <w:left w:w="120" w:type="dxa"/>
              <w:bottom w:w="80" w:type="dxa"/>
              <w:right w:w="120" w:type="dxa"/>
            </w:tcMar>
          </w:tcPr>
          <w:p w14:paraId="5D3D1BB1" w14:textId="77777777" w:rsidR="008B176B" w:rsidRDefault="009D00BC">
            <w:r>
              <w:rPr>
                <w:b/>
                <w:bCs/>
                <w:color w:val="FFFFFF"/>
                <w:sz w:val="20"/>
                <w:szCs w:val="20"/>
              </w:rPr>
              <w:t>ENTRY CONDITION</w:t>
            </w:r>
          </w:p>
        </w:tc>
        <w:tc>
          <w:tcPr>
            <w:tcW w:w="2040" w:type="dxa"/>
            <w:tcBorders>
              <w:top w:val="single" w:sz="1" w:space="0" w:color="AABBCC"/>
              <w:left w:val="single" w:sz="1" w:space="0" w:color="AABBCC"/>
              <w:bottom w:val="single" w:sz="1" w:space="0" w:color="AABBCC"/>
              <w:right w:val="single" w:sz="1" w:space="0" w:color="AABBCC"/>
            </w:tcBorders>
            <w:shd w:val="clear" w:color="auto" w:fill="2E5F8A"/>
            <w:tcMar>
              <w:top w:w="80" w:type="dxa"/>
              <w:left w:w="120" w:type="dxa"/>
              <w:bottom w:w="80" w:type="dxa"/>
              <w:right w:w="120" w:type="dxa"/>
            </w:tcMar>
          </w:tcPr>
          <w:p w14:paraId="0C5C3271" w14:textId="77777777" w:rsidR="008B176B" w:rsidRDefault="009D00BC">
            <w:r>
              <w:rPr>
                <w:b/>
                <w:bCs/>
                <w:color w:val="FFFFFF"/>
                <w:sz w:val="20"/>
                <w:szCs w:val="20"/>
              </w:rPr>
              <w:t>ESCALATION THRESHOLD</w:t>
            </w:r>
          </w:p>
        </w:tc>
        <w:tc>
          <w:tcPr>
            <w:tcW w:w="2040" w:type="dxa"/>
            <w:tcBorders>
              <w:top w:val="single" w:sz="1" w:space="0" w:color="AABBCC"/>
              <w:left w:val="single" w:sz="1" w:space="0" w:color="AABBCC"/>
              <w:bottom w:val="single" w:sz="1" w:space="0" w:color="AABBCC"/>
              <w:right w:val="single" w:sz="1" w:space="0" w:color="AABBCC"/>
            </w:tcBorders>
            <w:shd w:val="clear" w:color="auto" w:fill="2E5F8A"/>
            <w:tcMar>
              <w:top w:w="80" w:type="dxa"/>
              <w:left w:w="120" w:type="dxa"/>
              <w:bottom w:w="80" w:type="dxa"/>
              <w:right w:w="120" w:type="dxa"/>
            </w:tcMar>
          </w:tcPr>
          <w:p w14:paraId="4807C40F" w14:textId="77777777" w:rsidR="008B176B" w:rsidRDefault="009D00BC">
            <w:r>
              <w:rPr>
                <w:b/>
                <w:bCs/>
                <w:color w:val="FFFFFF"/>
                <w:sz w:val="20"/>
                <w:szCs w:val="20"/>
              </w:rPr>
              <w:t>PAUSE CONDITION</w:t>
            </w:r>
          </w:p>
        </w:tc>
        <w:tc>
          <w:tcPr>
            <w:tcW w:w="2040" w:type="dxa"/>
            <w:tcBorders>
              <w:top w:val="single" w:sz="1" w:space="0" w:color="AABBCC"/>
              <w:left w:val="single" w:sz="1" w:space="0" w:color="AABBCC"/>
              <w:bottom w:val="single" w:sz="1" w:space="0" w:color="AABBCC"/>
              <w:right w:val="single" w:sz="1" w:space="0" w:color="AABBCC"/>
            </w:tcBorders>
            <w:shd w:val="clear" w:color="auto" w:fill="2E5F8A"/>
            <w:tcMar>
              <w:top w:w="80" w:type="dxa"/>
              <w:left w:w="120" w:type="dxa"/>
              <w:bottom w:w="80" w:type="dxa"/>
              <w:right w:w="120" w:type="dxa"/>
            </w:tcMar>
          </w:tcPr>
          <w:p w14:paraId="6CF95754" w14:textId="77777777" w:rsidR="008B176B" w:rsidRDefault="009D00BC">
            <w:r>
              <w:rPr>
                <w:b/>
                <w:bCs/>
                <w:color w:val="FFFFFF"/>
                <w:sz w:val="20"/>
                <w:szCs w:val="20"/>
              </w:rPr>
              <w:t>ROLLBACK CONDITION</w:t>
            </w:r>
          </w:p>
        </w:tc>
      </w:tr>
      <w:tr w:rsidR="008B176B" w14:paraId="0271DE2D"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48B34B53" w14:textId="77777777" w:rsidR="008B176B" w:rsidRDefault="008B176B">
            <w:pPr>
              <w:spacing w:before="40" w:after="40"/>
            </w:pPr>
          </w:p>
        </w:tc>
        <w:tc>
          <w:tcPr>
            <w:tcW w:w="20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15D8938" w14:textId="77777777" w:rsidR="008B176B" w:rsidRDefault="009D00BC">
            <w:pPr>
              <w:spacing w:before="40" w:after="40"/>
            </w:pPr>
            <w:r>
              <w:rPr>
                <w:sz w:val="20"/>
                <w:szCs w:val="20"/>
              </w:rPr>
              <w:t>Phase I readiness packages certified. Confirmed attribution of shadow-fleet operators, registry-cycling patterns, or transshipment networks at moderate confidence. Lloyd's/OFSI coordination agreement in place.</w:t>
            </w:r>
          </w:p>
        </w:tc>
        <w:tc>
          <w:tcPr>
            <w:tcW w:w="20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C65E98F" w14:textId="77777777" w:rsidR="008B176B" w:rsidRDefault="009D00BC">
            <w:pPr>
              <w:spacing w:before="40" w:after="40"/>
            </w:pPr>
            <w:r>
              <w:rPr>
                <w:sz w:val="20"/>
                <w:szCs w:val="20"/>
              </w:rPr>
              <w:t>Measurable network effect confirmed: vessel churn rate increase above Phase I baseline; insurance withdrawal for designated vessels; port-access complications documented; flag-registry compliance engagement initiated. Escalation to Phase III requires observability metrics showing Phase II friction producing procurement delay or rerouting cost.</w:t>
            </w:r>
          </w:p>
        </w:tc>
        <w:tc>
          <w:tcPr>
            <w:tcW w:w="20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CBDDFFB" w14:textId="77777777" w:rsidR="008B176B" w:rsidRDefault="009D00BC">
            <w:pPr>
              <w:spacing w:before="40" w:after="40"/>
            </w:pPr>
            <w:r>
              <w:rPr>
                <w:sz w:val="20"/>
                <w:szCs w:val="20"/>
              </w:rPr>
              <w:t>Pause Phase II escalation if Malacca Strait partner bilateral engagement has not been completed; if Lloyd's market coordination is not in place (unilateral advisory insufficient); or if guardrail indicators show coalition-divergence event.</w:t>
            </w:r>
          </w:p>
        </w:tc>
        <w:tc>
          <w:tcPr>
            <w:tcW w:w="20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B46492B" w14:textId="77777777" w:rsidR="008B176B" w:rsidRDefault="009D00BC">
            <w:pPr>
              <w:spacing w:before="40" w:after="40"/>
            </w:pPr>
            <w:r>
              <w:rPr>
                <w:sz w:val="20"/>
                <w:szCs w:val="20"/>
              </w:rPr>
              <w:t>Phase II advisory and designation actions roll back to Phase I posture if evidentiary record for specific vessel or entity does not sustain OFAC administrative review; if coalition partner formally objects and 30-day review hold applies; or if observability metrics show no measurable network effect after 90-day cycle.</w:t>
            </w:r>
          </w:p>
        </w:tc>
      </w:tr>
    </w:tbl>
    <w:p w14:paraId="656518DF" w14:textId="77777777" w:rsidR="008B176B" w:rsidRDefault="008B176B">
      <w:pPr>
        <w:spacing w:before="40" w:after="40"/>
      </w:pPr>
    </w:p>
    <w:p w14:paraId="72780983" w14:textId="77777777" w:rsidR="008B176B" w:rsidRDefault="008B176B">
      <w:pPr>
        <w:spacing w:before="40" w:after="40"/>
      </w:pPr>
    </w:p>
    <w:p w14:paraId="0211EA05" w14:textId="77777777" w:rsidR="008B176B" w:rsidRDefault="009D00BC">
      <w:pPr>
        <w:pStyle w:val="Heading2"/>
      </w:pPr>
      <w:r>
        <w:t>Phase III — Technology and Procurement Denial</w:t>
      </w:r>
    </w:p>
    <w:p w14:paraId="044B65DC" w14:textId="77777777" w:rsidR="008B176B" w:rsidRDefault="009D00BC">
      <w:pPr>
        <w:spacing w:before="80" w:after="80"/>
      </w:pPr>
      <w:r>
        <w:t>Phase III operates at the network's procurement and technology layer. It is the most consequential phase for DPRK and Iran weapons-program pressure, because procurement denial degrades capability accumulation in ways that financial pressure alone cannot achieve. It is also the phase most dependent on allied coordination — unilateral BIS Entity List additions without partner export-control alignment create substitution pathways through allied commercial relationships that undermine denial effectiveness.</w:t>
      </w:r>
    </w:p>
    <w:p w14:paraId="5B8F6A8F" w14:textId="77777777" w:rsidR="008B176B" w:rsidRDefault="008B176B">
      <w:pPr>
        <w:spacing w:before="40" w:after="40"/>
      </w:pPr>
    </w:p>
    <w:p w14:paraId="27F7E549" w14:textId="77777777" w:rsidR="008B176B" w:rsidRDefault="009D00BC">
      <w:pPr>
        <w:spacing w:before="80" w:after="80"/>
      </w:pPr>
      <w:r>
        <w:t>BIS targeting: Entity List additions with documented confirmed-attribution evidentiary basis for PRC-linked procurement intermediaries, technology brokers, and military-civil fusion entities with documented DPRK or Iranian WMD/missile nexus. Simultaneous OFAC + BIS action eliminates the 30-90 day adaptation window that sequential action creates — this is the single highest-impact procedural reform available at no additional statutory authority cost.</w:t>
      </w:r>
    </w:p>
    <w:p w14:paraId="6C23DE95" w14:textId="77777777" w:rsidR="008B176B" w:rsidRDefault="008B176B">
      <w:pPr>
        <w:spacing w:before="40" w:after="40"/>
      </w:pPr>
    </w:p>
    <w:p w14:paraId="371EFBC1" w14:textId="77777777" w:rsidR="008B176B" w:rsidRDefault="009D00BC">
      <w:pPr>
        <w:spacing w:before="80" w:after="80"/>
      </w:pPr>
      <w:r>
        <w:t>Dual-use choke points: Semiconductor manufacturing equipment denial (Netherlands/ASML, Japan/Tokyo Electron, U.S./KLA, Applied Materials) targeting sub-14nm process capability relevant to DPRK and Iranian military-electronics programs. Advanced computing export controls targeting AI-accelerator hardware with dual-use military applications. Precision manufacturing equipment controls targeting missile-guidance and centrifuge-component fabrication. INKSNA certification for documented WMD-relevant technology tr</w:t>
      </w:r>
      <w:r>
        <w:t>ansfers — State Department determination supported by confirmed-attribution intelligence record.</w:t>
      </w:r>
    </w:p>
    <w:p w14:paraId="3AACFE18" w14:textId="77777777" w:rsidR="008B176B" w:rsidRDefault="008B176B">
      <w:pPr>
        <w:spacing w:before="40" w:after="40"/>
      </w:pPr>
    </w:p>
    <w:p w14:paraId="199CB68A" w14:textId="77777777" w:rsidR="008B176B" w:rsidRDefault="009D00BC">
      <w:pPr>
        <w:spacing w:before="80" w:after="80"/>
      </w:pPr>
      <w:r>
        <w:t>Procurement surveillance: BIS end-use check program for entities in PRC, UAE, Turkey, and other high-risk jurisdictions with documented diversion risk. Export license denial data aggregation as Phase I evidentiary input for subsequent Entity List actions. § 314(a) information-sharing requests to financial institutions for transaction data relevant to procurement-network mapping.</w:t>
      </w:r>
    </w:p>
    <w:p w14:paraId="2C137B1D" w14:textId="77777777" w:rsidR="008B176B" w:rsidRDefault="008B176B">
      <w:pPr>
        <w:spacing w:before="40" w:after="40"/>
      </w:pPr>
    </w:p>
    <w:p w14:paraId="0266DD1B" w14:textId="77777777" w:rsidR="008B176B" w:rsidRDefault="009D00BC">
      <w:pPr>
        <w:spacing w:before="80" w:after="80"/>
      </w:pPr>
      <w:r>
        <w:t>Partner export-control alignment: FDPR coordination with allied governments for non-U.S. firms using qualifying U.S.-origin technology in items destined for embargoed destinations. Aligned Entity List criteria with allies to prevent jurisdiction arbitrage where U.S. Entity List additions create substitution to non-listed allied-country suppliers. Joint end-user verification programs for high-risk dual-use items.</w:t>
      </w:r>
    </w:p>
    <w:p w14:paraId="3F3D18EB" w14:textId="77777777" w:rsidR="008B176B" w:rsidRDefault="008B176B">
      <w:pPr>
        <w:spacing w:before="40" w:after="4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40"/>
        <w:gridCol w:w="2040"/>
        <w:gridCol w:w="2040"/>
        <w:gridCol w:w="2040"/>
      </w:tblGrid>
      <w:tr w:rsidR="008B176B" w14:paraId="4864DDEC" w14:textId="77777777">
        <w:tblPrEx>
          <w:tblCellMar>
            <w:top w:w="0" w:type="dxa"/>
            <w:bottom w:w="0" w:type="dxa"/>
          </w:tblCellMar>
        </w:tblPrEx>
        <w:tc>
          <w:tcPr>
            <w:tcW w:w="9360" w:type="dxa"/>
            <w:gridSpan w:val="5"/>
            <w:tcBorders>
              <w:top w:val="single" w:sz="1" w:space="0" w:color="AABBCC"/>
              <w:left w:val="single" w:sz="1" w:space="0" w:color="AABBCC"/>
              <w:bottom w:val="single" w:sz="1" w:space="0" w:color="AABBCC"/>
              <w:right w:val="single" w:sz="1" w:space="0" w:color="AABBCC"/>
            </w:tcBorders>
            <w:shd w:val="clear" w:color="auto" w:fill="1F3864"/>
            <w:tcMar>
              <w:top w:w="80" w:type="dxa"/>
              <w:left w:w="120" w:type="dxa"/>
              <w:bottom w:w="80" w:type="dxa"/>
              <w:right w:w="120" w:type="dxa"/>
            </w:tcMar>
          </w:tcPr>
          <w:p w14:paraId="25F1CD7C" w14:textId="77777777" w:rsidR="008B176B" w:rsidRDefault="009D00BC">
            <w:r>
              <w:rPr>
                <w:b/>
                <w:bCs/>
                <w:color w:val="FFFFFF"/>
              </w:rPr>
              <w:t>PHASE III — TECHNOLOGY AND PROCUREMENT DENIAL</w:t>
            </w:r>
          </w:p>
        </w:tc>
      </w:tr>
      <w:tr w:rsidR="008B176B" w14:paraId="253D48DF"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2E5F8A"/>
            <w:tcMar>
              <w:top w:w="80" w:type="dxa"/>
              <w:left w:w="120" w:type="dxa"/>
              <w:bottom w:w="80" w:type="dxa"/>
              <w:right w:w="120" w:type="dxa"/>
            </w:tcMar>
          </w:tcPr>
          <w:p w14:paraId="60A27256" w14:textId="77777777" w:rsidR="008B176B" w:rsidRDefault="009D00BC">
            <w:r>
              <w:rPr>
                <w:b/>
                <w:bCs/>
                <w:color w:val="FFFFFF"/>
                <w:sz w:val="20"/>
                <w:szCs w:val="20"/>
              </w:rPr>
              <w:t>TRIGGER</w:t>
            </w:r>
          </w:p>
        </w:tc>
        <w:tc>
          <w:tcPr>
            <w:tcW w:w="2040" w:type="dxa"/>
            <w:tcBorders>
              <w:top w:val="single" w:sz="1" w:space="0" w:color="AABBCC"/>
              <w:left w:val="single" w:sz="1" w:space="0" w:color="AABBCC"/>
              <w:bottom w:val="single" w:sz="1" w:space="0" w:color="AABBCC"/>
              <w:right w:val="single" w:sz="1" w:space="0" w:color="AABBCC"/>
            </w:tcBorders>
            <w:shd w:val="clear" w:color="auto" w:fill="2E5F8A"/>
            <w:tcMar>
              <w:top w:w="80" w:type="dxa"/>
              <w:left w:w="120" w:type="dxa"/>
              <w:bottom w:w="80" w:type="dxa"/>
              <w:right w:w="120" w:type="dxa"/>
            </w:tcMar>
          </w:tcPr>
          <w:p w14:paraId="530931A5" w14:textId="77777777" w:rsidR="008B176B" w:rsidRDefault="009D00BC">
            <w:r>
              <w:rPr>
                <w:b/>
                <w:bCs/>
                <w:color w:val="FFFFFF"/>
                <w:sz w:val="20"/>
                <w:szCs w:val="20"/>
              </w:rPr>
              <w:t>ENTRY CONDITION</w:t>
            </w:r>
          </w:p>
        </w:tc>
        <w:tc>
          <w:tcPr>
            <w:tcW w:w="2040" w:type="dxa"/>
            <w:tcBorders>
              <w:top w:val="single" w:sz="1" w:space="0" w:color="AABBCC"/>
              <w:left w:val="single" w:sz="1" w:space="0" w:color="AABBCC"/>
              <w:bottom w:val="single" w:sz="1" w:space="0" w:color="AABBCC"/>
              <w:right w:val="single" w:sz="1" w:space="0" w:color="AABBCC"/>
            </w:tcBorders>
            <w:shd w:val="clear" w:color="auto" w:fill="2E5F8A"/>
            <w:tcMar>
              <w:top w:w="80" w:type="dxa"/>
              <w:left w:w="120" w:type="dxa"/>
              <w:bottom w:w="80" w:type="dxa"/>
              <w:right w:w="120" w:type="dxa"/>
            </w:tcMar>
          </w:tcPr>
          <w:p w14:paraId="22C27011" w14:textId="77777777" w:rsidR="008B176B" w:rsidRDefault="009D00BC">
            <w:r>
              <w:rPr>
                <w:b/>
                <w:bCs/>
                <w:color w:val="FFFFFF"/>
                <w:sz w:val="20"/>
                <w:szCs w:val="20"/>
              </w:rPr>
              <w:t>ESCALATION THRESHOLD</w:t>
            </w:r>
          </w:p>
        </w:tc>
        <w:tc>
          <w:tcPr>
            <w:tcW w:w="2040" w:type="dxa"/>
            <w:tcBorders>
              <w:top w:val="single" w:sz="1" w:space="0" w:color="AABBCC"/>
              <w:left w:val="single" w:sz="1" w:space="0" w:color="AABBCC"/>
              <w:bottom w:val="single" w:sz="1" w:space="0" w:color="AABBCC"/>
              <w:right w:val="single" w:sz="1" w:space="0" w:color="AABBCC"/>
            </w:tcBorders>
            <w:shd w:val="clear" w:color="auto" w:fill="2E5F8A"/>
            <w:tcMar>
              <w:top w:w="80" w:type="dxa"/>
              <w:left w:w="120" w:type="dxa"/>
              <w:bottom w:w="80" w:type="dxa"/>
              <w:right w:w="120" w:type="dxa"/>
            </w:tcMar>
          </w:tcPr>
          <w:p w14:paraId="18520FF3" w14:textId="77777777" w:rsidR="008B176B" w:rsidRDefault="009D00BC">
            <w:r>
              <w:rPr>
                <w:b/>
                <w:bCs/>
                <w:color w:val="FFFFFF"/>
                <w:sz w:val="20"/>
                <w:szCs w:val="20"/>
              </w:rPr>
              <w:t>PAUSE CONDITION</w:t>
            </w:r>
          </w:p>
        </w:tc>
        <w:tc>
          <w:tcPr>
            <w:tcW w:w="2040" w:type="dxa"/>
            <w:tcBorders>
              <w:top w:val="single" w:sz="1" w:space="0" w:color="AABBCC"/>
              <w:left w:val="single" w:sz="1" w:space="0" w:color="AABBCC"/>
              <w:bottom w:val="single" w:sz="1" w:space="0" w:color="AABBCC"/>
              <w:right w:val="single" w:sz="1" w:space="0" w:color="AABBCC"/>
            </w:tcBorders>
            <w:shd w:val="clear" w:color="auto" w:fill="2E5F8A"/>
            <w:tcMar>
              <w:top w:w="80" w:type="dxa"/>
              <w:left w:w="120" w:type="dxa"/>
              <w:bottom w:w="80" w:type="dxa"/>
              <w:right w:w="120" w:type="dxa"/>
            </w:tcMar>
          </w:tcPr>
          <w:p w14:paraId="1F3A939A" w14:textId="77777777" w:rsidR="008B176B" w:rsidRDefault="009D00BC">
            <w:r>
              <w:rPr>
                <w:b/>
                <w:bCs/>
                <w:color w:val="FFFFFF"/>
                <w:sz w:val="20"/>
                <w:szCs w:val="20"/>
              </w:rPr>
              <w:t>ROLLBACK CONDITION</w:t>
            </w:r>
          </w:p>
        </w:tc>
      </w:tr>
      <w:tr w:rsidR="008B176B" w14:paraId="6A3D4763"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3B216941" w14:textId="77777777" w:rsidR="008B176B" w:rsidRDefault="008B176B">
            <w:pPr>
              <w:spacing w:before="40" w:after="40"/>
            </w:pPr>
          </w:p>
        </w:tc>
        <w:tc>
          <w:tcPr>
            <w:tcW w:w="20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BCFBF14" w14:textId="77777777" w:rsidR="008B176B" w:rsidRDefault="009D00BC">
            <w:pPr>
              <w:spacing w:before="40" w:after="40"/>
            </w:pPr>
            <w:r>
              <w:rPr>
                <w:sz w:val="20"/>
                <w:szCs w:val="20"/>
              </w:rPr>
              <w:t>Phase II observability metrics confirm network friction. Phase I evidentiary files at confirmed-attribution standard for technology-procurement intermediaries. Allied coordination (Netherlands, Japan, South Korea, UK, Germany) on synchronized export-control measures initiated.</w:t>
            </w:r>
          </w:p>
        </w:tc>
        <w:tc>
          <w:tcPr>
            <w:tcW w:w="20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BE21B49" w14:textId="77777777" w:rsidR="008B176B" w:rsidRDefault="009D00BC">
            <w:pPr>
              <w:spacing w:before="40" w:after="40"/>
            </w:pPr>
            <w:r>
              <w:rPr>
                <w:sz w:val="20"/>
                <w:szCs w:val="20"/>
              </w:rPr>
              <w:t>Measurable procurement delay documented through end-use check results, export license denial data, or commercial intelligence. Coordinated financial designation and Entity List addition are pursued concurrently where evidentiary predicates for both exist — concurrent action reduces the adaptation window. FDPR coordination with at least one primary technology-denial partner is sought. INKSNA determination package is prepared for documented WMD-relevant transfers.</w:t>
            </w:r>
          </w:p>
        </w:tc>
        <w:tc>
          <w:tcPr>
            <w:tcW w:w="20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C3DA21F" w14:textId="77777777" w:rsidR="008B176B" w:rsidRDefault="009D00BC">
            <w:pPr>
              <w:spacing w:before="40" w:after="40"/>
            </w:pPr>
            <w:r>
              <w:rPr>
                <w:sz w:val="20"/>
                <w:szCs w:val="20"/>
              </w:rPr>
              <w:t>Pause Phase III escalation if primary technology-denial allied partner (Netherlands, Japan, South Korea) has not confirmed non-objection or if guardrail-index indicators show CIPS adoption growth exceeding threshold or allied-cohesion index below threshold.</w:t>
            </w:r>
          </w:p>
        </w:tc>
        <w:tc>
          <w:tcPr>
            <w:tcW w:w="20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38180F7" w14:textId="77777777" w:rsidR="008B176B" w:rsidRDefault="009D00BC">
            <w:pPr>
              <w:spacing w:before="40" w:after="40"/>
            </w:pPr>
            <w:r>
              <w:rPr>
                <w:sz w:val="20"/>
                <w:szCs w:val="20"/>
              </w:rPr>
              <w:t>Phase III actions roll back to Phase II posture if Entity List additions are reversed on APA review (record deficiency); if FDPR jurisdictional predicates cannot be documented; or if allied partner formally withdraws from coordination and substitution pathways materially undermine denial effectiveness.</w:t>
            </w:r>
          </w:p>
        </w:tc>
      </w:tr>
    </w:tbl>
    <w:p w14:paraId="4BE8A1FE" w14:textId="77777777" w:rsidR="008B176B" w:rsidRDefault="008B176B">
      <w:pPr>
        <w:spacing w:before="40" w:after="40"/>
      </w:pPr>
    </w:p>
    <w:p w14:paraId="369B5EDF" w14:textId="77777777" w:rsidR="008B176B" w:rsidRDefault="008B176B">
      <w:pPr>
        <w:spacing w:before="40" w:after="40"/>
      </w:pPr>
    </w:p>
    <w:p w14:paraId="01936370" w14:textId="77777777" w:rsidR="008B176B" w:rsidRDefault="009D00BC">
      <w:pPr>
        <w:pStyle w:val="Heading2"/>
      </w:pPr>
      <w:r>
        <w:t>Phase IV — Coalition Synchronization and Substitution Control</w:t>
      </w:r>
    </w:p>
    <w:p w14:paraId="0E5A6BAC" w14:textId="77777777" w:rsidR="008B176B" w:rsidRDefault="009D00BC">
      <w:pPr>
        <w:spacing w:before="80" w:after="80"/>
      </w:pPr>
      <w:r>
        <w:t>Phase IV is not a sequential step — it is a continuous process that must begin before Phase II and sustain through Phase V. It is addressed as a distinct phase because its requirements are analytically separate from the enforcement actions in Phases I-III and V, and because coalition durability is the enabling condition for every other phase's sustainability over a 24-60 month horizon.</w:t>
      </w:r>
    </w:p>
    <w:p w14:paraId="3DE170DD" w14:textId="77777777" w:rsidR="008B176B" w:rsidRDefault="008B176B">
      <w:pPr>
        <w:spacing w:before="40" w:after="40"/>
      </w:pPr>
    </w:p>
    <w:p w14:paraId="0CB3A94A" w14:textId="77777777" w:rsidR="008B176B" w:rsidRDefault="009D00BC">
      <w:pPr>
        <w:spacing w:before="80" w:after="80"/>
      </w:pPr>
      <w:r>
        <w:t>Align records, targets, and carve-outs: Five Eyes Financial Intelligence pre-brief on pending § 311 targets and major designation sequences no later than 14 days prior. EU/EEAS synchronized quarterly designation calendars eliminate jurisdiction arbitrage between U.S. and EU enforcement cycles. GCC bilateral engagement (UAE, Qatar, Bahrain) with 72-hour advance notice of § 311 actions in those jurisdictions — creates compliance option, preserves relationships. UK OFSI coordination on shadow-fleet vessel desi</w:t>
      </w:r>
      <w:r>
        <w:t>gnation and Lloyd's guidance.</w:t>
      </w:r>
    </w:p>
    <w:p w14:paraId="63723354" w14:textId="77777777" w:rsidR="008B176B" w:rsidRDefault="008B176B">
      <w:pPr>
        <w:spacing w:before="40" w:after="40"/>
      </w:pPr>
    </w:p>
    <w:p w14:paraId="2F28073E" w14:textId="77777777" w:rsidR="008B176B" w:rsidRDefault="009D00BC">
      <w:pPr>
        <w:spacing w:before="80" w:after="80"/>
      </w:pPr>
      <w:r>
        <w:t>Reduce substitution routes: Coalition synchronization reduces the number of jurisdictions through which sanctioned-network actors can substitute around U.S. enforcement actions. Each allied enforcement action that mirrors U.S. designations closes a substitution pathway. Each jurisdiction that declines to enforce creates a corridor. The coalition-endurance management architecture in CONTAIN (ISAD/SPAD) is directly applicable: compliance must provide predictable commercial benefit, and remediation pathways mu</w:t>
      </w:r>
      <w:r>
        <w:t>st be structured and transparent.</w:t>
      </w:r>
    </w:p>
    <w:p w14:paraId="2DAA9451" w14:textId="77777777" w:rsidR="008B176B" w:rsidRDefault="008B176B">
      <w:pPr>
        <w:spacing w:before="40" w:after="40"/>
      </w:pPr>
    </w:p>
    <w:p w14:paraId="0408A326" w14:textId="77777777" w:rsidR="008B176B" w:rsidRDefault="009D00BC">
      <w:pPr>
        <w:spacing w:before="80" w:after="80"/>
      </w:pPr>
      <w:r>
        <w:t>Protect coalition endurance: Fast-track General License review (10 business days) for firms demonstrating active compliance. State INL Bureau technical assistance to third-country FIUs on beneficial ownership and sanctions screening — prioritized for UAE, Turkey, Iraq, Oman. Structured remediation pathways with 90-day deferred designation windows and defined compliance metrics. Enforcement communications emphasizing corrective compliance rather than condemnation. Private notification before public action wh</w:t>
      </w:r>
      <w:r>
        <w:t>ere operationally possible.</w:t>
      </w:r>
    </w:p>
    <w:p w14:paraId="5A67935D" w14:textId="77777777" w:rsidR="008B176B" w:rsidRDefault="008B176B">
      <w:pPr>
        <w:spacing w:before="40" w:after="40"/>
      </w:pPr>
    </w:p>
    <w:p w14:paraId="528D3738" w14:textId="77777777" w:rsidR="008B176B" w:rsidRDefault="009D00BC">
      <w:pPr>
        <w:spacing w:before="80" w:after="80"/>
      </w:pPr>
      <w:r>
        <w:t>The live contradiction: No paper in this series can fully resolve the contradiction between technology-denial coordination requirements and simultaneous trade friction with the same partners. Netherlands, Japan, and South Korea are simultaneously primary technology-denial coordination partners and targets of broad tariff measures that reduce their willingness to sustain coordination costs. The protocol below proposes a structural resolution through explicit priority rules and a coordination mechanism. It do</w:t>
      </w:r>
      <w:r>
        <w:t>es not claim that political will to implement this mechanism currently exists — it claims that absent such a mechanism, Phase III escalation in coalition-sensitive domains is likely to underperform.</w:t>
      </w:r>
    </w:p>
    <w:p w14:paraId="0E8C306B" w14:textId="77777777" w:rsidR="008B176B" w:rsidRDefault="008B176B">
      <w:pPr>
        <w:spacing w:before="40" w:after="40"/>
      </w:pPr>
    </w:p>
    <w:p w14:paraId="332A40E1" w14:textId="77777777" w:rsidR="008B176B" w:rsidRDefault="009D00BC">
      <w:pPr>
        <w:pStyle w:val="Heading3"/>
      </w:pPr>
      <w:r>
        <w:t>IV.A — Coalition Conflict Resolution Protocol (Original Framework Contribution)</w:t>
      </w:r>
    </w:p>
    <w:p w14:paraId="7707C091" w14:textId="77777777" w:rsidR="008B176B" w:rsidRDefault="009D00BC">
      <w:pPr>
        <w:spacing w:before="80" w:after="80"/>
      </w:pPr>
      <w:r>
        <w:t xml:space="preserve">The trade-friction / technology-denial contradiction is structural, not episodic. It arises because two distinct U.S. policy instruments — tariff measures under IEEPA/§ 301 (TARIFF-01 architecture) and export-control coordination under bilateral technical agreements and </w:t>
      </w:r>
      <w:proofErr w:type="spellStart"/>
      <w:r>
        <w:t>Wassenaar</w:t>
      </w:r>
      <w:proofErr w:type="spellEnd"/>
      <w:r>
        <w:t xml:space="preserve"> — operate on different administrative timelines, through different interagency leads, and without a coordinating mechanism that assigns priority when they stress the same political relationships simultaneously. The contradiction is not a failure of individual policy instruments. It is a coordination failure between instruments that share critical dependencies.</w:t>
      </w:r>
    </w:p>
    <w:p w14:paraId="7F7369CA" w14:textId="77777777" w:rsidR="008B176B" w:rsidRDefault="008B176B">
      <w:pPr>
        <w:spacing w:before="40" w:after="40"/>
      </w:pPr>
    </w:p>
    <w:p w14:paraId="09AE78FA" w14:textId="77777777" w:rsidR="008B176B" w:rsidRDefault="009D00BC">
      <w:pPr>
        <w:spacing w:before="80" w:after="80"/>
      </w:pPr>
      <w:r>
        <w:t>The structural solution is a Coalition Conflict Resolution Protocol (CCRP) that does three things: establishes explicit priority rules between enforcement lanes in coalition-sensitive domains; creates a notification mechanism before tariff escalation affecting primary technology-denial partners; and assigns institutional responsibility for managing the conflict when it is not resolved.</w:t>
      </w:r>
    </w:p>
    <w:p w14:paraId="0563B56A" w14:textId="77777777" w:rsidR="008B176B" w:rsidRDefault="008B176B">
      <w:pPr>
        <w:spacing w:before="40" w:after="40"/>
      </w:pPr>
    </w:p>
    <w:p w14:paraId="5D334586" w14:textId="77777777" w:rsidR="008B176B" w:rsidRDefault="009D00BC">
      <w:pPr>
        <w:spacing w:before="80" w:after="80"/>
      </w:pPr>
      <w:r>
        <w:t>Priority rule. Technology-denial coordination takes precedence over tariff escalation in coalition-sensitive domains. The rationale is asymmetric irreversibility: technology-denial coordination depends on bilateral technical agreements and institutional trust that takes years to build and can be degraded quickly by diplomatic friction. Tariff measures can be modified, waived, or suspended by executive action within days. The time-horizon asymmetry justifies the priority rule even if the policy objectives of</w:t>
      </w:r>
      <w:r>
        <w:t xml:space="preserve"> tariff measures are independently legitimate.</w:t>
      </w:r>
    </w:p>
    <w:p w14:paraId="12FF115B" w14:textId="77777777" w:rsidR="008B176B" w:rsidRDefault="008B176B">
      <w:pPr>
        <w:spacing w:before="40" w:after="40"/>
      </w:pPr>
    </w:p>
    <w:p w14:paraId="5E498435" w14:textId="77777777" w:rsidR="008B176B" w:rsidRDefault="009D00BC">
      <w:pPr>
        <w:spacing w:before="80" w:after="80"/>
      </w:pPr>
      <w:r>
        <w:t>Notification mechanism. Before any tariff action affecting a primary technology-denial partner (Netherlands, Japan, South Korea) escalates beyond a defined threshold — proposed: any tariff rate increase above 10 percentage points or any new tariff category covering semiconductor manufacturing equipment, advanced computing hardware, or precision manufacturing inputs — USTR is required to coordinate with BIS and State to produce a written certification that technology-denial coordination is not materially imp</w:t>
      </w:r>
      <w:r>
        <w:t>aired. The 30-day coordination window runs from the date of proposed tariff action to the date of implementation. This is analogous to the guardrail-index architecture in Section V — an institutionalized pause for coordinated review before escalation.</w:t>
      </w:r>
    </w:p>
    <w:p w14:paraId="4561CF47" w14:textId="77777777" w:rsidR="008B176B" w:rsidRDefault="008B176B">
      <w:pPr>
        <w:spacing w:before="40" w:after="40"/>
      </w:pPr>
    </w:p>
    <w:p w14:paraId="5459B175" w14:textId="77777777" w:rsidR="008B176B" w:rsidRDefault="009D00BC">
      <w:pPr>
        <w:spacing w:before="80" w:after="80"/>
      </w:pPr>
      <w:r>
        <w:t xml:space="preserve">Specific partner-country pairings where the contradiction is currently live: (1) Netherlands/ASML — the sole source of extreme ultraviolet lithography equipment globally. Any tariff friction with the Netherlands directly implicates the bilateral export-control understanding that restricts ASML shipments to PRC advanced-node fabs. (2) Japan/Tokyo Electron and </w:t>
      </w:r>
      <w:proofErr w:type="spellStart"/>
      <w:r>
        <w:t>Shin-Etsu</w:t>
      </w:r>
      <w:proofErr w:type="spellEnd"/>
      <w:r>
        <w:t xml:space="preserve"> Chemical — primary suppliers of chemical mechanical </w:t>
      </w:r>
      <w:proofErr w:type="spellStart"/>
      <w:r>
        <w:t>planarization</w:t>
      </w:r>
      <w:proofErr w:type="spellEnd"/>
      <w:r>
        <w:t xml:space="preserve"> equipment and specialty chemicals for semiconductor fabrication. Japan's cooperative export-control posture requires sustained diplomatic investment that tariff friction erodes. (3) South Korea/Samsung and SK Hynix — primary suppliers of high-bandwidth memory critical to AI accelerator hardware. South Korea's willingness to restrict HBM exports to PRC-linked military end-users is directly sensitive to its bilateral trade relationshi</w:t>
      </w:r>
      <w:r>
        <w:t>p with the United States.</w:t>
      </w:r>
    </w:p>
    <w:p w14:paraId="0FF9A71B" w14:textId="77777777" w:rsidR="008B176B" w:rsidRDefault="008B176B">
      <w:pPr>
        <w:spacing w:before="40" w:after="40"/>
      </w:pPr>
    </w:p>
    <w:p w14:paraId="778C62DD" w14:textId="77777777" w:rsidR="008B176B" w:rsidRDefault="009D00BC">
      <w:pPr>
        <w:spacing w:before="80" w:after="80"/>
      </w:pPr>
      <w:r>
        <w:t xml:space="preserve">Institutional home. The CCRP requires an assigned interagency home. The proposed mechanism: NSC Senior Director for International Economics coordinates with NSC Senior Director for Technology and National Security. State Department Bureau of Economic and Business Affairs holds notification responsibility. Disputes that cannot be resolved at the Deputy Assistant Secretary level within the 30-day window are elevated to Deputies Committee. This is not a new bureaucratic layer — it is an explicit decision rule </w:t>
      </w:r>
      <w:r>
        <w:t>for a conflict that currently surfaces ad hoc at the political level, without a structured resolution pathway, and typically resolves in favor of whichever instrument has the more immediate political constituency.</w:t>
      </w:r>
    </w:p>
    <w:p w14:paraId="5FB9B0FE" w14:textId="77777777" w:rsidR="008B176B" w:rsidRDefault="008B176B">
      <w:pPr>
        <w:spacing w:before="40" w:after="40"/>
      </w:pPr>
    </w:p>
    <w:p w14:paraId="71C7F216" w14:textId="77777777" w:rsidR="008B176B" w:rsidRDefault="009D00BC">
      <w:pPr>
        <w:spacing w:before="80" w:after="80"/>
      </w:pPr>
      <w:r>
        <w:t>Note on originality. This specific coordination mechanism — a priority rule for technology-denial over tariff escalation with an institutionalized interagency notification window for coalition-sensitive domains — does not appear in the published policy literature on sanctions-technology-trade coordination. The analysis of the contradiction exists in the literature (e.g., CNAS, CSIS, and RAND work on semiconductor export controls); the proposed resolution through an explicit institutional protocol with defin</w:t>
      </w:r>
      <w:r>
        <w:t>ed priority rules and decision-authority structure is this paper's contribution. Whether it is adoptable given the current political environment is a separate question; the paper's claim is that something structurally equivalent is a prerequisite for durable Phase III coalition performance.</w:t>
      </w:r>
    </w:p>
    <w:p w14:paraId="1E9F32D3" w14:textId="77777777" w:rsidR="008B176B" w:rsidRDefault="008B176B">
      <w:pPr>
        <w:spacing w:before="40" w:after="4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40"/>
        <w:gridCol w:w="2040"/>
        <w:gridCol w:w="2040"/>
        <w:gridCol w:w="2040"/>
      </w:tblGrid>
      <w:tr w:rsidR="008B176B" w14:paraId="72C6670D" w14:textId="77777777">
        <w:tblPrEx>
          <w:tblCellMar>
            <w:top w:w="0" w:type="dxa"/>
            <w:bottom w:w="0" w:type="dxa"/>
          </w:tblCellMar>
        </w:tblPrEx>
        <w:tc>
          <w:tcPr>
            <w:tcW w:w="9360" w:type="dxa"/>
            <w:gridSpan w:val="5"/>
            <w:tcBorders>
              <w:top w:val="single" w:sz="1" w:space="0" w:color="AABBCC"/>
              <w:left w:val="single" w:sz="1" w:space="0" w:color="AABBCC"/>
              <w:bottom w:val="single" w:sz="1" w:space="0" w:color="AABBCC"/>
              <w:right w:val="single" w:sz="1" w:space="0" w:color="AABBCC"/>
            </w:tcBorders>
            <w:shd w:val="clear" w:color="auto" w:fill="1F3864"/>
            <w:tcMar>
              <w:top w:w="80" w:type="dxa"/>
              <w:left w:w="120" w:type="dxa"/>
              <w:bottom w:w="80" w:type="dxa"/>
              <w:right w:w="120" w:type="dxa"/>
            </w:tcMar>
          </w:tcPr>
          <w:p w14:paraId="5C6D93A7" w14:textId="77777777" w:rsidR="008B176B" w:rsidRDefault="009D00BC">
            <w:r>
              <w:rPr>
                <w:b/>
                <w:bCs/>
                <w:color w:val="FFFFFF"/>
              </w:rPr>
              <w:t>PHASE IV — COALITION SYNCHRONIZATION AND SUBSTITUTION CONTROL</w:t>
            </w:r>
          </w:p>
        </w:tc>
      </w:tr>
      <w:tr w:rsidR="008B176B" w14:paraId="29975C35"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2E5F8A"/>
            <w:tcMar>
              <w:top w:w="80" w:type="dxa"/>
              <w:left w:w="120" w:type="dxa"/>
              <w:bottom w:w="80" w:type="dxa"/>
              <w:right w:w="120" w:type="dxa"/>
            </w:tcMar>
          </w:tcPr>
          <w:p w14:paraId="406C4174" w14:textId="77777777" w:rsidR="008B176B" w:rsidRDefault="009D00BC">
            <w:r>
              <w:rPr>
                <w:b/>
                <w:bCs/>
                <w:color w:val="FFFFFF"/>
                <w:sz w:val="20"/>
                <w:szCs w:val="20"/>
              </w:rPr>
              <w:t>TRIGGER</w:t>
            </w:r>
          </w:p>
        </w:tc>
        <w:tc>
          <w:tcPr>
            <w:tcW w:w="2040" w:type="dxa"/>
            <w:tcBorders>
              <w:top w:val="single" w:sz="1" w:space="0" w:color="AABBCC"/>
              <w:left w:val="single" w:sz="1" w:space="0" w:color="AABBCC"/>
              <w:bottom w:val="single" w:sz="1" w:space="0" w:color="AABBCC"/>
              <w:right w:val="single" w:sz="1" w:space="0" w:color="AABBCC"/>
            </w:tcBorders>
            <w:shd w:val="clear" w:color="auto" w:fill="2E5F8A"/>
            <w:tcMar>
              <w:top w:w="80" w:type="dxa"/>
              <w:left w:w="120" w:type="dxa"/>
              <w:bottom w:w="80" w:type="dxa"/>
              <w:right w:w="120" w:type="dxa"/>
            </w:tcMar>
          </w:tcPr>
          <w:p w14:paraId="1417CFFE" w14:textId="77777777" w:rsidR="008B176B" w:rsidRDefault="009D00BC">
            <w:r>
              <w:rPr>
                <w:b/>
                <w:bCs/>
                <w:color w:val="FFFFFF"/>
                <w:sz w:val="20"/>
                <w:szCs w:val="20"/>
              </w:rPr>
              <w:t>ENTRY CONDITION</w:t>
            </w:r>
          </w:p>
        </w:tc>
        <w:tc>
          <w:tcPr>
            <w:tcW w:w="2040" w:type="dxa"/>
            <w:tcBorders>
              <w:top w:val="single" w:sz="1" w:space="0" w:color="AABBCC"/>
              <w:left w:val="single" w:sz="1" w:space="0" w:color="AABBCC"/>
              <w:bottom w:val="single" w:sz="1" w:space="0" w:color="AABBCC"/>
              <w:right w:val="single" w:sz="1" w:space="0" w:color="AABBCC"/>
            </w:tcBorders>
            <w:shd w:val="clear" w:color="auto" w:fill="2E5F8A"/>
            <w:tcMar>
              <w:top w:w="80" w:type="dxa"/>
              <w:left w:w="120" w:type="dxa"/>
              <w:bottom w:w="80" w:type="dxa"/>
              <w:right w:w="120" w:type="dxa"/>
            </w:tcMar>
          </w:tcPr>
          <w:p w14:paraId="7092F65F" w14:textId="77777777" w:rsidR="008B176B" w:rsidRDefault="009D00BC">
            <w:r>
              <w:rPr>
                <w:b/>
                <w:bCs/>
                <w:color w:val="FFFFFF"/>
                <w:sz w:val="20"/>
                <w:szCs w:val="20"/>
              </w:rPr>
              <w:t>ESCALATION THRESHOLD</w:t>
            </w:r>
          </w:p>
        </w:tc>
        <w:tc>
          <w:tcPr>
            <w:tcW w:w="2040" w:type="dxa"/>
            <w:tcBorders>
              <w:top w:val="single" w:sz="1" w:space="0" w:color="AABBCC"/>
              <w:left w:val="single" w:sz="1" w:space="0" w:color="AABBCC"/>
              <w:bottom w:val="single" w:sz="1" w:space="0" w:color="AABBCC"/>
              <w:right w:val="single" w:sz="1" w:space="0" w:color="AABBCC"/>
            </w:tcBorders>
            <w:shd w:val="clear" w:color="auto" w:fill="2E5F8A"/>
            <w:tcMar>
              <w:top w:w="80" w:type="dxa"/>
              <w:left w:w="120" w:type="dxa"/>
              <w:bottom w:w="80" w:type="dxa"/>
              <w:right w:w="120" w:type="dxa"/>
            </w:tcMar>
          </w:tcPr>
          <w:p w14:paraId="51029611" w14:textId="77777777" w:rsidR="008B176B" w:rsidRDefault="009D00BC">
            <w:r>
              <w:rPr>
                <w:b/>
                <w:bCs/>
                <w:color w:val="FFFFFF"/>
                <w:sz w:val="20"/>
                <w:szCs w:val="20"/>
              </w:rPr>
              <w:t>PAUSE CONDITION</w:t>
            </w:r>
          </w:p>
        </w:tc>
        <w:tc>
          <w:tcPr>
            <w:tcW w:w="2040" w:type="dxa"/>
            <w:tcBorders>
              <w:top w:val="single" w:sz="1" w:space="0" w:color="AABBCC"/>
              <w:left w:val="single" w:sz="1" w:space="0" w:color="AABBCC"/>
              <w:bottom w:val="single" w:sz="1" w:space="0" w:color="AABBCC"/>
              <w:right w:val="single" w:sz="1" w:space="0" w:color="AABBCC"/>
            </w:tcBorders>
            <w:shd w:val="clear" w:color="auto" w:fill="2E5F8A"/>
            <w:tcMar>
              <w:top w:w="80" w:type="dxa"/>
              <w:left w:w="120" w:type="dxa"/>
              <w:bottom w:w="80" w:type="dxa"/>
              <w:right w:w="120" w:type="dxa"/>
            </w:tcMar>
          </w:tcPr>
          <w:p w14:paraId="6B43F83E" w14:textId="77777777" w:rsidR="008B176B" w:rsidRDefault="009D00BC">
            <w:r>
              <w:rPr>
                <w:b/>
                <w:bCs/>
                <w:color w:val="FFFFFF"/>
                <w:sz w:val="20"/>
                <w:szCs w:val="20"/>
              </w:rPr>
              <w:t>ROLLBACK CONDITION</w:t>
            </w:r>
          </w:p>
        </w:tc>
      </w:tr>
      <w:tr w:rsidR="008B176B" w14:paraId="6A677EF8"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2EB9367F" w14:textId="77777777" w:rsidR="008B176B" w:rsidRDefault="008B176B">
            <w:pPr>
              <w:spacing w:before="40" w:after="40"/>
            </w:pPr>
          </w:p>
        </w:tc>
        <w:tc>
          <w:tcPr>
            <w:tcW w:w="20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26C666E" w14:textId="77777777" w:rsidR="008B176B" w:rsidRDefault="009D00BC">
            <w:pPr>
              <w:spacing w:before="40" w:after="40"/>
            </w:pPr>
            <w:r>
              <w:rPr>
                <w:sz w:val="20"/>
                <w:szCs w:val="20"/>
              </w:rPr>
              <w:t>Continuous from Phase I. Formal coalition-risk review completed before any Phase II or III escalation action. Five Eyes pre-brief protocol established. GCC bilateral engagement cadence established.</w:t>
            </w:r>
          </w:p>
        </w:tc>
        <w:tc>
          <w:tcPr>
            <w:tcW w:w="20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3A23797" w14:textId="77777777" w:rsidR="008B176B" w:rsidRDefault="009D00BC">
            <w:pPr>
              <w:spacing w:before="40" w:after="40"/>
            </w:pPr>
            <w:r>
              <w:rPr>
                <w:sz w:val="20"/>
                <w:szCs w:val="20"/>
              </w:rPr>
              <w:t>Minimum 2 primary partners (Five Eyes or EU) non-objecting to proposed action at Tier 2. Affirmative written concurrence from 2 primary partners for Tier 3 actions. Substitution-route analysis shows closing pathways through coordinated enforcement.</w:t>
            </w:r>
          </w:p>
        </w:tc>
        <w:tc>
          <w:tcPr>
            <w:tcW w:w="20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13B8D72" w14:textId="77777777" w:rsidR="008B176B" w:rsidRDefault="009D00BC">
            <w:pPr>
              <w:spacing w:before="40" w:after="40"/>
            </w:pPr>
            <w:r>
              <w:rPr>
                <w:sz w:val="20"/>
                <w:szCs w:val="20"/>
              </w:rPr>
              <w:t>Pause coalition escalation actions if formal allied objection filed and 30-day review hold applies; if guardrail allied-cohesion indicator shows defection of two or more primary technology-denial partners; or if trade-friction contradiction has not been addressed for Tier 2 partners.</w:t>
            </w:r>
          </w:p>
        </w:tc>
        <w:tc>
          <w:tcPr>
            <w:tcW w:w="20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4AE3657" w14:textId="77777777" w:rsidR="008B176B" w:rsidRDefault="009D00BC">
            <w:pPr>
              <w:spacing w:before="40" w:after="40"/>
            </w:pPr>
            <w:r>
              <w:rPr>
                <w:sz w:val="20"/>
                <w:szCs w:val="20"/>
              </w:rPr>
              <w:t>Roll back to Phase I posture for coalition-synchronized designations if allied partner formally withdraws from coordination and substitution pathways materially reopen. Maintain Phase I file-building even if coalition coordination breaks down.</w:t>
            </w:r>
          </w:p>
        </w:tc>
      </w:tr>
    </w:tbl>
    <w:p w14:paraId="1F7EE85B" w14:textId="77777777" w:rsidR="008B176B" w:rsidRDefault="008B176B">
      <w:pPr>
        <w:spacing w:before="40" w:after="40"/>
      </w:pPr>
    </w:p>
    <w:p w14:paraId="62A4B2FD" w14:textId="77777777" w:rsidR="008B176B" w:rsidRDefault="008B176B">
      <w:pPr>
        <w:spacing w:before="40" w:after="40"/>
      </w:pPr>
    </w:p>
    <w:p w14:paraId="63737C22" w14:textId="77777777" w:rsidR="008B176B" w:rsidRDefault="009D00BC">
      <w:pPr>
        <w:pStyle w:val="Heading2"/>
      </w:pPr>
      <w:r>
        <w:t>Phase V — Crisis-Contingency Escalation Under Existing Authorities</w:t>
      </w:r>
    </w:p>
    <w:p w14:paraId="606E1797" w14:textId="77777777" w:rsidR="008B176B" w:rsidRDefault="009D00BC">
      <w:pPr>
        <w:spacing w:before="80" w:after="80"/>
      </w:pPr>
      <w:r>
        <w:t>Phase V addresses elevated-tempo enforcement posture under crisis or triggering-event conditions. The available public authorities do not change in a crisis; what changes is the speed and decision-authority level at which pre-staged packages are executed. Phase V does not introduce authorities not already grounded in Phases I-IV; it describes the conditions under which readiness-posture packages are activated and the guardrail requirements that remain binding even under time-compressed conditions.</w:t>
      </w:r>
    </w:p>
    <w:p w14:paraId="7A8BE3A1" w14:textId="77777777" w:rsidR="008B176B" w:rsidRDefault="008B176B">
      <w:pPr>
        <w:spacing w:before="40" w:after="40"/>
      </w:pPr>
    </w:p>
    <w:p w14:paraId="63A88748" w14:textId="77777777" w:rsidR="008B176B" w:rsidRDefault="009D00BC">
      <w:pPr>
        <w:spacing w:before="80" w:after="80"/>
      </w:pPr>
      <w:r>
        <w:t>Elevated-tempo enforcement: Where a crisis trigger is documented and applicable decision authority has been engaged, designation-readiness files for the highest-volume NIOC-adjacent institutions and highest-priority NKSPEA/CAATSA targets are advanced for decision review. Case-preparation that meets the applicable evidentiary standard prior to the decision point enables faster implementation without compromising the record. Any compression of the standard pipeline is pursued only to the extent consistent wit</w:t>
      </w:r>
      <w:r>
        <w:t>h APA and evidentiary requirements — those requirements do not suspend under crisis conditions.</w:t>
      </w:r>
    </w:p>
    <w:p w14:paraId="535AAF4B" w14:textId="77777777" w:rsidR="008B176B" w:rsidRDefault="008B176B">
      <w:pPr>
        <w:spacing w:before="40" w:after="40"/>
      </w:pPr>
    </w:p>
    <w:p w14:paraId="5903BDCA" w14:textId="77777777" w:rsidR="008B176B" w:rsidRDefault="009D00BC">
      <w:pPr>
        <w:spacing w:before="80" w:after="80"/>
      </w:pPr>
      <w:r>
        <w:t>Shipping-risk discipline: OFAC vessel designations and coordinated Lloyd's/OFSI advisory guidance are advanced consistent with pre-prepared packages. Flag-registry diplomatic pressure is increased through State Department channels. Floating-storage surveillance and discharge-delay monitoring for sanctioned-origin crude near PRC discharge zones are intensified. Specific maritime enforcement operations involving USCG and Navy authorities are governed by applicable legal frameworks outside the scope of this pa</w:t>
      </w:r>
      <w:r>
        <w:t>per.</w:t>
      </w:r>
    </w:p>
    <w:p w14:paraId="7F94DDA6" w14:textId="77777777" w:rsidR="008B176B" w:rsidRDefault="008B176B">
      <w:pPr>
        <w:spacing w:before="40" w:after="40"/>
      </w:pPr>
    </w:p>
    <w:p w14:paraId="0D081F65" w14:textId="77777777" w:rsidR="008B176B" w:rsidRDefault="009D00BC">
      <w:pPr>
        <w:spacing w:before="80" w:after="80"/>
      </w:pPr>
      <w:r>
        <w:t>Licensing and waiver tightening: Review and modify General License conditions where crisis conditions justify tightening — subject to APA notice requirements for material changes. Expedite specific-license denials for dual-use items with documented proliferation-nexus risk. Coordinate with allied licensing authorities on synchronized tightening to prevent jurisdiction arbitrage.</w:t>
      </w:r>
    </w:p>
    <w:p w14:paraId="0BA9235C" w14:textId="77777777" w:rsidR="008B176B" w:rsidRDefault="008B176B">
      <w:pPr>
        <w:spacing w:before="40" w:after="40"/>
      </w:pPr>
    </w:p>
    <w:p w14:paraId="72BE46B4" w14:textId="77777777" w:rsidR="008B176B" w:rsidRDefault="009D00BC">
      <w:pPr>
        <w:spacing w:before="80" w:after="80"/>
      </w:pPr>
      <w:r>
        <w:t xml:space="preserve">Emergency coordination: Activate NSC-chaired interagency crisis coordination mechanism. Compress Five Eyes pre-brief window to 72 hours for emergency actions. Guardrail-index review at emergency session cadence — guardrail pause applies even in crisis conditions unless override memorandum is produced at </w:t>
      </w:r>
      <w:proofErr w:type="spellStart"/>
      <w:r>
        <w:t>SECTREAS</w:t>
      </w:r>
      <w:proofErr w:type="spellEnd"/>
      <w:r>
        <w:t>/NSA level.</w:t>
      </w:r>
    </w:p>
    <w:p w14:paraId="08AB4FC5" w14:textId="77777777" w:rsidR="008B176B" w:rsidRDefault="008B176B">
      <w:pPr>
        <w:spacing w:before="40" w:after="4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40"/>
        <w:gridCol w:w="2040"/>
        <w:gridCol w:w="2040"/>
        <w:gridCol w:w="2040"/>
      </w:tblGrid>
      <w:tr w:rsidR="008B176B" w14:paraId="76D771DB" w14:textId="77777777">
        <w:tblPrEx>
          <w:tblCellMar>
            <w:top w:w="0" w:type="dxa"/>
            <w:bottom w:w="0" w:type="dxa"/>
          </w:tblCellMar>
        </w:tblPrEx>
        <w:tc>
          <w:tcPr>
            <w:tcW w:w="9360" w:type="dxa"/>
            <w:gridSpan w:val="5"/>
            <w:tcBorders>
              <w:top w:val="single" w:sz="1" w:space="0" w:color="AABBCC"/>
              <w:left w:val="single" w:sz="1" w:space="0" w:color="AABBCC"/>
              <w:bottom w:val="single" w:sz="1" w:space="0" w:color="AABBCC"/>
              <w:right w:val="single" w:sz="1" w:space="0" w:color="AABBCC"/>
            </w:tcBorders>
            <w:shd w:val="clear" w:color="auto" w:fill="1F3864"/>
            <w:tcMar>
              <w:top w:w="80" w:type="dxa"/>
              <w:left w:w="120" w:type="dxa"/>
              <w:bottom w:w="80" w:type="dxa"/>
              <w:right w:w="120" w:type="dxa"/>
            </w:tcMar>
          </w:tcPr>
          <w:p w14:paraId="2F1FED18" w14:textId="77777777" w:rsidR="008B176B" w:rsidRDefault="009D00BC">
            <w:r>
              <w:rPr>
                <w:b/>
                <w:bCs/>
                <w:color w:val="FFFFFF"/>
              </w:rPr>
              <w:t>PHASE V — CRISIS-CONTINGENCY ESCALATION</w:t>
            </w:r>
          </w:p>
        </w:tc>
      </w:tr>
      <w:tr w:rsidR="008B176B" w14:paraId="7B623B99"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2E5F8A"/>
            <w:tcMar>
              <w:top w:w="80" w:type="dxa"/>
              <w:left w:w="120" w:type="dxa"/>
              <w:bottom w:w="80" w:type="dxa"/>
              <w:right w:w="120" w:type="dxa"/>
            </w:tcMar>
          </w:tcPr>
          <w:p w14:paraId="4237CAFB" w14:textId="77777777" w:rsidR="008B176B" w:rsidRDefault="009D00BC">
            <w:r>
              <w:rPr>
                <w:b/>
                <w:bCs/>
                <w:color w:val="FFFFFF"/>
                <w:sz w:val="20"/>
                <w:szCs w:val="20"/>
              </w:rPr>
              <w:t>TRIGGER</w:t>
            </w:r>
          </w:p>
        </w:tc>
        <w:tc>
          <w:tcPr>
            <w:tcW w:w="2040" w:type="dxa"/>
            <w:tcBorders>
              <w:top w:val="single" w:sz="1" w:space="0" w:color="AABBCC"/>
              <w:left w:val="single" w:sz="1" w:space="0" w:color="AABBCC"/>
              <w:bottom w:val="single" w:sz="1" w:space="0" w:color="AABBCC"/>
              <w:right w:val="single" w:sz="1" w:space="0" w:color="AABBCC"/>
            </w:tcBorders>
            <w:shd w:val="clear" w:color="auto" w:fill="2E5F8A"/>
            <w:tcMar>
              <w:top w:w="80" w:type="dxa"/>
              <w:left w:w="120" w:type="dxa"/>
              <w:bottom w:w="80" w:type="dxa"/>
              <w:right w:w="120" w:type="dxa"/>
            </w:tcMar>
          </w:tcPr>
          <w:p w14:paraId="7172D2BA" w14:textId="77777777" w:rsidR="008B176B" w:rsidRDefault="009D00BC">
            <w:r>
              <w:rPr>
                <w:b/>
                <w:bCs/>
                <w:color w:val="FFFFFF"/>
                <w:sz w:val="20"/>
                <w:szCs w:val="20"/>
              </w:rPr>
              <w:t>ENTRY CONDITION</w:t>
            </w:r>
          </w:p>
        </w:tc>
        <w:tc>
          <w:tcPr>
            <w:tcW w:w="2040" w:type="dxa"/>
            <w:tcBorders>
              <w:top w:val="single" w:sz="1" w:space="0" w:color="AABBCC"/>
              <w:left w:val="single" w:sz="1" w:space="0" w:color="AABBCC"/>
              <w:bottom w:val="single" w:sz="1" w:space="0" w:color="AABBCC"/>
              <w:right w:val="single" w:sz="1" w:space="0" w:color="AABBCC"/>
            </w:tcBorders>
            <w:shd w:val="clear" w:color="auto" w:fill="2E5F8A"/>
            <w:tcMar>
              <w:top w:w="80" w:type="dxa"/>
              <w:left w:w="120" w:type="dxa"/>
              <w:bottom w:w="80" w:type="dxa"/>
              <w:right w:w="120" w:type="dxa"/>
            </w:tcMar>
          </w:tcPr>
          <w:p w14:paraId="5D0B17B7" w14:textId="77777777" w:rsidR="008B176B" w:rsidRDefault="009D00BC">
            <w:r>
              <w:rPr>
                <w:b/>
                <w:bCs/>
                <w:color w:val="FFFFFF"/>
                <w:sz w:val="20"/>
                <w:szCs w:val="20"/>
              </w:rPr>
              <w:t>ESCALATION THRESHOLD</w:t>
            </w:r>
          </w:p>
        </w:tc>
        <w:tc>
          <w:tcPr>
            <w:tcW w:w="2040" w:type="dxa"/>
            <w:tcBorders>
              <w:top w:val="single" w:sz="1" w:space="0" w:color="AABBCC"/>
              <w:left w:val="single" w:sz="1" w:space="0" w:color="AABBCC"/>
              <w:bottom w:val="single" w:sz="1" w:space="0" w:color="AABBCC"/>
              <w:right w:val="single" w:sz="1" w:space="0" w:color="AABBCC"/>
            </w:tcBorders>
            <w:shd w:val="clear" w:color="auto" w:fill="2E5F8A"/>
            <w:tcMar>
              <w:top w:w="80" w:type="dxa"/>
              <w:left w:w="120" w:type="dxa"/>
              <w:bottom w:w="80" w:type="dxa"/>
              <w:right w:w="120" w:type="dxa"/>
            </w:tcMar>
          </w:tcPr>
          <w:p w14:paraId="0D99A1C6" w14:textId="77777777" w:rsidR="008B176B" w:rsidRDefault="009D00BC">
            <w:r>
              <w:rPr>
                <w:b/>
                <w:bCs/>
                <w:color w:val="FFFFFF"/>
                <w:sz w:val="20"/>
                <w:szCs w:val="20"/>
              </w:rPr>
              <w:t>PAUSE CONDITION</w:t>
            </w:r>
          </w:p>
        </w:tc>
        <w:tc>
          <w:tcPr>
            <w:tcW w:w="2040" w:type="dxa"/>
            <w:tcBorders>
              <w:top w:val="single" w:sz="1" w:space="0" w:color="AABBCC"/>
              <w:left w:val="single" w:sz="1" w:space="0" w:color="AABBCC"/>
              <w:bottom w:val="single" w:sz="1" w:space="0" w:color="AABBCC"/>
              <w:right w:val="single" w:sz="1" w:space="0" w:color="AABBCC"/>
            </w:tcBorders>
            <w:shd w:val="clear" w:color="auto" w:fill="2E5F8A"/>
            <w:tcMar>
              <w:top w:w="80" w:type="dxa"/>
              <w:left w:w="120" w:type="dxa"/>
              <w:bottom w:w="80" w:type="dxa"/>
              <w:right w:w="120" w:type="dxa"/>
            </w:tcMar>
          </w:tcPr>
          <w:p w14:paraId="59DFD7AF" w14:textId="77777777" w:rsidR="008B176B" w:rsidRDefault="009D00BC">
            <w:r>
              <w:rPr>
                <w:b/>
                <w:bCs/>
                <w:color w:val="FFFFFF"/>
                <w:sz w:val="20"/>
                <w:szCs w:val="20"/>
              </w:rPr>
              <w:t>ROLLBACK CONDITION</w:t>
            </w:r>
          </w:p>
        </w:tc>
      </w:tr>
      <w:tr w:rsidR="008B176B" w14:paraId="6FE6C836"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0295536C" w14:textId="77777777" w:rsidR="008B176B" w:rsidRDefault="008B176B">
            <w:pPr>
              <w:spacing w:before="40" w:after="40"/>
            </w:pPr>
          </w:p>
        </w:tc>
        <w:tc>
          <w:tcPr>
            <w:tcW w:w="20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5AE0CDC" w14:textId="77777777" w:rsidR="008B176B" w:rsidRDefault="009D00BC">
            <w:pPr>
              <w:spacing w:before="40" w:after="40"/>
            </w:pPr>
            <w:r>
              <w:rPr>
                <w:sz w:val="20"/>
                <w:szCs w:val="20"/>
              </w:rPr>
              <w:t>Triggering event (proliferation threshold breach, major maritime incident, energy-market disruption attributable to sanctioned-state conduct) documented and assessed at Deputies or Principals level. Phase I-IV work sustains baseline. Pre-staged packages at readiness posture.</w:t>
            </w:r>
          </w:p>
        </w:tc>
        <w:tc>
          <w:tcPr>
            <w:tcW w:w="20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130175B" w14:textId="77777777" w:rsidR="008B176B" w:rsidRDefault="009D00BC">
            <w:pPr>
              <w:spacing w:before="40" w:after="40"/>
            </w:pPr>
            <w:r>
              <w:rPr>
                <w:sz w:val="20"/>
                <w:szCs w:val="20"/>
              </w:rPr>
              <w:t>Principals decision authority. Guardrail-index green zone confirmed or override memorandum produced. Coalition-risk review memo for Tier 3 actions (affirmative written concurrence from 2+ primary partners). Simultaneous OFAC+BIS action default.</w:t>
            </w:r>
          </w:p>
        </w:tc>
        <w:tc>
          <w:tcPr>
            <w:tcW w:w="20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CFD012F" w14:textId="77777777" w:rsidR="008B176B" w:rsidRDefault="009D00BC">
            <w:pPr>
              <w:spacing w:before="40" w:after="40"/>
            </w:pPr>
            <w:r>
              <w:rPr>
                <w:sz w:val="20"/>
                <w:szCs w:val="20"/>
              </w:rPr>
              <w:t xml:space="preserve">Mandatory pause if guardrail-index indicators breach threshold — override requires </w:t>
            </w:r>
            <w:proofErr w:type="spellStart"/>
            <w:r>
              <w:rPr>
                <w:sz w:val="20"/>
                <w:szCs w:val="20"/>
              </w:rPr>
              <w:t>SECTREAS</w:t>
            </w:r>
            <w:proofErr w:type="spellEnd"/>
            <w:r>
              <w:rPr>
                <w:sz w:val="20"/>
                <w:szCs w:val="20"/>
              </w:rPr>
              <w:t xml:space="preserve"> + National Security Advisor joint authorization and written memorandum. Pause if coalition-cohesion indicator shows defection of two or more primary partners. Pause if CPI/dollar-reserve trajectory indicator breaches threshold (TARIFF-01 guardrail architecture applies where tariff measures are concurrent).</w:t>
            </w:r>
          </w:p>
        </w:tc>
        <w:tc>
          <w:tcPr>
            <w:tcW w:w="204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1233CF7" w14:textId="77777777" w:rsidR="008B176B" w:rsidRDefault="009D00BC">
            <w:pPr>
              <w:spacing w:before="40" w:after="40"/>
            </w:pPr>
            <w:r>
              <w:rPr>
                <w:sz w:val="20"/>
                <w:szCs w:val="20"/>
              </w:rPr>
              <w:t>Roll back to Phase IV sustained-enforcement posture when crisis trigger is resolved or when guardrail indicators reach sustained stabilization below threshold. Published off-ramps for Iran (verifiable enrichment cessation above 20%), DPRK (verifiable procurement cessation with IAEA-protocol monitoring), Venezuela (documented cessation of sanctioned crude-for-political-cover arrangements) provide the specific conduct-change criteria that trigger review of surge enforcement posture.</w:t>
            </w:r>
          </w:p>
        </w:tc>
      </w:tr>
    </w:tbl>
    <w:p w14:paraId="039BC2D2" w14:textId="77777777" w:rsidR="008B176B" w:rsidRDefault="008B176B">
      <w:pPr>
        <w:spacing w:before="40" w:after="40"/>
      </w:pPr>
    </w:p>
    <w:p w14:paraId="098DA7DE" w14:textId="77777777" w:rsidR="008B176B" w:rsidRDefault="009D00BC">
      <w:r>
        <w:br w:type="page"/>
      </w:r>
    </w:p>
    <w:p w14:paraId="1A6D9E42" w14:textId="77777777" w:rsidR="008B176B" w:rsidRDefault="009D00BC">
      <w:pPr>
        <w:pStyle w:val="Heading1"/>
      </w:pPr>
      <w:r>
        <w:t>SECTION IV — CRISIS AND WARTIME CONTINGENCY: PUBLIC-LAW ECONOMIC AND MARITIME MEASURES</w:t>
      </w:r>
    </w:p>
    <w:p w14:paraId="7A5CFCB3" w14:textId="77777777" w:rsidR="008B176B" w:rsidRDefault="009D00BC">
      <w:pPr>
        <w:spacing w:before="80" w:after="80"/>
      </w:pPr>
      <w:r>
        <w:t>This section addresses the application of existing public-law authorities under crisis or elevated-threat conditions. It operates strictly at the policy and legal-authority level. It does not provide tactical targeting concepts, sabotage concepts, clandestine execution concepts, battlefield sequencing guidance, or direct operational disruption plans. Those categories are explicitly outside the scope of this paper and are not addressed here.</w:t>
      </w:r>
    </w:p>
    <w:p w14:paraId="5C575E1B" w14:textId="77777777" w:rsidR="008B176B" w:rsidRDefault="008B176B">
      <w:pPr>
        <w:spacing w:before="40" w:after="40"/>
      </w:pPr>
    </w:p>
    <w:p w14:paraId="1EC20E0C" w14:textId="77777777" w:rsidR="008B176B" w:rsidRDefault="009D00BC">
      <w:pPr>
        <w:spacing w:before="80" w:after="80"/>
      </w:pPr>
      <w:r>
        <w:t>The analytical premise: crisis conditions — defined as a triggering event that materially elevates the probability of armed conflict, a proliferation threshold breach, or a major maritime incident attributable to sanctioned-state conduct — do not alter the legal authority framework as described in Section II. They change the speed and decision-authority level for deploying pre-staged packages within that framework. This paper does not assess crisis conditions as creating new statutory authorities, eliminati</w:t>
      </w:r>
      <w:r>
        <w:t>ng APA evidentiary requirements, or authorizing measures not grounded in existing statute or executive order. Readers who disagree with that assessment should seek independent legal counsel — this paper does not resolve contested questions about emergency authority scope.</w:t>
      </w:r>
    </w:p>
    <w:p w14:paraId="15A1ACD7" w14:textId="77777777" w:rsidR="008B176B" w:rsidRDefault="008B176B">
      <w:pPr>
        <w:spacing w:before="40" w:after="40"/>
      </w:pPr>
    </w:p>
    <w:p w14:paraId="76707CB5" w14:textId="77777777" w:rsidR="008B176B" w:rsidRDefault="009D00BC">
      <w:pPr>
        <w:spacing w:before="80" w:after="80"/>
      </w:pPr>
      <w:r>
        <w:rPr>
          <w:b/>
          <w:bCs/>
        </w:rPr>
        <w:t>Critical caveat: Wartime contingency does not mean unrestricted latitude. IEEPA, OFAC, and BIS authorities operate within their statutory bounds regardless of operational context. The APA does not suspend in crisis. Coalition-risk review requirements remain binding at Tier 2+. Humanitarian carve-outs remain required. This paper does not support any interpretation of crisis conditions as conferring expanded authorities not grounded in existing statute or executive order.</w:t>
      </w:r>
    </w:p>
    <w:p w14:paraId="546D2C54" w14:textId="77777777" w:rsidR="008B176B" w:rsidRDefault="009D00BC">
      <w:pPr>
        <w:pStyle w:val="Heading2"/>
      </w:pPr>
      <w:r>
        <w:t>IV.1  Energy-Routing Pressure</w:t>
      </w:r>
    </w:p>
    <w:p w14:paraId="7B4A8707" w14:textId="77777777" w:rsidR="008B176B" w:rsidRDefault="009D00BC">
      <w:pPr>
        <w:spacing w:before="80" w:after="80"/>
      </w:pPr>
      <w:r>
        <w:t>Observed authority: OFAC's active Iran and Venezuela petroleum sanctions programs prohibit U.S. persons from transactions in sanctioned-origin crude and provide secondary sanctions exposure for significant foreign-person transactions. Under crisis conditions, enforcement intensity can be increased through accelerated CISADA § 104 determinations against PRC financial institutions with documented NIOC absorption above threshold, surge vessel designations for shadow-fleet tankers identified through near-real-t</w:t>
      </w:r>
      <w:r>
        <w:t>ime commercial analytics, and coordinated Lloyd's/OFSI advisory guidance withdrawal for designated vessels.</w:t>
      </w:r>
    </w:p>
    <w:p w14:paraId="752B02B0" w14:textId="77777777" w:rsidR="008B176B" w:rsidRDefault="009D00BC">
      <w:pPr>
        <w:spacing w:before="80" w:after="80"/>
      </w:pPr>
      <w:r>
        <w:t>Assessment: Energy-routing pressure under crisis conditions aims to constrain Iran's hard-currency revenue generation and PDVSA's market access, reducing resources available for proxy-network operations and weapons procurement. The causal chain between crude-revenue reduction and proxy-operational-capacity reduction is real but indirect — it operates over weeks to months, not days. Energy-routing pressure is most effective as a sustained complement to kinetic deterrence, not as a substitute for it.</w:t>
      </w:r>
    </w:p>
    <w:p w14:paraId="0E131067" w14:textId="77777777" w:rsidR="008B176B" w:rsidRDefault="009D00BC">
      <w:pPr>
        <w:spacing w:before="80" w:after="80"/>
      </w:pPr>
      <w:r>
        <w:t>Policy implication: Where a crisis trigger is documented and Principals decision authority has been engaged, pre-prepared CISADA determination packages for the highest-volume NIOC-adjacent institutions are available for accelerated review. Coordinated Lloyd's/OFSI advisory guidance on shadow-fleet vessels can be advanced consistent with pre-prepared packages. Pre-prepared § 981(k) warrant applications can be submitted for judicial authorization where FTO predicates are documented. Humanitarian General Licen</w:t>
      </w:r>
      <w:r>
        <w:t>se architecture must be maintained throughout crisis conditions — the political cost of humanitarian harm increases under crisis visibility, not decreases.</w:t>
      </w:r>
    </w:p>
    <w:p w14:paraId="0C68F9A4" w14:textId="77777777" w:rsidR="008B176B" w:rsidRDefault="009D00BC">
      <w:pPr>
        <w:spacing w:before="80" w:after="80"/>
      </w:pPr>
      <w:r>
        <w:t xml:space="preserve">Constraint: Surge CISADA determinations against major PRC state-adjacent financial institutions require guardrail-index review and </w:t>
      </w:r>
      <w:proofErr w:type="spellStart"/>
      <w:r>
        <w:t>SECTREAS-level</w:t>
      </w:r>
      <w:proofErr w:type="spellEnd"/>
      <w:r>
        <w:t xml:space="preserve"> decision authority. Dollar-reserve trajectory and coalition-cohesion indicators must be reviewed before execution. Published off-ramps must accompany any surge action — Iran (verifiable enrichment cessation), Venezuela (documented cessation of sanctioned oil-for-political-cover arrangements) — to preserve the behavior-change logic that distinguishes deterrence from punishment.</w:t>
      </w:r>
    </w:p>
    <w:p w14:paraId="323DC13A" w14:textId="77777777" w:rsidR="008B176B" w:rsidRDefault="009D00BC">
      <w:pPr>
        <w:pStyle w:val="Heading2"/>
      </w:pPr>
      <w:r>
        <w:t>IV.2  Insurance and Shipping Risk</w:t>
      </w:r>
    </w:p>
    <w:p w14:paraId="062A8DD7" w14:textId="77777777" w:rsidR="008B176B" w:rsidRDefault="009D00BC">
      <w:pPr>
        <w:spacing w:before="80" w:after="80"/>
      </w:pPr>
      <w:r>
        <w:t>Observed authority: Coordinated OFAC/OFSI advisory guidance withdrawing Lloyd's Market and International Group of P&amp;I Club coverage for designated vessels is the most operationally significant non-kinetic maritime tool available under existing public-law authorities. Vessels without P&amp;I coverage cannot call at most major ports; classification society withdrawal compounds the access restriction. Port-state control inspections triggered by AIS anomalies provide a non-sanctions-enforcement entry point for mari</w:t>
      </w:r>
      <w:r>
        <w:t>time safety engagement with Malacca Strait partners.</w:t>
      </w:r>
    </w:p>
    <w:p w14:paraId="29901453" w14:textId="77777777" w:rsidR="008B176B" w:rsidRDefault="009D00BC">
      <w:pPr>
        <w:spacing w:before="80" w:after="80"/>
      </w:pPr>
      <w:r>
        <w:t>Assessment: The insurance and classification society mechanism is effective against the shadow fleet's commercial viability but takes time to propagate — vessel operators maintain existing policies until renewal, and non-IACS classification alternatives exist in PRC-adjacent maritime infrastructure. Under crisis conditions, surge advisory guidance can accelerate the propagation timeline if coordinated with UK OFSI simultaneously. The 48-72 hour coordinated advisory protocol produces faster market effect tha</w:t>
      </w:r>
      <w:r>
        <w:t>n sequential unilateral issuance.</w:t>
      </w:r>
    </w:p>
    <w:p w14:paraId="176875DE" w14:textId="77777777" w:rsidR="008B176B" w:rsidRDefault="009D00BC">
      <w:pPr>
        <w:spacing w:before="80" w:after="80"/>
      </w:pPr>
      <w:r>
        <w:t>Policy implication: A pre-established coordinated advisory protocol with UK OFSI — developed before crisis conditions materialize — would enable timely shadow-fleet advisory guidance consistent with the pre-prepared package framework. IACS member classification society engagement through government-industry channels is most effective when established before crisis conditions. Port-state control inspection coordination with Singapore, Malaysia, and Gulf port authorities is appropriately framed as maritime sa</w:t>
      </w:r>
      <w:r>
        <w:t>fety and MARPOL compliance rather than sanctions enforcement — to preserve participation from jurisdictions with complex sanctions relationships.</w:t>
      </w:r>
    </w:p>
    <w:p w14:paraId="1D7E8497" w14:textId="77777777" w:rsidR="008B176B" w:rsidRDefault="009D00BC">
      <w:pPr>
        <w:spacing w:before="80" w:after="80"/>
      </w:pPr>
      <w:r>
        <w:t>Constraint: Lethal maritime interdiction of shadow-fleet vessels is not available under existing sanctions authorities. It requires a § 3093 Presidential finding and Congressional notification, is subject to law-of-the-sea constraints, and is out of scope for this paper. Convoy and escort policy implications for commercial energy shipping in the Strait of Hormuz and Malacca Strait are addressed only at the policy level here — operational planning is outside scope.</w:t>
      </w:r>
    </w:p>
    <w:p w14:paraId="19B15E83" w14:textId="77777777" w:rsidR="008B176B" w:rsidRDefault="009D00BC">
      <w:pPr>
        <w:pStyle w:val="Heading2"/>
      </w:pPr>
      <w:r>
        <w:t>IV.3  Surge Sanctions and Export-Control Enforcement</w:t>
      </w:r>
    </w:p>
    <w:p w14:paraId="44839045" w14:textId="77777777" w:rsidR="008B176B" w:rsidRDefault="009D00BC">
      <w:pPr>
        <w:spacing w:before="80" w:after="80"/>
      </w:pPr>
      <w:r>
        <w:t>Observed authority: Pre-staged OFAC, BIS, and State designation packages enable threshold-triggered execution that compresses the standard 45-120 day pipeline to days or hours. The Simultaneous OFAC + BIS Action protocol — activating financial designation and Entity List addition concurrently — is the highest-impact procedural mechanism available without new statutory authority. Under crisis conditions, INKSNA determinations for documented WMD-relevant transfers provide a mandatory-sanctions complement to d</w:t>
      </w:r>
      <w:r>
        <w:t>iscretionary OFAC actions.</w:t>
      </w:r>
    </w:p>
    <w:p w14:paraId="06428841" w14:textId="77777777" w:rsidR="008B176B" w:rsidRDefault="009D00BC">
      <w:pPr>
        <w:spacing w:before="80" w:after="80"/>
      </w:pPr>
      <w:r>
        <w:t>Assessment: The deterrence value of elevated-tempo enforcement posture is substantially reduced where pre-staged packages do not exist. Packages not prepared in advance require the full standard pipeline even under crisis conditions. The Phase I evidentiary-file development described in Section III is assessed as a necessary prerequisite for effective elevated-tempo execution — though whether pre-staged preparation alone is sufficient for deterrence effect also depends on allied coordination posture and obs</w:t>
      </w:r>
      <w:r>
        <w:t>ervable enforcement history.</w:t>
      </w:r>
    </w:p>
    <w:p w14:paraId="4171C948" w14:textId="77777777" w:rsidR="008B176B" w:rsidRDefault="009D00BC">
      <w:pPr>
        <w:spacing w:before="80" w:after="80"/>
      </w:pPr>
      <w:r>
        <w:t xml:space="preserve">Policy implication: Advanced case-preparation — covering documented CISADA targets, NKSPEA dual-use procurement intermediaries, and CAATSA § 231 counterparties — enables faster decision-review submission under elevated-tempo conditions. Decision authority levels (OFAC Director for Tier 1, </w:t>
      </w:r>
      <w:proofErr w:type="spellStart"/>
      <w:r>
        <w:t>SECTREAS</w:t>
      </w:r>
      <w:proofErr w:type="spellEnd"/>
      <w:r>
        <w:t xml:space="preserve"> for Tier 2, Principals for Tier 3) remain applicable regardless of operational tempo. Five Eyes financial intelligence pre-brief coordination, advanced as far as timelines permit, reduces the risk of evasion through allied financial systems.</w:t>
      </w:r>
    </w:p>
    <w:p w14:paraId="45439451" w14:textId="77777777" w:rsidR="008B176B" w:rsidRDefault="009D00BC">
      <w:pPr>
        <w:spacing w:before="80" w:after="80"/>
      </w:pPr>
      <w:r>
        <w:t>Constraint: Even surge enforcement does not produce immediate network shutdown. The observable effects — intermediary exit, rerouting, insurance withdrawal, procurement delay — accumulate over weeks to months. Crisis-condition surge enforcement is most valuable as a complement to diplomatic engagement that provides sanctioned-state decision-makers with a credible off-ramp. Enforcement without a published, specific, and verifiable off-ramp produces entrenchment rather than behavior change.</w:t>
      </w:r>
    </w:p>
    <w:p w14:paraId="4C9DB401" w14:textId="77777777" w:rsidR="008B176B" w:rsidRDefault="009D00BC">
      <w:pPr>
        <w:pStyle w:val="Heading2"/>
      </w:pPr>
      <w:r>
        <w:t>IV.4  Crisis Licensing and Waiver Discipline</w:t>
      </w:r>
    </w:p>
    <w:p w14:paraId="590F5644" w14:textId="77777777" w:rsidR="008B176B" w:rsidRDefault="009D00BC">
      <w:pPr>
        <w:spacing w:before="80" w:after="80"/>
      </w:pPr>
      <w:r>
        <w:t>Observed authority: OFAC General License conditions can be tightened or relaxed in response to crisis conditions, within the bounds of APA notice requirements for material changes. Specific-license review can be accelerated for priority humanitarian transactions and decelerated or suspended for dual-use adjacent items where crisis context raises the diversion risk above the normal threshold. This is a significant but underutilized lever — licensing discipline is as consequential as designation discipline fo</w:t>
      </w:r>
      <w:r>
        <w:t>r overall pressure architecture.</w:t>
      </w:r>
    </w:p>
    <w:p w14:paraId="3C6D489E" w14:textId="77777777" w:rsidR="008B176B" w:rsidRDefault="009D00BC">
      <w:pPr>
        <w:spacing w:before="80" w:after="80"/>
      </w:pPr>
      <w:r>
        <w:t>Policy implication: Establish a crisis-licensing review protocol that maintains 10-business-day maximum review for licensed humanitarian NGO transactions throughout crisis conditions. Suspend or defer specific licenses for dual-use-adjacent items where diversion risk assessment has increased above threshold. Coordinate with allied licensing authorities on synchronized tightening for controlled technology — synchronized tightening prevents jurisdiction arbitrage; unilateral tightening creates substitution pa</w:t>
      </w:r>
      <w:r>
        <w:t>thways.</w:t>
      </w:r>
    </w:p>
    <w:p w14:paraId="4787AE0A" w14:textId="77777777" w:rsidR="008B176B" w:rsidRDefault="009D00BC">
      <w:pPr>
        <w:spacing w:before="80" w:after="80"/>
      </w:pPr>
      <w:r>
        <w:t>Constraint: Tightening General License conditions for humanitarian flows during crisis produces the exact humanitarian harm and diplomatic narrative that increases political cost. The presumption during crisis should be license maintenance for humanitarian flows, not restriction. The pressure target is enabling networks; the protected category is civilian populations and legitimate commerce.</w:t>
      </w:r>
    </w:p>
    <w:p w14:paraId="3B2C8AE7" w14:textId="77777777" w:rsidR="008B176B" w:rsidRDefault="009D00BC">
      <w:pPr>
        <w:pStyle w:val="Heading2"/>
      </w:pPr>
      <w:r>
        <w:t>IV.5  Synchronization of Maritime Resilience with Non-Kinetic Financial Pressure</w:t>
      </w:r>
    </w:p>
    <w:p w14:paraId="36D98E85" w14:textId="77777777" w:rsidR="008B176B" w:rsidRDefault="009D00BC">
      <w:pPr>
        <w:spacing w:before="80" w:after="80"/>
      </w:pPr>
      <w:r>
        <w:t>The Hormuz Regional Posture Assessment (WP-2026-HORMUZ) identifies the analytical framework for synchronizing non-kinetic financial pressure with maritime resilience posture. The governing principle: financial pressure and maritime resilience are complements, not alternatives. Energy-routing pressure that reduces sanctioned-state crude revenue is most effective when combined with U.S.-allied maritime resilience that reduces the sanctioned state's ability to use maritime coercion as a counter-pressure tool.</w:t>
      </w:r>
    </w:p>
    <w:p w14:paraId="533D4C8C" w14:textId="77777777" w:rsidR="008B176B" w:rsidRDefault="009D00BC">
      <w:pPr>
        <w:spacing w:before="80" w:after="80"/>
      </w:pPr>
      <w:r>
        <w:t>Observed: Iran's maritime coercion toolkit — vessel seizures, mine-laying threats, and Hormuz closure threats — is operationally significant precisely because Hormuz closure would impose costs on U.S. allies disproportionate to U.S. costs. The asymmetry creates coercive leverage. Non-kinetic financial pressure that raises Iran's operational costs without triggering Hormuz-closure calculations — targeting enabling networks rather than Iran's sovereign economy directly — reduces this coercive leverage asymmet</w:t>
      </w:r>
      <w:r>
        <w:t>ry.</w:t>
      </w:r>
    </w:p>
    <w:p w14:paraId="71AE7498" w14:textId="77777777" w:rsidR="008B176B" w:rsidRDefault="009D00BC">
      <w:pPr>
        <w:spacing w:before="80" w:after="80"/>
      </w:pPr>
      <w:r>
        <w:t>Policy implication: Energy-routing financial pressure — CISADA determination review, shadow-fleet designation — can be timed, to the extent operationally feasible, in coordination with U.S. and allied maritime posture communications that signal resilience and reduce the credibility of closure threats as a counter-pressure tool. This is a policy-level coordination concept. Specific maritime posture decisions are governed by frameworks outside the scope of this paper.</w:t>
      </w:r>
    </w:p>
    <w:p w14:paraId="4CBBCDF9" w14:textId="77777777" w:rsidR="008B176B" w:rsidRDefault="009D00BC">
      <w:r>
        <w:br w:type="page"/>
      </w:r>
    </w:p>
    <w:p w14:paraId="5BD9B2BB" w14:textId="77777777" w:rsidR="008B176B" w:rsidRDefault="009D00BC">
      <w:pPr>
        <w:pStyle w:val="Heading1"/>
      </w:pPr>
      <w:r>
        <w:t>SECTION V — METRICS AND OBSERVABILITY</w:t>
      </w:r>
    </w:p>
    <w:p w14:paraId="49AA91A4" w14:textId="77777777" w:rsidR="008B176B" w:rsidRDefault="009D00BC">
      <w:pPr>
        <w:spacing w:before="80" w:after="80"/>
      </w:pPr>
      <w:r>
        <w:t>Effective pressure architecture requires measurable effectiveness indicators and measurable second-order cost indicators with equal analytical discipline. An architecture that can demonstrate effectiveness but cannot detect unacceptable costs is incomplete. An architecture that tracks costs but lacks effectiveness indicators cannot be calibrated. This section provides both.</w:t>
      </w:r>
    </w:p>
    <w:p w14:paraId="2FA21506" w14:textId="77777777" w:rsidR="008B176B" w:rsidRDefault="009D00BC">
      <w:pPr>
        <w:pBdr>
          <w:top w:val="single" w:sz="4" w:space="0" w:color="B8860B"/>
          <w:left w:val="single" w:sz="4" w:space="0" w:color="B8860B"/>
          <w:bottom w:val="single" w:sz="4" w:space="0" w:color="B8860B"/>
          <w:right w:val="single" w:sz="4" w:space="0" w:color="B8860B"/>
        </w:pBdr>
        <w:shd w:val="clear" w:color="auto" w:fill="FFF3CD"/>
        <w:spacing w:before="120" w:after="120"/>
      </w:pPr>
      <w:r>
        <w:rPr>
          <w:b/>
          <w:bCs/>
          <w:sz w:val="20"/>
          <w:szCs w:val="20"/>
        </w:rPr>
        <w:t>DATA ACCESS CAVEAT — READ BEFORE APPLYING METRICS: The metrics in this section assume a practitioner workflow that combines commercial open-source analytics with government-accessible data (FinCEN SARs, FATF reporting) and in some cases classified intelligence corroboration. The OSINT Accessibility column maps each metric to its actual access requirement: Public (commercial sources alone), Hybrid (commercial plus government-accessible data), or IC-Dependent (requires classified corroboration). Practitioners</w:t>
      </w:r>
      <w:r>
        <w:rPr>
          <w:b/>
          <w:bCs/>
          <w:sz w:val="20"/>
          <w:szCs w:val="20"/>
        </w:rPr>
        <w:t xml:space="preserve"> using open-source alone should reduce confidence-level estimates by one tier for Hybrid metrics and treat IC-Dependent metrics as directional indicators rather than operational thresholds. Academic readers: effect-size estimates are drawn from commercial maritime analytics (</w:t>
      </w:r>
      <w:proofErr w:type="spellStart"/>
      <w:r>
        <w:rPr>
          <w:b/>
          <w:bCs/>
          <w:sz w:val="20"/>
          <w:szCs w:val="20"/>
        </w:rPr>
        <w:t>Kpler</w:t>
      </w:r>
      <w:proofErr w:type="spellEnd"/>
      <w:r>
        <w:rPr>
          <w:b/>
          <w:bCs/>
          <w:sz w:val="20"/>
          <w:szCs w:val="20"/>
        </w:rPr>
        <w:t xml:space="preserve">, </w:t>
      </w:r>
      <w:proofErr w:type="spellStart"/>
      <w:r>
        <w:rPr>
          <w:b/>
          <w:bCs/>
          <w:sz w:val="20"/>
          <w:szCs w:val="20"/>
        </w:rPr>
        <w:t>Vortexa</w:t>
      </w:r>
      <w:proofErr w:type="spellEnd"/>
      <w:r>
        <w:rPr>
          <w:b/>
          <w:bCs/>
          <w:sz w:val="20"/>
          <w:szCs w:val="20"/>
        </w:rPr>
        <w:t>), financial analytics (</w:t>
      </w:r>
      <w:proofErr w:type="spellStart"/>
      <w:r>
        <w:rPr>
          <w:b/>
          <w:bCs/>
          <w:sz w:val="20"/>
          <w:szCs w:val="20"/>
        </w:rPr>
        <w:t>Refinitiv</w:t>
      </w:r>
      <w:proofErr w:type="spellEnd"/>
      <w:r>
        <w:rPr>
          <w:b/>
          <w:bCs/>
          <w:sz w:val="20"/>
          <w:szCs w:val="20"/>
        </w:rPr>
        <w:t>), blockchain analytics (</w:t>
      </w:r>
      <w:proofErr w:type="spellStart"/>
      <w:r>
        <w:rPr>
          <w:b/>
          <w:bCs/>
          <w:sz w:val="20"/>
          <w:szCs w:val="20"/>
        </w:rPr>
        <w:t>Chainalysis</w:t>
      </w:r>
      <w:proofErr w:type="spellEnd"/>
      <w:r>
        <w:rPr>
          <w:b/>
          <w:bCs/>
          <w:sz w:val="20"/>
          <w:szCs w:val="20"/>
        </w:rPr>
        <w:t>, Elliptic), and public enforcement records (OFAC/BIS Federal Register notices, UN Panel of Experts reports) for the 2023–2026 period. These are reasonab</w:t>
      </w:r>
      <w:r>
        <w:rPr>
          <w:b/>
          <w:bCs/>
          <w:sz w:val="20"/>
          <w:szCs w:val="20"/>
        </w:rPr>
        <w:t>le open-source baselines; they are not equivalent to government-access data and should be cited accordingly.</w:t>
      </w:r>
    </w:p>
    <w:p w14:paraId="780D55DA" w14:textId="77777777" w:rsidR="008B176B" w:rsidRDefault="008B176B">
      <w:pPr>
        <w:spacing w:before="40" w:after="4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1"/>
        <w:gridCol w:w="1857"/>
        <w:gridCol w:w="1729"/>
        <w:gridCol w:w="2191"/>
        <w:gridCol w:w="2052"/>
      </w:tblGrid>
      <w:tr w:rsidR="008B176B" w14:paraId="0B1B9218" w14:textId="77777777">
        <w:tblPrEx>
          <w:tblCellMar>
            <w:top w:w="0" w:type="dxa"/>
            <w:bottom w:w="0" w:type="dxa"/>
          </w:tblCellMar>
        </w:tblPrEx>
        <w:tc>
          <w:tcPr>
            <w:tcW w:w="1500" w:type="dxa"/>
            <w:tcBorders>
              <w:top w:val="single" w:sz="1" w:space="0" w:color="AABBCC"/>
              <w:left w:val="single" w:sz="1" w:space="0" w:color="AABBCC"/>
              <w:bottom w:val="single" w:sz="1" w:space="0" w:color="AABBCC"/>
              <w:right w:val="single" w:sz="1" w:space="0" w:color="AABBCC"/>
            </w:tcBorders>
            <w:shd w:val="clear" w:color="auto" w:fill="1F3864"/>
            <w:tcMar>
              <w:top w:w="80" w:type="dxa"/>
              <w:left w:w="120" w:type="dxa"/>
              <w:bottom w:w="80" w:type="dxa"/>
              <w:right w:w="120" w:type="dxa"/>
            </w:tcMar>
          </w:tcPr>
          <w:p w14:paraId="32A381C2" w14:textId="77777777" w:rsidR="008B176B" w:rsidRDefault="009D00BC">
            <w:r>
              <w:rPr>
                <w:b/>
                <w:bCs/>
                <w:color w:val="FFFFFF"/>
                <w:sz w:val="20"/>
                <w:szCs w:val="20"/>
              </w:rPr>
              <w:t>Metric Category</w:t>
            </w:r>
          </w:p>
        </w:tc>
        <w:tc>
          <w:tcPr>
            <w:tcW w:w="2000" w:type="dxa"/>
            <w:tcBorders>
              <w:top w:val="single" w:sz="1" w:space="0" w:color="AABBCC"/>
              <w:left w:val="single" w:sz="1" w:space="0" w:color="AABBCC"/>
              <w:bottom w:val="single" w:sz="1" w:space="0" w:color="AABBCC"/>
              <w:right w:val="single" w:sz="1" w:space="0" w:color="AABBCC"/>
            </w:tcBorders>
            <w:shd w:val="clear" w:color="auto" w:fill="1F3864"/>
            <w:tcMar>
              <w:top w:w="80" w:type="dxa"/>
              <w:left w:w="120" w:type="dxa"/>
              <w:bottom w:w="80" w:type="dxa"/>
              <w:right w:w="120" w:type="dxa"/>
            </w:tcMar>
          </w:tcPr>
          <w:p w14:paraId="45B5C92A" w14:textId="77777777" w:rsidR="008B176B" w:rsidRDefault="009D00BC">
            <w:r>
              <w:rPr>
                <w:b/>
                <w:bCs/>
                <w:color w:val="FFFFFF"/>
                <w:sz w:val="20"/>
                <w:szCs w:val="20"/>
              </w:rPr>
              <w:t>Specific Observable Indicator</w:t>
            </w:r>
          </w:p>
        </w:tc>
        <w:tc>
          <w:tcPr>
            <w:tcW w:w="1900" w:type="dxa"/>
            <w:tcBorders>
              <w:top w:val="single" w:sz="1" w:space="0" w:color="AABBCC"/>
              <w:left w:val="single" w:sz="1" w:space="0" w:color="AABBCC"/>
              <w:bottom w:val="single" w:sz="1" w:space="0" w:color="AABBCC"/>
              <w:right w:val="single" w:sz="1" w:space="0" w:color="AABBCC"/>
            </w:tcBorders>
            <w:shd w:val="clear" w:color="auto" w:fill="1F3864"/>
            <w:tcMar>
              <w:top w:w="80" w:type="dxa"/>
              <w:left w:w="120" w:type="dxa"/>
              <w:bottom w:w="80" w:type="dxa"/>
              <w:right w:w="120" w:type="dxa"/>
            </w:tcMar>
          </w:tcPr>
          <w:p w14:paraId="69F33A5B" w14:textId="77777777" w:rsidR="008B176B" w:rsidRDefault="009D00BC">
            <w:r>
              <w:rPr>
                <w:b/>
                <w:bCs/>
                <w:color w:val="FFFFFF"/>
                <w:sz w:val="20"/>
                <w:szCs w:val="20"/>
              </w:rPr>
              <w:t>Data Source</w:t>
            </w:r>
          </w:p>
        </w:tc>
        <w:tc>
          <w:tcPr>
            <w:tcW w:w="2500" w:type="dxa"/>
            <w:tcBorders>
              <w:top w:val="single" w:sz="1" w:space="0" w:color="AABBCC"/>
              <w:left w:val="single" w:sz="1" w:space="0" w:color="AABBCC"/>
              <w:bottom w:val="single" w:sz="1" w:space="0" w:color="AABBCC"/>
              <w:right w:val="single" w:sz="1" w:space="0" w:color="AABBCC"/>
            </w:tcBorders>
            <w:shd w:val="clear" w:color="auto" w:fill="1F3864"/>
            <w:tcMar>
              <w:top w:w="80" w:type="dxa"/>
              <w:left w:w="120" w:type="dxa"/>
              <w:bottom w:w="80" w:type="dxa"/>
              <w:right w:w="120" w:type="dxa"/>
            </w:tcMar>
          </w:tcPr>
          <w:p w14:paraId="331296B1" w14:textId="77777777" w:rsidR="008B176B" w:rsidRDefault="009D00BC">
            <w:r>
              <w:rPr>
                <w:b/>
                <w:bCs/>
                <w:color w:val="FFFFFF"/>
                <w:sz w:val="20"/>
                <w:szCs w:val="20"/>
              </w:rPr>
              <w:t>Interpretation / Threshold</w:t>
            </w:r>
          </w:p>
        </w:tc>
        <w:tc>
          <w:tcPr>
            <w:tcW w:w="1460" w:type="dxa"/>
            <w:tcBorders>
              <w:top w:val="single" w:sz="1" w:space="0" w:color="AABBCC"/>
              <w:left w:val="single" w:sz="1" w:space="0" w:color="AABBCC"/>
              <w:bottom w:val="single" w:sz="1" w:space="0" w:color="AABBCC"/>
              <w:right w:val="single" w:sz="1" w:space="0" w:color="AABBCC"/>
            </w:tcBorders>
            <w:shd w:val="clear" w:color="auto" w:fill="1F3864"/>
            <w:tcMar>
              <w:top w:w="80" w:type="dxa"/>
              <w:left w:w="120" w:type="dxa"/>
              <w:bottom w:w="80" w:type="dxa"/>
              <w:right w:w="120" w:type="dxa"/>
            </w:tcMar>
          </w:tcPr>
          <w:p w14:paraId="6B2BD1C6" w14:textId="77777777" w:rsidR="008B176B" w:rsidRDefault="009D00BC">
            <w:r>
              <w:rPr>
                <w:b/>
                <w:bCs/>
                <w:color w:val="FFFFFF"/>
                <w:sz w:val="20"/>
                <w:szCs w:val="20"/>
              </w:rPr>
              <w:t>OSINT Accessibility</w:t>
            </w:r>
          </w:p>
        </w:tc>
      </w:tr>
      <w:tr w:rsidR="008B176B" w14:paraId="6B6250F3" w14:textId="77777777">
        <w:tblPrEx>
          <w:tblCellMar>
            <w:top w:w="0" w:type="dxa"/>
            <w:bottom w:w="0" w:type="dxa"/>
          </w:tblCellMar>
        </w:tblPrEx>
        <w:tc>
          <w:tcPr>
            <w:tcW w:w="150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3BC04B41" w14:textId="77777777" w:rsidR="008B176B" w:rsidRDefault="009D00BC">
            <w:pPr>
              <w:spacing w:before="40" w:after="40"/>
            </w:pPr>
            <w:r>
              <w:rPr>
                <w:b/>
                <w:bCs/>
                <w:sz w:val="20"/>
                <w:szCs w:val="20"/>
              </w:rPr>
              <w:t>Designation Effectiveness</w:t>
            </w:r>
          </w:p>
        </w:tc>
        <w:tc>
          <w:tcPr>
            <w:tcW w:w="2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B13E0B7" w14:textId="77777777" w:rsidR="008B176B" w:rsidRDefault="009D00BC">
            <w:pPr>
              <w:spacing w:before="40" w:after="40"/>
            </w:pPr>
            <w:r>
              <w:rPr>
                <w:sz w:val="20"/>
                <w:szCs w:val="20"/>
              </w:rPr>
              <w:t>Designation latency (days from evidentiary threshold to public action)</w:t>
            </w:r>
          </w:p>
        </w:tc>
        <w:tc>
          <w:tcPr>
            <w:tcW w:w="19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4A0C019" w14:textId="77777777" w:rsidR="008B176B" w:rsidRDefault="009D00BC">
            <w:pPr>
              <w:spacing w:before="40" w:after="40"/>
            </w:pPr>
            <w:r>
              <w:rPr>
                <w:sz w:val="20"/>
                <w:szCs w:val="20"/>
              </w:rPr>
              <w:t>OFAC FR notices; BIS Federal Register; interagency records</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5F63CF9" w14:textId="77777777" w:rsidR="008B176B" w:rsidRDefault="009D00BC">
            <w:pPr>
              <w:spacing w:before="40" w:after="40"/>
            </w:pPr>
            <w:r>
              <w:rPr>
                <w:sz w:val="20"/>
                <w:szCs w:val="20"/>
              </w:rPr>
              <w:t>Baseline: 45-120 days standard pipeline. Pre-staged readiness target: threshold-triggered (days). Latency reduction is a process-effectiveness indicator, not a network-effect indicator.</w:t>
            </w:r>
          </w:p>
        </w:tc>
        <w:tc>
          <w:tcPr>
            <w:tcW w:w="14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28DF7A6" w14:textId="77777777" w:rsidR="008B176B" w:rsidRDefault="009D00BC">
            <w:pPr>
              <w:spacing w:before="40" w:after="40"/>
            </w:pPr>
            <w:r>
              <w:rPr>
                <w:sz w:val="20"/>
                <w:szCs w:val="20"/>
              </w:rPr>
              <w:t>PUBLIC — measurable from OFAC/BIS Federal Register notice dates against known evidentiary development timelines.</w:t>
            </w:r>
          </w:p>
        </w:tc>
      </w:tr>
      <w:tr w:rsidR="008B176B" w14:paraId="4E54B57F" w14:textId="77777777">
        <w:tblPrEx>
          <w:tblCellMar>
            <w:top w:w="0" w:type="dxa"/>
            <w:bottom w:w="0" w:type="dxa"/>
          </w:tblCellMar>
        </w:tblPrEx>
        <w:tc>
          <w:tcPr>
            <w:tcW w:w="150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35C87C94" w14:textId="77777777" w:rsidR="008B176B" w:rsidRDefault="008B176B">
            <w:pPr>
              <w:spacing w:before="40" w:after="40"/>
            </w:pPr>
          </w:p>
        </w:tc>
        <w:tc>
          <w:tcPr>
            <w:tcW w:w="2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7600ECF" w14:textId="77777777" w:rsidR="008B176B" w:rsidRDefault="009D00BC">
            <w:pPr>
              <w:spacing w:before="40" w:after="40"/>
            </w:pPr>
            <w:r>
              <w:rPr>
                <w:sz w:val="20"/>
                <w:szCs w:val="20"/>
              </w:rPr>
              <w:t>Intermediary exit rate (% of designated entities whose successors are not identified within 90 days)</w:t>
            </w:r>
          </w:p>
        </w:tc>
        <w:tc>
          <w:tcPr>
            <w:tcW w:w="19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B24FB41" w14:textId="77777777" w:rsidR="008B176B" w:rsidRDefault="009D00BC">
            <w:pPr>
              <w:spacing w:before="40" w:after="40"/>
            </w:pPr>
            <w:r>
              <w:rPr>
                <w:sz w:val="20"/>
                <w:szCs w:val="20"/>
              </w:rPr>
              <w:t>Commercial analytics; OFAC SDN cross-reference; Phase I evidentiary files</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4C7E793" w14:textId="77777777" w:rsidR="008B176B" w:rsidRDefault="009D00BC">
            <w:pPr>
              <w:spacing w:before="40" w:after="40"/>
            </w:pPr>
            <w:r>
              <w:rPr>
                <w:sz w:val="20"/>
                <w:szCs w:val="20"/>
              </w:rPr>
              <w:t>Exit without rapid reconstitution indicates high-centrality target selection. Rapid reconstitution (&lt;30 days) indicates low-centrality target or high-substitutability network.</w:t>
            </w:r>
          </w:p>
        </w:tc>
        <w:tc>
          <w:tcPr>
            <w:tcW w:w="14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40BA8BB" w14:textId="77777777" w:rsidR="008B176B" w:rsidRDefault="009D00BC">
            <w:pPr>
              <w:spacing w:before="40" w:after="40"/>
            </w:pPr>
            <w:r>
              <w:rPr>
                <w:sz w:val="20"/>
                <w:szCs w:val="20"/>
              </w:rPr>
              <w:t>HYBRID — SDN list is public; successor identification requires commercial corporate-registry analytics and sometimes beneficial-ownership data accessible only via FinCEN/government channels.</w:t>
            </w:r>
          </w:p>
        </w:tc>
      </w:tr>
      <w:tr w:rsidR="008B176B" w14:paraId="64E8E2F0" w14:textId="77777777">
        <w:tblPrEx>
          <w:tblCellMar>
            <w:top w:w="0" w:type="dxa"/>
            <w:bottom w:w="0" w:type="dxa"/>
          </w:tblCellMar>
        </w:tblPrEx>
        <w:tc>
          <w:tcPr>
            <w:tcW w:w="150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22C39F62" w14:textId="77777777" w:rsidR="008B176B" w:rsidRDefault="009D00BC">
            <w:pPr>
              <w:spacing w:before="40" w:after="40"/>
            </w:pPr>
            <w:r>
              <w:rPr>
                <w:b/>
                <w:bCs/>
                <w:sz w:val="20"/>
                <w:szCs w:val="20"/>
              </w:rPr>
              <w:t>Shadow Maritime Operations</w:t>
            </w:r>
          </w:p>
        </w:tc>
        <w:tc>
          <w:tcPr>
            <w:tcW w:w="2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5C628B3" w14:textId="77777777" w:rsidR="008B176B" w:rsidRDefault="009D00BC">
            <w:pPr>
              <w:spacing w:before="40" w:after="40"/>
            </w:pPr>
            <w:r>
              <w:rPr>
                <w:sz w:val="20"/>
                <w:szCs w:val="20"/>
              </w:rPr>
              <w:t>Vessel churn rate (flag re-registration, renaming, AIS cycling per 90-day period)</w:t>
            </w:r>
          </w:p>
        </w:tc>
        <w:tc>
          <w:tcPr>
            <w:tcW w:w="19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E143A69" w14:textId="77777777" w:rsidR="008B176B" w:rsidRDefault="009D00BC">
            <w:pPr>
              <w:spacing w:before="40" w:after="40"/>
            </w:pPr>
            <w:proofErr w:type="spellStart"/>
            <w:r>
              <w:rPr>
                <w:sz w:val="20"/>
                <w:szCs w:val="20"/>
              </w:rPr>
              <w:t>Equasis</w:t>
            </w:r>
            <w:proofErr w:type="spellEnd"/>
            <w:r>
              <w:rPr>
                <w:sz w:val="20"/>
                <w:szCs w:val="20"/>
              </w:rPr>
              <w:t>; ITF Seafarers; commercial maritime analytics (</w:t>
            </w:r>
            <w:proofErr w:type="spellStart"/>
            <w:r>
              <w:rPr>
                <w:sz w:val="20"/>
                <w:szCs w:val="20"/>
              </w:rPr>
              <w:t>Kpler</w:t>
            </w:r>
            <w:proofErr w:type="spellEnd"/>
            <w:r>
              <w:rPr>
                <w:sz w:val="20"/>
                <w:szCs w:val="20"/>
              </w:rPr>
              <w:t xml:space="preserve">, </w:t>
            </w:r>
            <w:proofErr w:type="spellStart"/>
            <w:r>
              <w:rPr>
                <w:sz w:val="20"/>
                <w:szCs w:val="20"/>
              </w:rPr>
              <w:t>Vortexa</w:t>
            </w:r>
            <w:proofErr w:type="spellEnd"/>
            <w:r>
              <w:rPr>
                <w:sz w:val="20"/>
                <w:szCs w:val="20"/>
              </w:rPr>
              <w:t>); NGA/ONI reporting</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911B0C0" w14:textId="77777777" w:rsidR="008B176B" w:rsidRDefault="009D00BC">
            <w:pPr>
              <w:spacing w:before="40" w:after="40"/>
            </w:pPr>
            <w:r>
              <w:rPr>
                <w:sz w:val="20"/>
                <w:szCs w:val="20"/>
              </w:rPr>
              <w:t>Increasing churn indicates elevated network friction (positive pressure indicator). Stabilizing churn at elevated baseline indicates successful network adaptation — escalation-gating signal.</w:t>
            </w:r>
          </w:p>
        </w:tc>
        <w:tc>
          <w:tcPr>
            <w:tcW w:w="14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6B69116" w14:textId="77777777" w:rsidR="008B176B" w:rsidRDefault="009D00BC">
            <w:pPr>
              <w:spacing w:before="40" w:after="40"/>
            </w:pPr>
            <w:r>
              <w:rPr>
                <w:sz w:val="20"/>
                <w:szCs w:val="20"/>
              </w:rPr>
              <w:t xml:space="preserve">PUBLIC — </w:t>
            </w:r>
            <w:proofErr w:type="spellStart"/>
            <w:r>
              <w:rPr>
                <w:sz w:val="20"/>
                <w:szCs w:val="20"/>
              </w:rPr>
              <w:t>Equasis</w:t>
            </w:r>
            <w:proofErr w:type="spellEnd"/>
            <w:r>
              <w:rPr>
                <w:sz w:val="20"/>
                <w:szCs w:val="20"/>
              </w:rPr>
              <w:t xml:space="preserve"> and commercial AIS analytics are publicly accessible; NGA/ONI provides additional confidence but is not required for directional assessment.</w:t>
            </w:r>
          </w:p>
        </w:tc>
      </w:tr>
      <w:tr w:rsidR="008B176B" w14:paraId="54F31054" w14:textId="77777777">
        <w:tblPrEx>
          <w:tblCellMar>
            <w:top w:w="0" w:type="dxa"/>
            <w:bottom w:w="0" w:type="dxa"/>
          </w:tblCellMar>
        </w:tblPrEx>
        <w:tc>
          <w:tcPr>
            <w:tcW w:w="150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55570B3F" w14:textId="77777777" w:rsidR="008B176B" w:rsidRDefault="008B176B">
            <w:pPr>
              <w:spacing w:before="40" w:after="40"/>
            </w:pPr>
          </w:p>
        </w:tc>
        <w:tc>
          <w:tcPr>
            <w:tcW w:w="2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757459C" w14:textId="77777777" w:rsidR="008B176B" w:rsidRDefault="009D00BC">
            <w:pPr>
              <w:spacing w:before="40" w:after="40"/>
            </w:pPr>
            <w:r>
              <w:rPr>
                <w:sz w:val="20"/>
                <w:szCs w:val="20"/>
              </w:rPr>
              <w:t xml:space="preserve">Floating storage volume (VLCCs and </w:t>
            </w:r>
            <w:proofErr w:type="spellStart"/>
            <w:r>
              <w:rPr>
                <w:sz w:val="20"/>
                <w:szCs w:val="20"/>
              </w:rPr>
              <w:t>Suezmaxes</w:t>
            </w:r>
            <w:proofErr w:type="spellEnd"/>
            <w:r>
              <w:rPr>
                <w:sz w:val="20"/>
                <w:szCs w:val="20"/>
              </w:rPr>
              <w:t xml:space="preserve"> near PRC discharge zones with AIS anomalies)</w:t>
            </w:r>
          </w:p>
        </w:tc>
        <w:tc>
          <w:tcPr>
            <w:tcW w:w="19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A161D5B" w14:textId="77777777" w:rsidR="008B176B" w:rsidRDefault="009D00BC">
            <w:pPr>
              <w:spacing w:before="40" w:after="40"/>
            </w:pPr>
            <w:proofErr w:type="spellStart"/>
            <w:r>
              <w:rPr>
                <w:sz w:val="20"/>
                <w:szCs w:val="20"/>
              </w:rPr>
              <w:t>Kpler</w:t>
            </w:r>
            <w:proofErr w:type="spellEnd"/>
            <w:r>
              <w:rPr>
                <w:sz w:val="20"/>
                <w:szCs w:val="20"/>
              </w:rPr>
              <w:t xml:space="preserve">; </w:t>
            </w:r>
            <w:proofErr w:type="spellStart"/>
            <w:r>
              <w:rPr>
                <w:sz w:val="20"/>
                <w:szCs w:val="20"/>
              </w:rPr>
              <w:t>Vortexa</w:t>
            </w:r>
            <w:proofErr w:type="spellEnd"/>
            <w:r>
              <w:rPr>
                <w:sz w:val="20"/>
                <w:szCs w:val="20"/>
              </w:rPr>
              <w:t>; STS-transfer tracking; satellite imagery corroboration</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D7101EC" w14:textId="77777777" w:rsidR="008B176B" w:rsidRDefault="009D00BC">
            <w:pPr>
              <w:spacing w:before="40" w:after="40"/>
            </w:pPr>
            <w:r>
              <w:rPr>
                <w:sz w:val="20"/>
                <w:szCs w:val="20"/>
              </w:rPr>
              <w:t>Elevated floating storage volume indicates slower discharge, increased compliance scrutiny at receiving terminals, or rerouting uncertainty. Volume above seasonal baseline is a Phase II friction indicator.</w:t>
            </w:r>
          </w:p>
        </w:tc>
        <w:tc>
          <w:tcPr>
            <w:tcW w:w="14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363C114" w14:textId="77777777" w:rsidR="008B176B" w:rsidRDefault="009D00BC">
            <w:pPr>
              <w:spacing w:before="40" w:after="40"/>
            </w:pPr>
            <w:r>
              <w:rPr>
                <w:sz w:val="20"/>
                <w:szCs w:val="20"/>
              </w:rPr>
              <w:t xml:space="preserve">PUBLIC — </w:t>
            </w:r>
            <w:proofErr w:type="spellStart"/>
            <w:r>
              <w:rPr>
                <w:sz w:val="20"/>
                <w:szCs w:val="20"/>
              </w:rPr>
              <w:t>Kpler</w:t>
            </w:r>
            <w:proofErr w:type="spellEnd"/>
            <w:r>
              <w:rPr>
                <w:sz w:val="20"/>
                <w:szCs w:val="20"/>
              </w:rPr>
              <w:t xml:space="preserve"> and </w:t>
            </w:r>
            <w:proofErr w:type="spellStart"/>
            <w:r>
              <w:rPr>
                <w:sz w:val="20"/>
                <w:szCs w:val="20"/>
              </w:rPr>
              <w:t>Vortexa</w:t>
            </w:r>
            <w:proofErr w:type="spellEnd"/>
            <w:r>
              <w:rPr>
                <w:sz w:val="20"/>
                <w:szCs w:val="20"/>
              </w:rPr>
              <w:t xml:space="preserve"> provide this data via commercial subscription. Satellite corroboration adds confidence but not required for the core indicator.</w:t>
            </w:r>
          </w:p>
        </w:tc>
      </w:tr>
      <w:tr w:rsidR="008B176B" w14:paraId="4E4EF9D9" w14:textId="77777777">
        <w:tblPrEx>
          <w:tblCellMar>
            <w:top w:w="0" w:type="dxa"/>
            <w:bottom w:w="0" w:type="dxa"/>
          </w:tblCellMar>
        </w:tblPrEx>
        <w:tc>
          <w:tcPr>
            <w:tcW w:w="150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0BC64E4B" w14:textId="77777777" w:rsidR="008B176B" w:rsidRDefault="008B176B">
            <w:pPr>
              <w:spacing w:before="40" w:after="40"/>
            </w:pPr>
          </w:p>
        </w:tc>
        <w:tc>
          <w:tcPr>
            <w:tcW w:w="2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1B65CAD" w14:textId="77777777" w:rsidR="008B176B" w:rsidRDefault="009D00BC">
            <w:pPr>
              <w:spacing w:before="40" w:after="40"/>
            </w:pPr>
            <w:r>
              <w:rPr>
                <w:sz w:val="20"/>
                <w:szCs w:val="20"/>
              </w:rPr>
              <w:t>Discharge delay duration (days from last AIS position to confirmed terminal intake)</w:t>
            </w:r>
          </w:p>
        </w:tc>
        <w:tc>
          <w:tcPr>
            <w:tcW w:w="19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C0E32FC" w14:textId="77777777" w:rsidR="008B176B" w:rsidRDefault="009D00BC">
            <w:pPr>
              <w:spacing w:before="40" w:after="40"/>
            </w:pPr>
            <w:proofErr w:type="spellStart"/>
            <w:r>
              <w:rPr>
                <w:sz w:val="20"/>
                <w:szCs w:val="20"/>
              </w:rPr>
              <w:t>Kpler</w:t>
            </w:r>
            <w:proofErr w:type="spellEnd"/>
            <w:r>
              <w:rPr>
                <w:sz w:val="20"/>
                <w:szCs w:val="20"/>
              </w:rPr>
              <w:t xml:space="preserve"> port-call data; terminal intake records (public filings where available)</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7C6DB18" w14:textId="77777777" w:rsidR="008B176B" w:rsidRDefault="009D00BC">
            <w:pPr>
              <w:spacing w:before="40" w:after="40"/>
            </w:pPr>
            <w:r>
              <w:rPr>
                <w:sz w:val="20"/>
                <w:szCs w:val="20"/>
              </w:rPr>
              <w:t>Discharge delays above seasonal baseline indicate insurance or compliance friction at receiving terminals. Sustained delays indicate effective network friction, not evasion success.</w:t>
            </w:r>
          </w:p>
        </w:tc>
        <w:tc>
          <w:tcPr>
            <w:tcW w:w="14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2CFF0A1" w14:textId="77777777" w:rsidR="008B176B" w:rsidRDefault="009D00BC">
            <w:pPr>
              <w:spacing w:before="40" w:after="40"/>
            </w:pPr>
            <w:r>
              <w:rPr>
                <w:sz w:val="20"/>
                <w:szCs w:val="20"/>
              </w:rPr>
              <w:t xml:space="preserve">HYBRID — </w:t>
            </w:r>
            <w:proofErr w:type="spellStart"/>
            <w:r>
              <w:rPr>
                <w:sz w:val="20"/>
                <w:szCs w:val="20"/>
              </w:rPr>
              <w:t>Kpler</w:t>
            </w:r>
            <w:proofErr w:type="spellEnd"/>
            <w:r>
              <w:rPr>
                <w:sz w:val="20"/>
                <w:szCs w:val="20"/>
              </w:rPr>
              <w:t xml:space="preserve"> is public; confirmed terminal intake for PRC-side discharge often requires Chinese customs data not commercially available. Directional use is feasible on public data; precision requires hybrid access.</w:t>
            </w:r>
          </w:p>
        </w:tc>
      </w:tr>
      <w:tr w:rsidR="008B176B" w14:paraId="0024C698" w14:textId="77777777">
        <w:tblPrEx>
          <w:tblCellMar>
            <w:top w:w="0" w:type="dxa"/>
            <w:bottom w:w="0" w:type="dxa"/>
          </w:tblCellMar>
        </w:tblPrEx>
        <w:tc>
          <w:tcPr>
            <w:tcW w:w="150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46D3DDDC" w14:textId="77777777" w:rsidR="008B176B" w:rsidRDefault="008B176B">
            <w:pPr>
              <w:spacing w:before="40" w:after="40"/>
            </w:pPr>
          </w:p>
        </w:tc>
        <w:tc>
          <w:tcPr>
            <w:tcW w:w="2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8F32D91" w14:textId="77777777" w:rsidR="008B176B" w:rsidRDefault="009D00BC">
            <w:pPr>
              <w:spacing w:before="40" w:after="40"/>
            </w:pPr>
            <w:r>
              <w:rPr>
                <w:sz w:val="20"/>
                <w:szCs w:val="20"/>
              </w:rPr>
              <w:t>Sanctioned-origin crude share in offshore storage near PRC discharge zones</w:t>
            </w:r>
          </w:p>
        </w:tc>
        <w:tc>
          <w:tcPr>
            <w:tcW w:w="19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427FC0D" w14:textId="77777777" w:rsidR="008B176B" w:rsidRDefault="009D00BC">
            <w:pPr>
              <w:spacing w:before="40" w:after="40"/>
            </w:pPr>
            <w:proofErr w:type="spellStart"/>
            <w:r>
              <w:rPr>
                <w:sz w:val="20"/>
                <w:szCs w:val="20"/>
              </w:rPr>
              <w:t>Kpler</w:t>
            </w:r>
            <w:proofErr w:type="spellEnd"/>
            <w:r>
              <w:rPr>
                <w:sz w:val="20"/>
                <w:szCs w:val="20"/>
              </w:rPr>
              <w:t xml:space="preserve"> sanctioned-origin tracking; </w:t>
            </w:r>
            <w:proofErr w:type="spellStart"/>
            <w:r>
              <w:rPr>
                <w:sz w:val="20"/>
                <w:szCs w:val="20"/>
              </w:rPr>
              <w:t>Vortexa</w:t>
            </w:r>
            <w:proofErr w:type="spellEnd"/>
            <w:r>
              <w:rPr>
                <w:sz w:val="20"/>
                <w:szCs w:val="20"/>
              </w:rPr>
              <w:t xml:space="preserve"> dark-fleet analytics; commercial vessel-identification services</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CFD5988" w14:textId="77777777" w:rsidR="008B176B" w:rsidRDefault="009D00BC">
            <w:pPr>
              <w:spacing w:before="40" w:after="40"/>
            </w:pPr>
            <w:r>
              <w:rPr>
                <w:sz w:val="20"/>
                <w:szCs w:val="20"/>
              </w:rPr>
              <w:t>Share increase relative to pre-surge baseline indicates network adaptation to enforcement pressure. Share decrease with confirmed destination change indicates routing disruption.</w:t>
            </w:r>
          </w:p>
        </w:tc>
        <w:tc>
          <w:tcPr>
            <w:tcW w:w="14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E60BC4E" w14:textId="77777777" w:rsidR="008B176B" w:rsidRDefault="009D00BC">
            <w:pPr>
              <w:spacing w:before="40" w:after="40"/>
            </w:pPr>
            <w:r>
              <w:rPr>
                <w:sz w:val="20"/>
                <w:szCs w:val="20"/>
              </w:rPr>
              <w:t>PUBLIC — commercial analytics providers track this metric; sanctioned-origin attribution carries moderate confidence on commercial sources alone.</w:t>
            </w:r>
          </w:p>
        </w:tc>
      </w:tr>
      <w:tr w:rsidR="008B176B" w14:paraId="37318972" w14:textId="77777777">
        <w:tblPrEx>
          <w:tblCellMar>
            <w:top w:w="0" w:type="dxa"/>
            <w:bottom w:w="0" w:type="dxa"/>
          </w:tblCellMar>
        </w:tblPrEx>
        <w:tc>
          <w:tcPr>
            <w:tcW w:w="150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1DE368EC" w14:textId="77777777" w:rsidR="008B176B" w:rsidRDefault="008B176B">
            <w:pPr>
              <w:spacing w:before="40" w:after="40"/>
            </w:pPr>
          </w:p>
        </w:tc>
        <w:tc>
          <w:tcPr>
            <w:tcW w:w="2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83CE5F3" w14:textId="77777777" w:rsidR="008B176B" w:rsidRDefault="009D00BC">
            <w:pPr>
              <w:spacing w:before="40" w:after="40"/>
            </w:pPr>
            <w:r>
              <w:rPr>
                <w:sz w:val="20"/>
                <w:szCs w:val="20"/>
              </w:rPr>
              <w:t>Insurance premium effects (P&amp;I Club surcharges for shadow-fleet operations in affected corridors)</w:t>
            </w:r>
          </w:p>
        </w:tc>
        <w:tc>
          <w:tcPr>
            <w:tcW w:w="19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34E76B1" w14:textId="77777777" w:rsidR="008B176B" w:rsidRDefault="009D00BC">
            <w:pPr>
              <w:spacing w:before="40" w:after="40"/>
            </w:pPr>
            <w:r>
              <w:rPr>
                <w:sz w:val="20"/>
                <w:szCs w:val="20"/>
              </w:rPr>
              <w:t>Publicly available P&amp;I Club guidance; Lloyd's market intelligence reports; broker market data</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42C2EDB" w14:textId="77777777" w:rsidR="008B176B" w:rsidRDefault="009D00BC">
            <w:pPr>
              <w:spacing w:before="40" w:after="40"/>
            </w:pPr>
            <w:r>
              <w:rPr>
                <w:sz w:val="20"/>
                <w:szCs w:val="20"/>
              </w:rPr>
              <w:t>Premium increases reflect compliance friction cost imposition. Sustained premium elevation above 15% of baseline indicates durable cost pressure on shadow-fleet operational economics.</w:t>
            </w:r>
          </w:p>
        </w:tc>
        <w:tc>
          <w:tcPr>
            <w:tcW w:w="14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E0E5721" w14:textId="77777777" w:rsidR="008B176B" w:rsidRDefault="009D00BC">
            <w:pPr>
              <w:spacing w:before="40" w:after="40"/>
            </w:pPr>
            <w:r>
              <w:rPr>
                <w:sz w:val="20"/>
                <w:szCs w:val="20"/>
              </w:rPr>
              <w:t>PUBLIC — P&amp;I Club guidance and Lloyd's market circulars are publicly available; broker-level data requires industry access but directional premium trends are public.</w:t>
            </w:r>
          </w:p>
        </w:tc>
      </w:tr>
      <w:tr w:rsidR="008B176B" w14:paraId="2EBC210B" w14:textId="77777777">
        <w:tblPrEx>
          <w:tblCellMar>
            <w:top w:w="0" w:type="dxa"/>
            <w:bottom w:w="0" w:type="dxa"/>
          </w:tblCellMar>
        </w:tblPrEx>
        <w:tc>
          <w:tcPr>
            <w:tcW w:w="150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0272A905" w14:textId="77777777" w:rsidR="008B176B" w:rsidRDefault="009D00BC">
            <w:pPr>
              <w:spacing w:before="40" w:after="40"/>
            </w:pPr>
            <w:r>
              <w:rPr>
                <w:b/>
                <w:bCs/>
                <w:sz w:val="20"/>
                <w:szCs w:val="20"/>
              </w:rPr>
              <w:t>Technology and Procurement Denial</w:t>
            </w:r>
          </w:p>
        </w:tc>
        <w:tc>
          <w:tcPr>
            <w:tcW w:w="2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3CAC6B0" w14:textId="77777777" w:rsidR="008B176B" w:rsidRDefault="009D00BC">
            <w:pPr>
              <w:spacing w:before="40" w:after="40"/>
            </w:pPr>
            <w:r>
              <w:rPr>
                <w:sz w:val="20"/>
                <w:szCs w:val="20"/>
              </w:rPr>
              <w:t>Export-denial impact (BIS export license denial rate for controlled dual-use items to high-risk jurisdiction entities)</w:t>
            </w:r>
          </w:p>
        </w:tc>
        <w:tc>
          <w:tcPr>
            <w:tcW w:w="19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5350551" w14:textId="77777777" w:rsidR="008B176B" w:rsidRDefault="009D00BC">
            <w:pPr>
              <w:spacing w:before="40" w:after="40"/>
            </w:pPr>
            <w:r>
              <w:rPr>
                <w:sz w:val="20"/>
                <w:szCs w:val="20"/>
              </w:rPr>
              <w:t>BIS Annual Report; Commerce Export Enforcement press releases; Entity List additions</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E19A174" w14:textId="77777777" w:rsidR="008B176B" w:rsidRDefault="009D00BC">
            <w:pPr>
              <w:spacing w:before="40" w:after="40"/>
            </w:pPr>
            <w:r>
              <w:rPr>
                <w:sz w:val="20"/>
                <w:szCs w:val="20"/>
              </w:rPr>
              <w:t>Denial rate increase relative to baseline indicates effective export-control enforcement cycle. Denial rate without observable procurement delay indicates evasion through non-listed suppliers — Phase III escalation-gating signal.</w:t>
            </w:r>
          </w:p>
        </w:tc>
        <w:tc>
          <w:tcPr>
            <w:tcW w:w="14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853B7BA" w14:textId="77777777" w:rsidR="008B176B" w:rsidRDefault="009D00BC">
            <w:pPr>
              <w:spacing w:before="40" w:after="40"/>
            </w:pPr>
            <w:r>
              <w:rPr>
                <w:sz w:val="20"/>
                <w:szCs w:val="20"/>
              </w:rPr>
              <w:t>PUBLIC — BIS Annual Report and Entity List are public. Denial rates at the jurisdiction and item-category level are published annually; real-time tracking requires BIS data access.</w:t>
            </w:r>
          </w:p>
        </w:tc>
      </w:tr>
      <w:tr w:rsidR="008B176B" w14:paraId="4C30360F" w14:textId="77777777">
        <w:tblPrEx>
          <w:tblCellMar>
            <w:top w:w="0" w:type="dxa"/>
            <w:bottom w:w="0" w:type="dxa"/>
          </w:tblCellMar>
        </w:tblPrEx>
        <w:tc>
          <w:tcPr>
            <w:tcW w:w="150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024C6340" w14:textId="77777777" w:rsidR="008B176B" w:rsidRDefault="008B176B">
            <w:pPr>
              <w:spacing w:before="40" w:after="40"/>
            </w:pPr>
          </w:p>
        </w:tc>
        <w:tc>
          <w:tcPr>
            <w:tcW w:w="2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7884B94" w14:textId="77777777" w:rsidR="008B176B" w:rsidRDefault="009D00BC">
            <w:pPr>
              <w:spacing w:before="40" w:after="40"/>
            </w:pPr>
            <w:r>
              <w:rPr>
                <w:sz w:val="20"/>
                <w:szCs w:val="20"/>
              </w:rPr>
              <w:t>Procurement delay (observable delay in weapons-relevant manufacturing milestones attributable to controlled-component denial)</w:t>
            </w:r>
          </w:p>
        </w:tc>
        <w:tc>
          <w:tcPr>
            <w:tcW w:w="19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2C84D3D" w14:textId="77777777" w:rsidR="008B176B" w:rsidRDefault="009D00BC">
            <w:pPr>
              <w:spacing w:before="40" w:after="40"/>
            </w:pPr>
            <w:r>
              <w:rPr>
                <w:sz w:val="20"/>
                <w:szCs w:val="20"/>
              </w:rPr>
              <w:t>Open-source OSINT on program timelines; NCRI reporting (Tier 3 — monitoring lead only); commercial satellite imagery of relevant facilities</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947F580" w14:textId="77777777" w:rsidR="008B176B" w:rsidRDefault="009D00BC">
            <w:pPr>
              <w:spacing w:before="40" w:after="40"/>
            </w:pPr>
            <w:r>
              <w:rPr>
                <w:sz w:val="20"/>
                <w:szCs w:val="20"/>
              </w:rPr>
              <w:t>Observable delay without reconstitution from alternative sources indicates high-value denial. Observable delay with rapid alternative sourcing indicates substitution — Phase IV coalition-synchronization trigger.</w:t>
            </w:r>
          </w:p>
        </w:tc>
        <w:tc>
          <w:tcPr>
            <w:tcW w:w="14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8A20F43" w14:textId="77777777" w:rsidR="008B176B" w:rsidRDefault="009D00BC">
            <w:pPr>
              <w:spacing w:before="40" w:after="40"/>
            </w:pPr>
            <w:r>
              <w:rPr>
                <w:sz w:val="20"/>
                <w:szCs w:val="20"/>
              </w:rPr>
              <w:t>IC-DEPENDENT — OSINT and commercial satellite imagery provide directional indicators only. Attribution of delay to specific component denial requires intelligence community corroboration. Do not treat this metric as operational on OSINT alone.</w:t>
            </w:r>
          </w:p>
        </w:tc>
      </w:tr>
      <w:tr w:rsidR="008B176B" w14:paraId="57BF77AB" w14:textId="77777777">
        <w:tblPrEx>
          <w:tblCellMar>
            <w:top w:w="0" w:type="dxa"/>
            <w:bottom w:w="0" w:type="dxa"/>
          </w:tblCellMar>
        </w:tblPrEx>
        <w:tc>
          <w:tcPr>
            <w:tcW w:w="150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7096CA8B" w14:textId="77777777" w:rsidR="008B176B" w:rsidRDefault="009D00BC">
            <w:pPr>
              <w:spacing w:before="40" w:after="40"/>
            </w:pPr>
            <w:r>
              <w:rPr>
                <w:b/>
                <w:bCs/>
                <w:sz w:val="20"/>
                <w:szCs w:val="20"/>
              </w:rPr>
              <w:t>Financial Network</w:t>
            </w:r>
          </w:p>
        </w:tc>
        <w:tc>
          <w:tcPr>
            <w:tcW w:w="19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3E52251" w14:textId="77777777" w:rsidR="008B176B" w:rsidRDefault="009D00BC">
            <w:pPr>
              <w:spacing w:before="40" w:after="40"/>
            </w:pPr>
            <w:r>
              <w:rPr>
                <w:sz w:val="20"/>
                <w:szCs w:val="20"/>
              </w:rPr>
              <w:t>Rerouting cost (estimated transaction-cost premium for shadow payment rails vs. conventional correspondent banking)</w:t>
            </w:r>
          </w:p>
        </w:tc>
        <w:tc>
          <w:tcPr>
            <w:tcW w:w="19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86265F3" w14:textId="77777777" w:rsidR="008B176B" w:rsidRDefault="009D00BC">
            <w:pPr>
              <w:spacing w:before="40" w:after="40"/>
            </w:pPr>
            <w:r>
              <w:rPr>
                <w:sz w:val="20"/>
                <w:szCs w:val="20"/>
              </w:rPr>
              <w:t>FinCEN SAR analysis; blockchain analytics (</w:t>
            </w:r>
            <w:proofErr w:type="spellStart"/>
            <w:r>
              <w:rPr>
                <w:sz w:val="20"/>
                <w:szCs w:val="20"/>
              </w:rPr>
              <w:t>Chainalysis</w:t>
            </w:r>
            <w:proofErr w:type="spellEnd"/>
            <w:r>
              <w:rPr>
                <w:sz w:val="20"/>
                <w:szCs w:val="20"/>
              </w:rPr>
              <w:t>, Elliptic); hawala rate monitoring; State Treasury exchange-rate monitoring</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1EE0407" w14:textId="77777777" w:rsidR="008B176B" w:rsidRDefault="009D00BC">
            <w:pPr>
              <w:spacing w:before="40" w:after="40"/>
            </w:pPr>
            <w:r>
              <w:rPr>
                <w:sz w:val="20"/>
                <w:szCs w:val="20"/>
              </w:rPr>
              <w:t>Transaction-cost premium of 15-30% above conventional baseline indicates effective financial friction. Premium below 10% indicates insufficient pressure to alter network economics.</w:t>
            </w:r>
          </w:p>
        </w:tc>
        <w:tc>
          <w:tcPr>
            <w:tcW w:w="14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31D57D6" w14:textId="77777777" w:rsidR="008B176B" w:rsidRDefault="009D00BC">
            <w:pPr>
              <w:spacing w:before="40" w:after="40"/>
            </w:pPr>
            <w:r>
              <w:rPr>
                <w:sz w:val="20"/>
                <w:szCs w:val="20"/>
              </w:rPr>
              <w:t>IC-DEPENDENT — Blockchain analytics (</w:t>
            </w:r>
            <w:proofErr w:type="spellStart"/>
            <w:r>
              <w:rPr>
                <w:sz w:val="20"/>
                <w:szCs w:val="20"/>
              </w:rPr>
              <w:t>Chainalysis</w:t>
            </w:r>
            <w:proofErr w:type="spellEnd"/>
            <w:r>
              <w:rPr>
                <w:sz w:val="20"/>
                <w:szCs w:val="20"/>
              </w:rPr>
              <w:t>) are public for on-chain flows; hawala premium data and fiat shadow-payment-rail cost data require FinCEN SAR access or allied FIU reporting. Directional assessment feasible publicly; threshold precision requires hybrid or IC access.</w:t>
            </w:r>
          </w:p>
        </w:tc>
      </w:tr>
      <w:tr w:rsidR="008B176B" w14:paraId="5527DE0F" w14:textId="77777777">
        <w:tblPrEx>
          <w:tblCellMar>
            <w:top w:w="0" w:type="dxa"/>
            <w:bottom w:w="0" w:type="dxa"/>
          </w:tblCellMar>
        </w:tblPrEx>
        <w:tc>
          <w:tcPr>
            <w:tcW w:w="150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675ECD89" w14:textId="77777777" w:rsidR="008B176B" w:rsidRDefault="008B176B">
            <w:pPr>
              <w:spacing w:before="40" w:after="40"/>
            </w:pPr>
          </w:p>
        </w:tc>
        <w:tc>
          <w:tcPr>
            <w:tcW w:w="2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AFFE89F" w14:textId="77777777" w:rsidR="008B176B" w:rsidRDefault="009D00BC">
            <w:pPr>
              <w:spacing w:before="40" w:after="40"/>
            </w:pPr>
            <w:r>
              <w:rPr>
                <w:sz w:val="20"/>
                <w:szCs w:val="20"/>
              </w:rPr>
              <w:t>Corridor substitution (emergence of new financial intermediaries in non-designated jurisdictions following designation actions)</w:t>
            </w:r>
          </w:p>
        </w:tc>
        <w:tc>
          <w:tcPr>
            <w:tcW w:w="19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68BEC2A" w14:textId="77777777" w:rsidR="008B176B" w:rsidRDefault="009D00BC">
            <w:pPr>
              <w:spacing w:before="40" w:after="40"/>
            </w:pPr>
            <w:r>
              <w:rPr>
                <w:sz w:val="20"/>
                <w:szCs w:val="20"/>
              </w:rPr>
              <w:t>FinCEN 314(a) sharing; Phase I evidentiary files; commercial financial intelligence; allied FIU reporting</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0EFB6EA" w14:textId="77777777" w:rsidR="008B176B" w:rsidRDefault="009D00BC">
            <w:pPr>
              <w:spacing w:before="40" w:after="40"/>
            </w:pPr>
            <w:r>
              <w:rPr>
                <w:sz w:val="20"/>
                <w:szCs w:val="20"/>
              </w:rPr>
              <w:t>Rapid corridor substitution indicates low-centrality target selection or insufficient coalition coverage of substitution pathway. Triggers Phase IV coalition-synchronization response.</w:t>
            </w:r>
          </w:p>
        </w:tc>
        <w:tc>
          <w:tcPr>
            <w:tcW w:w="14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748F690" w14:textId="77777777" w:rsidR="008B176B" w:rsidRDefault="009D00BC">
            <w:pPr>
              <w:spacing w:before="40" w:after="40"/>
            </w:pPr>
            <w:r>
              <w:rPr>
                <w:sz w:val="20"/>
                <w:szCs w:val="20"/>
              </w:rPr>
              <w:t>IC-DEPENDENT — New intermediary emergence in opaque jurisdictions typically requires FinCEN 314(a) or allied FIU reporting for early identification. Commercial analytics detect substitution after public enforcement actions, not before.</w:t>
            </w:r>
          </w:p>
        </w:tc>
      </w:tr>
      <w:tr w:rsidR="008B176B" w14:paraId="5F380CF8" w14:textId="77777777">
        <w:tblPrEx>
          <w:tblCellMar>
            <w:top w:w="0" w:type="dxa"/>
            <w:bottom w:w="0" w:type="dxa"/>
          </w:tblCellMar>
        </w:tblPrEx>
        <w:tc>
          <w:tcPr>
            <w:tcW w:w="150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757EC6EE" w14:textId="77777777" w:rsidR="008B176B" w:rsidRDefault="009D00BC">
            <w:pPr>
              <w:spacing w:before="40" w:after="40"/>
            </w:pPr>
            <w:r>
              <w:rPr>
                <w:b/>
                <w:bCs/>
                <w:sz w:val="20"/>
                <w:szCs w:val="20"/>
              </w:rPr>
              <w:t>Coalition Effectiveness</w:t>
            </w:r>
          </w:p>
        </w:tc>
        <w:tc>
          <w:tcPr>
            <w:tcW w:w="2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BA27E5E" w14:textId="77777777" w:rsidR="008B176B" w:rsidRDefault="009D00BC">
            <w:pPr>
              <w:spacing w:before="40" w:after="40"/>
            </w:pPr>
            <w:r>
              <w:rPr>
                <w:sz w:val="20"/>
                <w:szCs w:val="20"/>
              </w:rPr>
              <w:t>Coalition participation rate (% of Five Eyes + EU6 + GCC partners implementing coordinated designation actions within 30 days)</w:t>
            </w:r>
          </w:p>
        </w:tc>
        <w:tc>
          <w:tcPr>
            <w:tcW w:w="19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3D690D3" w14:textId="77777777" w:rsidR="008B176B" w:rsidRDefault="009D00BC">
            <w:pPr>
              <w:spacing w:before="40" w:after="40"/>
            </w:pPr>
            <w:r>
              <w:rPr>
                <w:sz w:val="20"/>
                <w:szCs w:val="20"/>
              </w:rPr>
              <w:t>Allied government FR equivalents; FATF mutual evaluation updates; diplomatic reporting (open-source where available)</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97EBCBB" w14:textId="77777777" w:rsidR="008B176B" w:rsidRDefault="009D00BC">
            <w:pPr>
              <w:spacing w:before="40" w:after="40"/>
            </w:pPr>
            <w:r>
              <w:rPr>
                <w:sz w:val="20"/>
                <w:szCs w:val="20"/>
              </w:rPr>
              <w:t>Participation rate above 70% indicates sustainable coalition. Below 50% indicates coalition-fatigue or trade-friction contradiction requiring Phase IV remediation before Phase III escalation.</w:t>
            </w:r>
          </w:p>
        </w:tc>
        <w:tc>
          <w:tcPr>
            <w:tcW w:w="14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E1B0FC0" w14:textId="77777777" w:rsidR="008B176B" w:rsidRDefault="009D00BC">
            <w:pPr>
              <w:spacing w:before="40" w:after="40"/>
            </w:pPr>
            <w:r>
              <w:rPr>
                <w:sz w:val="20"/>
                <w:szCs w:val="20"/>
              </w:rPr>
              <w:t>HYBRID — Allied designation records are publicly accessible; synchronization tracking requires diplomatic reporting channels. FATF evaluations are public but lagging.</w:t>
            </w:r>
          </w:p>
        </w:tc>
      </w:tr>
      <w:tr w:rsidR="008B176B" w14:paraId="7680E97D" w14:textId="77777777">
        <w:tblPrEx>
          <w:tblCellMar>
            <w:top w:w="0" w:type="dxa"/>
            <w:bottom w:w="0" w:type="dxa"/>
          </w:tblCellMar>
        </w:tblPrEx>
        <w:tc>
          <w:tcPr>
            <w:tcW w:w="150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0456663B" w14:textId="77777777" w:rsidR="008B176B" w:rsidRDefault="008B176B">
            <w:pPr>
              <w:spacing w:before="40" w:after="40"/>
            </w:pPr>
          </w:p>
        </w:tc>
        <w:tc>
          <w:tcPr>
            <w:tcW w:w="2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19C9AA3" w14:textId="77777777" w:rsidR="008B176B" w:rsidRDefault="009D00BC">
            <w:pPr>
              <w:spacing w:before="40" w:after="40"/>
            </w:pPr>
            <w:r>
              <w:rPr>
                <w:sz w:val="20"/>
                <w:szCs w:val="20"/>
              </w:rPr>
              <w:t>Coalition compliance divergence (% of allied partners whose implementation materially diverges from coordinated target set within 90 days)</w:t>
            </w:r>
          </w:p>
        </w:tc>
        <w:tc>
          <w:tcPr>
            <w:tcW w:w="19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FE51157" w14:textId="77777777" w:rsidR="008B176B" w:rsidRDefault="009D00BC">
            <w:pPr>
              <w:spacing w:before="40" w:after="40"/>
            </w:pPr>
            <w:r>
              <w:rPr>
                <w:sz w:val="20"/>
                <w:szCs w:val="20"/>
              </w:rPr>
              <w:t>Allied designation records; diplomatic reporting; FATF reporting</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1D7244D" w14:textId="77777777" w:rsidR="008B176B" w:rsidRDefault="009D00BC">
            <w:pPr>
              <w:spacing w:before="40" w:after="40"/>
            </w:pPr>
            <w:r>
              <w:rPr>
                <w:sz w:val="20"/>
                <w:szCs w:val="20"/>
              </w:rPr>
              <w:t>Divergence rate above 30% triggers mandatory Phase IV coalition-synchronization review and may trigger CONTAIN-01 DEEI downshift protocol (suspend Tier 3-4 targets; maintain Tier 1-2).</w:t>
            </w:r>
          </w:p>
        </w:tc>
        <w:tc>
          <w:tcPr>
            <w:tcW w:w="14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598805A" w14:textId="77777777" w:rsidR="008B176B" w:rsidRDefault="009D00BC">
            <w:pPr>
              <w:spacing w:before="40" w:after="40"/>
            </w:pPr>
            <w:r>
              <w:rPr>
                <w:sz w:val="20"/>
                <w:szCs w:val="20"/>
              </w:rPr>
              <w:t>HYBRID — Public allied designation records provide a baseline; material divergence identification requires diplomatic reporting. Divergence trends are assessable on public data at 6-month lag.</w:t>
            </w:r>
          </w:p>
        </w:tc>
      </w:tr>
      <w:tr w:rsidR="008B176B" w14:paraId="38070A12" w14:textId="77777777">
        <w:tblPrEx>
          <w:tblCellMar>
            <w:top w:w="0" w:type="dxa"/>
            <w:bottom w:w="0" w:type="dxa"/>
          </w:tblCellMar>
        </w:tblPrEx>
        <w:tc>
          <w:tcPr>
            <w:tcW w:w="150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4A8A56B9" w14:textId="77777777" w:rsidR="008B176B" w:rsidRDefault="009D00BC">
            <w:pPr>
              <w:spacing w:before="40" w:after="40"/>
            </w:pPr>
            <w:r>
              <w:rPr>
                <w:b/>
                <w:bCs/>
                <w:sz w:val="20"/>
                <w:szCs w:val="20"/>
              </w:rPr>
              <w:t>Second-Order Cost Indicators</w:t>
            </w:r>
          </w:p>
        </w:tc>
        <w:tc>
          <w:tcPr>
            <w:tcW w:w="2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82DC9DB" w14:textId="77777777" w:rsidR="008B176B" w:rsidRDefault="009D00BC">
            <w:pPr>
              <w:spacing w:before="40" w:after="40"/>
            </w:pPr>
            <w:r>
              <w:rPr>
                <w:sz w:val="20"/>
                <w:szCs w:val="20"/>
              </w:rPr>
              <w:t>CPI/PCE pass-through attributable to tariff or disruption measures in covered product categories</w:t>
            </w:r>
          </w:p>
        </w:tc>
        <w:tc>
          <w:tcPr>
            <w:tcW w:w="19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FA59772" w14:textId="77777777" w:rsidR="008B176B" w:rsidRDefault="009D00BC">
            <w:pPr>
              <w:spacing w:before="40" w:after="40"/>
            </w:pPr>
            <w:r>
              <w:rPr>
                <w:sz w:val="20"/>
                <w:szCs w:val="20"/>
              </w:rPr>
              <w:t>BLS CPI; BEA PCE deflator; Federal Reserve pass-through analysis (TARIFF-01 guardrail Indicator A)</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EAFD5CB" w14:textId="77777777" w:rsidR="008B176B" w:rsidRDefault="009D00BC">
            <w:pPr>
              <w:spacing w:before="40" w:after="40"/>
            </w:pPr>
            <w:r>
              <w:rPr>
                <w:sz w:val="20"/>
                <w:szCs w:val="20"/>
              </w:rPr>
              <w:t xml:space="preserve">Pass-through above TARIFF-01 threshold triggers presumptive pause on Tier 2 continuation. Override requires </w:t>
            </w:r>
            <w:proofErr w:type="spellStart"/>
            <w:r>
              <w:rPr>
                <w:sz w:val="20"/>
                <w:szCs w:val="20"/>
              </w:rPr>
              <w:t>SECTREAS</w:t>
            </w:r>
            <w:proofErr w:type="spellEnd"/>
            <w:r>
              <w:rPr>
                <w:sz w:val="20"/>
                <w:szCs w:val="20"/>
              </w:rPr>
              <w:t xml:space="preserve"> written memorandum.</w:t>
            </w:r>
          </w:p>
        </w:tc>
        <w:tc>
          <w:tcPr>
            <w:tcW w:w="14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AA99D5E" w14:textId="77777777" w:rsidR="008B176B" w:rsidRDefault="009D00BC">
            <w:pPr>
              <w:spacing w:before="40" w:after="40"/>
            </w:pPr>
            <w:r>
              <w:rPr>
                <w:sz w:val="20"/>
                <w:szCs w:val="20"/>
              </w:rPr>
              <w:t>PUBLIC — BLS CPI and BEA PCE data are publicly available; Federal Reserve pass-through attribution analysis is published in Federal Reserve Bank research products.</w:t>
            </w:r>
          </w:p>
        </w:tc>
      </w:tr>
      <w:tr w:rsidR="008B176B" w14:paraId="4CD05571" w14:textId="77777777">
        <w:tblPrEx>
          <w:tblCellMar>
            <w:top w:w="0" w:type="dxa"/>
            <w:bottom w:w="0" w:type="dxa"/>
          </w:tblCellMar>
        </w:tblPrEx>
        <w:tc>
          <w:tcPr>
            <w:tcW w:w="150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011A361A" w14:textId="77777777" w:rsidR="008B176B" w:rsidRDefault="008B176B">
            <w:pPr>
              <w:spacing w:before="40" w:after="40"/>
            </w:pPr>
          </w:p>
        </w:tc>
        <w:tc>
          <w:tcPr>
            <w:tcW w:w="2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59A2396" w14:textId="77777777" w:rsidR="008B176B" w:rsidRDefault="009D00BC">
            <w:pPr>
              <w:spacing w:before="40" w:after="40"/>
            </w:pPr>
            <w:r>
              <w:rPr>
                <w:sz w:val="20"/>
                <w:szCs w:val="20"/>
              </w:rPr>
              <w:t>Dollar reserve share trajectory (sustained decline signals systemic financial fragmentation risk)</w:t>
            </w:r>
          </w:p>
        </w:tc>
        <w:tc>
          <w:tcPr>
            <w:tcW w:w="19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5542EC6" w14:textId="77777777" w:rsidR="008B176B" w:rsidRDefault="009D00BC">
            <w:pPr>
              <w:spacing w:before="40" w:after="40"/>
            </w:pPr>
            <w:r>
              <w:rPr>
                <w:sz w:val="20"/>
                <w:szCs w:val="20"/>
              </w:rPr>
              <w:t>Federal Reserve; IMF COFER data; BIS international banking statistics (CONTAIN-01 DEEI Indicator 1)</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9933BD7" w14:textId="77777777" w:rsidR="008B176B" w:rsidRDefault="009D00BC">
            <w:pPr>
              <w:spacing w:before="40" w:after="40"/>
            </w:pPr>
            <w:r>
              <w:rPr>
                <w:sz w:val="20"/>
                <w:szCs w:val="20"/>
              </w:rPr>
              <w:t>Sustained decline below DEEI threshold triggers auto-downshift: suspend Tier 3-4 targets, expand multilateral coordination, continue Tier 1-2.</w:t>
            </w:r>
          </w:p>
        </w:tc>
        <w:tc>
          <w:tcPr>
            <w:tcW w:w="14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06BA61C" w14:textId="77777777" w:rsidR="008B176B" w:rsidRDefault="009D00BC">
            <w:pPr>
              <w:spacing w:before="40" w:after="40"/>
            </w:pPr>
            <w:r>
              <w:rPr>
                <w:sz w:val="20"/>
                <w:szCs w:val="20"/>
              </w:rPr>
              <w:t>PUBLIC — IMF COFER and BIS international banking statistics are publicly available. Threshold calibration requires government-sourced scenario analysis but directional tracking is fully public.</w:t>
            </w:r>
          </w:p>
        </w:tc>
      </w:tr>
    </w:tbl>
    <w:p w14:paraId="6F6A9EA6" w14:textId="77777777" w:rsidR="008B176B" w:rsidRDefault="008B176B">
      <w:pPr>
        <w:spacing w:before="40" w:after="40"/>
      </w:pPr>
    </w:p>
    <w:p w14:paraId="685534E6" w14:textId="77777777" w:rsidR="008B176B" w:rsidRDefault="009D00BC">
      <w:r>
        <w:br w:type="page"/>
      </w:r>
    </w:p>
    <w:p w14:paraId="27DB394B" w14:textId="77777777" w:rsidR="008B176B" w:rsidRDefault="009D00BC">
      <w:pPr>
        <w:pStyle w:val="Heading1"/>
      </w:pPr>
      <w:r>
        <w:t>SECTION V.A — CAPABILITY AND CONSTRAINT: WHAT THIS TOOLSET CAN ACHIEVE AND WHAT IT CANNOT GUARANTEE</w:t>
      </w:r>
    </w:p>
    <w:p w14:paraId="2031AEA4" w14:textId="77777777" w:rsidR="008B176B" w:rsidRDefault="009D00BC">
      <w:pPr>
        <w:spacing w:before="80" w:after="80"/>
      </w:pPr>
      <w:r>
        <w:t>This section is the paper's honest accounting. It distinguishes realistic effects from guaranteed outcomes, and it states clearly what the toolset cannot do. A pressure architecture that overpromises collapses twice: first when the promised effect fails to materialize, and second when the political and coalition cost of the attempt prevents durable follow-through.</w:t>
      </w:r>
    </w:p>
    <w:p w14:paraId="2D058C7E" w14:textId="77777777" w:rsidR="008B176B" w:rsidRDefault="008B176B">
      <w:pPr>
        <w:spacing w:before="40" w:after="4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B176B" w14:paraId="62EE26A4" w14:textId="77777777">
        <w:tblPrEx>
          <w:tblCellMar>
            <w:top w:w="0" w:type="dxa"/>
            <w:bottom w:w="0" w:type="dxa"/>
          </w:tblCellMar>
        </w:tblPrEx>
        <w:tc>
          <w:tcPr>
            <w:tcW w:w="4680" w:type="dxa"/>
            <w:tcBorders>
              <w:top w:val="single" w:sz="1" w:space="0" w:color="AABBCC"/>
              <w:left w:val="single" w:sz="1" w:space="0" w:color="AABBCC"/>
              <w:bottom w:val="single" w:sz="1" w:space="0" w:color="AABBCC"/>
              <w:right w:val="single" w:sz="1" w:space="0" w:color="AABBCC"/>
            </w:tcBorders>
            <w:shd w:val="clear" w:color="auto" w:fill="1F3864"/>
            <w:tcMar>
              <w:top w:w="80" w:type="dxa"/>
              <w:left w:w="120" w:type="dxa"/>
              <w:bottom w:w="80" w:type="dxa"/>
              <w:right w:w="120" w:type="dxa"/>
            </w:tcMar>
          </w:tcPr>
          <w:p w14:paraId="48EB791E" w14:textId="77777777" w:rsidR="008B176B" w:rsidRDefault="009D00BC">
            <w:r>
              <w:rPr>
                <w:b/>
                <w:bCs/>
                <w:color w:val="FFFFFF"/>
                <w:sz w:val="20"/>
                <w:szCs w:val="20"/>
              </w:rPr>
              <w:t>REALISTIC ACHIEVABLE EFFECTS</w:t>
            </w:r>
          </w:p>
        </w:tc>
        <w:tc>
          <w:tcPr>
            <w:tcW w:w="4680" w:type="dxa"/>
            <w:tcBorders>
              <w:top w:val="single" w:sz="1" w:space="0" w:color="AABBCC"/>
              <w:left w:val="single" w:sz="1" w:space="0" w:color="AABBCC"/>
              <w:bottom w:val="single" w:sz="1" w:space="0" w:color="AABBCC"/>
              <w:right w:val="single" w:sz="1" w:space="0" w:color="AABBCC"/>
            </w:tcBorders>
            <w:shd w:val="clear" w:color="auto" w:fill="C00000"/>
            <w:tcMar>
              <w:top w:w="80" w:type="dxa"/>
              <w:left w:w="120" w:type="dxa"/>
              <w:bottom w:w="80" w:type="dxa"/>
              <w:right w:w="120" w:type="dxa"/>
            </w:tcMar>
          </w:tcPr>
          <w:p w14:paraId="0C924859" w14:textId="77777777" w:rsidR="008B176B" w:rsidRDefault="009D00BC">
            <w:r>
              <w:rPr>
                <w:b/>
                <w:bCs/>
                <w:color w:val="FFFFFF"/>
                <w:sz w:val="20"/>
                <w:szCs w:val="20"/>
              </w:rPr>
              <w:t>OUTCOMES NOT GUARANTEED</w:t>
            </w:r>
          </w:p>
        </w:tc>
      </w:tr>
      <w:tr w:rsidR="008B176B" w14:paraId="188F59EE" w14:textId="77777777">
        <w:tblPrEx>
          <w:tblCellMar>
            <w:top w:w="0" w:type="dxa"/>
            <w:bottom w:w="0" w:type="dxa"/>
          </w:tblCellMar>
        </w:tblPrEx>
        <w:tc>
          <w:tcPr>
            <w:tcW w:w="4680" w:type="dxa"/>
            <w:tcBorders>
              <w:top w:val="single" w:sz="1" w:space="0" w:color="AABBCC"/>
              <w:left w:val="single" w:sz="1" w:space="0" w:color="AABBCC"/>
              <w:bottom w:val="single" w:sz="1" w:space="0" w:color="AABBCC"/>
              <w:right w:val="single" w:sz="1" w:space="0" w:color="AABBCC"/>
            </w:tcBorders>
            <w:shd w:val="clear" w:color="auto" w:fill="EEF6EE"/>
            <w:tcMar>
              <w:top w:w="120" w:type="dxa"/>
              <w:left w:w="160" w:type="dxa"/>
              <w:bottom w:w="120" w:type="dxa"/>
              <w:right w:w="160" w:type="dxa"/>
            </w:tcMar>
          </w:tcPr>
          <w:p w14:paraId="654D5723" w14:textId="77777777" w:rsidR="008B176B" w:rsidRDefault="009D00BC">
            <w:pPr>
              <w:spacing w:before="40" w:after="80"/>
            </w:pPr>
            <w:r>
              <w:rPr>
                <w:b/>
                <w:bCs/>
              </w:rPr>
              <w:t>Raise cost of facilitation</w:t>
            </w:r>
          </w:p>
          <w:p w14:paraId="6314D9B1" w14:textId="77777777" w:rsidR="008B176B" w:rsidRDefault="009D00BC">
            <w:pPr>
              <w:spacing w:after="80"/>
              <w:ind w:left="240"/>
            </w:pPr>
            <w:r>
              <w:rPr>
                <w:sz w:val="21"/>
                <w:szCs w:val="21"/>
              </w:rPr>
              <w:t>Sustained designation pressure, Section 311 PMLC actions, and § 981(k) seizure credibly raise the transaction-cost premium for shadow payment rails and compliance-adjacent maritime services. The 2024-2026 OFAC shadow-fleet advisory series produced documented premium increases in the P&amp;I Club market for Iran-linked tanker operations. Effect is real; magnitude is variable by network segment.</w:t>
            </w:r>
          </w:p>
          <w:p w14:paraId="31F03E6F" w14:textId="77777777" w:rsidR="008B176B" w:rsidRDefault="009D00BC">
            <w:pPr>
              <w:spacing w:before="40" w:after="80"/>
            </w:pPr>
            <w:r>
              <w:rPr>
                <w:b/>
                <w:bCs/>
              </w:rPr>
              <w:t>Increase transaction latency</w:t>
            </w:r>
          </w:p>
          <w:p w14:paraId="6897E7B6" w14:textId="77777777" w:rsidR="008B176B" w:rsidRDefault="009D00BC">
            <w:pPr>
              <w:spacing w:after="80"/>
              <w:ind w:left="240"/>
            </w:pPr>
            <w:r>
              <w:rPr>
                <w:sz w:val="21"/>
                <w:szCs w:val="21"/>
              </w:rPr>
              <w:t>Financial designation and export-control denial increase the time required to complete enabling transactions — finding new intermediaries, establishing new correspondent channels, sourcing alternative procurement routes. Latency is a durable effect even when the network ultimately adapts, because it increases operational planning horizons for sanctioned-state actors.</w:t>
            </w:r>
          </w:p>
          <w:p w14:paraId="26A12495" w14:textId="77777777" w:rsidR="008B176B" w:rsidRDefault="009D00BC">
            <w:pPr>
              <w:spacing w:before="40" w:after="80"/>
            </w:pPr>
            <w:r>
              <w:rPr>
                <w:b/>
                <w:bCs/>
              </w:rPr>
              <w:t>Force rerouting and increase operational complexity</w:t>
            </w:r>
          </w:p>
          <w:p w14:paraId="0F053E73" w14:textId="77777777" w:rsidR="008B176B" w:rsidRDefault="009D00BC">
            <w:pPr>
              <w:spacing w:after="80"/>
              <w:ind w:left="240"/>
            </w:pPr>
            <w:r>
              <w:rPr>
                <w:sz w:val="21"/>
                <w:szCs w:val="21"/>
              </w:rPr>
              <w:t>Effective maritime and financial pressure forces sanctioned-state actors to use longer, more expensive, and less reliable routing. Each added intermediary increases exposure and costs. Commercial maritime analytics (</w:t>
            </w:r>
            <w:proofErr w:type="spellStart"/>
            <w:r>
              <w:rPr>
                <w:sz w:val="21"/>
                <w:szCs w:val="21"/>
              </w:rPr>
              <w:t>Kpler</w:t>
            </w:r>
            <w:proofErr w:type="spellEnd"/>
            <w:r>
              <w:rPr>
                <w:sz w:val="21"/>
                <w:szCs w:val="21"/>
              </w:rPr>
              <w:t xml:space="preserve">, </w:t>
            </w:r>
            <w:proofErr w:type="spellStart"/>
            <w:r>
              <w:rPr>
                <w:sz w:val="21"/>
                <w:szCs w:val="21"/>
              </w:rPr>
              <w:t>Vortexa</w:t>
            </w:r>
            <w:proofErr w:type="spellEnd"/>
            <w:r>
              <w:rPr>
                <w:sz w:val="21"/>
                <w:szCs w:val="21"/>
              </w:rPr>
              <w:t>; 2024-2026 reporting period) indicate Iran's crude export routes involve materially more vessel handoffs and registry cycles than pre-2018 baseline — a measurable operational complexity increase documented across multiple commercial intelligence providers, even where total export volume has partially recovered. Specific multiplier estimates vary by source and carry moderate confidence; they should be treated as directional indicators rather than precise measurements.</w:t>
            </w:r>
          </w:p>
          <w:p w14:paraId="57397ED8" w14:textId="77777777" w:rsidR="008B176B" w:rsidRDefault="009D00BC">
            <w:pPr>
              <w:spacing w:before="40" w:after="80"/>
            </w:pPr>
            <w:r>
              <w:rPr>
                <w:b/>
                <w:bCs/>
              </w:rPr>
              <w:t>Increase insurance and compliance friction</w:t>
            </w:r>
          </w:p>
          <w:p w14:paraId="53C3FFBB" w14:textId="77777777" w:rsidR="008B176B" w:rsidRDefault="009D00BC">
            <w:pPr>
              <w:spacing w:after="80"/>
              <w:ind w:left="240"/>
            </w:pPr>
            <w:r>
              <w:rPr>
                <w:sz w:val="21"/>
                <w:szCs w:val="21"/>
              </w:rPr>
              <w:t>Coordinated OFAC/OFSI Lloyd's market advisory guidance imposes insurance costs that compound with operational complexity. P&amp;I coverage withdrawal for designated vessels creates port-access barriers that cannot be resolved without compliance action.</w:t>
            </w:r>
          </w:p>
          <w:p w14:paraId="21368BEB" w14:textId="77777777" w:rsidR="008B176B" w:rsidRDefault="009D00BC">
            <w:pPr>
              <w:spacing w:before="40" w:after="80"/>
            </w:pPr>
            <w:r>
              <w:rPr>
                <w:b/>
                <w:bCs/>
              </w:rPr>
              <w:t>Degrade access to dual-use inputs</w:t>
            </w:r>
          </w:p>
          <w:p w14:paraId="44A267D3" w14:textId="77777777" w:rsidR="008B176B" w:rsidRDefault="009D00BC">
            <w:pPr>
              <w:spacing w:after="80"/>
              <w:ind w:left="240"/>
            </w:pPr>
            <w:r>
              <w:rPr>
                <w:sz w:val="21"/>
                <w:szCs w:val="21"/>
              </w:rPr>
              <w:t>Coordinated BIS Entity List actions, FDPR application, and INKSNA determinations can meaningfully delay access to precision manufacturing equipment, advanced electronics, and specialized components. The denial window buys time for allied technological advantage investment even where it does not permanently close the procurement pathway.</w:t>
            </w:r>
          </w:p>
          <w:p w14:paraId="2575DEFF" w14:textId="77777777" w:rsidR="008B176B" w:rsidRDefault="009D00BC">
            <w:pPr>
              <w:spacing w:before="40" w:after="80"/>
            </w:pPr>
            <w:r>
              <w:rPr>
                <w:b/>
                <w:bCs/>
              </w:rPr>
              <w:t>Narrow margins for shadow maritime trade</w:t>
            </w:r>
          </w:p>
          <w:p w14:paraId="35F8B235" w14:textId="77777777" w:rsidR="008B176B" w:rsidRDefault="009D00BC">
            <w:pPr>
              <w:spacing w:after="80"/>
              <w:ind w:left="240"/>
            </w:pPr>
            <w:r>
              <w:rPr>
                <w:sz w:val="21"/>
                <w:szCs w:val="21"/>
              </w:rPr>
              <w:t>Shadow-fleet operations depend on sufficient price discount to compensate for risk. As compliance friction increases, the discount required to attract vessel operators increases, compressing the price at which sanctioned-origin crude clears and reducing seller net revenue even where volume is maintained.</w:t>
            </w:r>
          </w:p>
          <w:p w14:paraId="20D95F5E" w14:textId="77777777" w:rsidR="008B176B" w:rsidRDefault="009D00BC">
            <w:pPr>
              <w:spacing w:before="40" w:after="80"/>
            </w:pPr>
            <w:r>
              <w:rPr>
                <w:b/>
                <w:bCs/>
              </w:rPr>
              <w:t>Increase coalition leverage over third-country actors</w:t>
            </w:r>
          </w:p>
          <w:p w14:paraId="4E2C50E5" w14:textId="77777777" w:rsidR="008B176B" w:rsidRDefault="009D00BC">
            <w:pPr>
              <w:spacing w:after="80"/>
              <w:ind w:left="240"/>
            </w:pPr>
            <w:r>
              <w:rPr>
                <w:sz w:val="21"/>
                <w:szCs w:val="21"/>
              </w:rPr>
              <w:t>Coordinated enforcement creates compliance incentives for third-country intermediaries that unilateral enforcement cannot generate. When U.S., UK, EU, and Five Eyes enforcement is synchronized, the cost-benefit calculation for Enablement-tier actors shifts — the risk is no longer manageable through jurisdiction arbitrage.</w:t>
            </w:r>
          </w:p>
        </w:tc>
        <w:tc>
          <w:tcPr>
            <w:tcW w:w="4680" w:type="dxa"/>
            <w:tcBorders>
              <w:top w:val="single" w:sz="1" w:space="0" w:color="AABBCC"/>
              <w:left w:val="single" w:sz="1" w:space="0" w:color="AABBCC"/>
              <w:bottom w:val="single" w:sz="1" w:space="0" w:color="AABBCC"/>
              <w:right w:val="single" w:sz="1" w:space="0" w:color="AABBCC"/>
            </w:tcBorders>
            <w:shd w:val="clear" w:color="auto" w:fill="FEF2F2"/>
            <w:tcMar>
              <w:top w:w="120" w:type="dxa"/>
              <w:left w:w="160" w:type="dxa"/>
              <w:bottom w:w="120" w:type="dxa"/>
              <w:right w:w="160" w:type="dxa"/>
            </w:tcMar>
          </w:tcPr>
          <w:p w14:paraId="1528406E" w14:textId="77777777" w:rsidR="008B176B" w:rsidRDefault="009D00BC">
            <w:pPr>
              <w:spacing w:before="40" w:after="80"/>
            </w:pPr>
            <w:r>
              <w:rPr>
                <w:b/>
                <w:bCs/>
              </w:rPr>
              <w:t>Immediate collapse of target networks</w:t>
            </w:r>
          </w:p>
          <w:p w14:paraId="443C6A44" w14:textId="77777777" w:rsidR="008B176B" w:rsidRDefault="009D00BC">
            <w:pPr>
              <w:spacing w:after="80"/>
              <w:ind w:left="240"/>
            </w:pPr>
            <w:r>
              <w:rPr>
                <w:sz w:val="21"/>
                <w:szCs w:val="21"/>
              </w:rPr>
              <w:t>Sophisticated enabling networks have invested in resilience, redundancy, and jurisdictional diversification specifically because they have observed prior enforcement cycles. Collapse-speed expectations that informed early maximum-pressure analysis (2018-2019) are not supported by the 2020-2026 enforcement record. Network disruption and reliability degradation are achievable; network collapse is not a planning baseline.</w:t>
            </w:r>
          </w:p>
          <w:p w14:paraId="5CC59648" w14:textId="77777777" w:rsidR="008B176B" w:rsidRDefault="009D00BC">
            <w:pPr>
              <w:spacing w:before="40" w:after="80"/>
            </w:pPr>
            <w:r>
              <w:rPr>
                <w:b/>
                <w:bCs/>
              </w:rPr>
              <w:t>Total cutoff of PRC-linked market absorption</w:t>
            </w:r>
          </w:p>
          <w:p w14:paraId="2323315C" w14:textId="77777777" w:rsidR="008B176B" w:rsidRDefault="009D00BC">
            <w:pPr>
              <w:spacing w:after="80"/>
              <w:ind w:left="240"/>
            </w:pPr>
            <w:r>
              <w:rPr>
                <w:sz w:val="21"/>
                <w:szCs w:val="21"/>
              </w:rPr>
              <w:t>PRC sovereign energy-security interests in discounted Iranian crude operate at the state level and will not be eliminated by enforcement actions directed at commercial intermediaries. The realistic target is the Enablement tier — the commercial actors who provide concealment and logistics services — not the underlying PRC state interest in energy-price management.</w:t>
            </w:r>
          </w:p>
          <w:p w14:paraId="18294ACD" w14:textId="77777777" w:rsidR="008B176B" w:rsidRDefault="009D00BC">
            <w:pPr>
              <w:spacing w:before="40" w:after="80"/>
            </w:pPr>
            <w:r>
              <w:rPr>
                <w:b/>
                <w:bCs/>
              </w:rPr>
              <w:t>Permanent exclusion of sanctioned-origin crude from PRC-adjacent ecosystems</w:t>
            </w:r>
          </w:p>
          <w:p w14:paraId="03274CAE" w14:textId="77777777" w:rsidR="008B176B" w:rsidRDefault="009D00BC">
            <w:pPr>
              <w:spacing w:after="80"/>
              <w:ind w:left="240"/>
            </w:pPr>
            <w:r>
              <w:rPr>
                <w:sz w:val="21"/>
                <w:szCs w:val="21"/>
              </w:rPr>
              <w:t>Market absorption dynamics — not just enforcement posture — govern sanctioned-origin crude flows. Price differentials that sustain shadow-fleet economics will persist as long as conventional market access is unavailable to sellers and cost-conscious buyers exist. Enforcement can raise the discount required, compress seller net revenue, and increase operational complexity; it cannot eliminate the market incentive.</w:t>
            </w:r>
          </w:p>
          <w:p w14:paraId="15B55727" w14:textId="77777777" w:rsidR="008B176B" w:rsidRDefault="009D00BC">
            <w:pPr>
              <w:spacing w:before="40" w:after="80"/>
            </w:pPr>
            <w:r>
              <w:rPr>
                <w:b/>
                <w:bCs/>
              </w:rPr>
              <w:t>One-for-one causal linkage between any single action and any strategic behavior change</w:t>
            </w:r>
          </w:p>
          <w:p w14:paraId="68DD1F87" w14:textId="77777777" w:rsidR="008B176B" w:rsidRDefault="009D00BC">
            <w:pPr>
              <w:spacing w:after="80"/>
              <w:ind w:left="240"/>
            </w:pPr>
            <w:r>
              <w:rPr>
                <w:sz w:val="21"/>
                <w:szCs w:val="21"/>
              </w:rPr>
              <w:t xml:space="preserve">Sanctioned-state strategic calculations involve multiple variables beyond economic pressure — domestic political considerations, nuclear-program timeline logic, alliance-value calculations, and threat perception of U.S. military posture. Economic pressure is one input into those calculations. It cannot be modeled as a deterministic lever that produces predictable strategic outputs. Assessments that claim direct behavioral causation from specific enforcement actions are analytically overconfident and should </w:t>
            </w:r>
            <w:r>
              <w:rPr>
                <w:sz w:val="21"/>
                <w:szCs w:val="21"/>
              </w:rPr>
              <w:t>be treated accordingly.</w:t>
            </w:r>
          </w:p>
          <w:p w14:paraId="060F5CE8" w14:textId="77777777" w:rsidR="008B176B" w:rsidRDefault="009D00BC">
            <w:pPr>
              <w:spacing w:before="40" w:after="80"/>
            </w:pPr>
            <w:r>
              <w:rPr>
                <w:b/>
                <w:bCs/>
              </w:rPr>
              <w:t>Durable effectiveness without coalition maintenance</w:t>
            </w:r>
          </w:p>
          <w:p w14:paraId="166BE21D" w14:textId="77777777" w:rsidR="008B176B" w:rsidRDefault="009D00BC">
            <w:pPr>
              <w:spacing w:after="80"/>
              <w:ind w:left="240"/>
            </w:pPr>
            <w:r>
              <w:rPr>
                <w:sz w:val="21"/>
                <w:szCs w:val="21"/>
              </w:rPr>
              <w:t>No enforcement architecture in this paper is durable without sustained coalition participation. Actions that produce measurable effects in Year 1 without coalition maintenance typically produce network adaptation in Year 2 and enforcement normalization by Year 3. Coalition endurance is not an optional feature — it is the architecture's operating condition.</w:t>
            </w:r>
          </w:p>
          <w:p w14:paraId="43CE1DFE" w14:textId="77777777" w:rsidR="008B176B" w:rsidRDefault="009D00BC">
            <w:pPr>
              <w:spacing w:before="40" w:after="80"/>
            </w:pPr>
            <w:r>
              <w:rPr>
                <w:b/>
                <w:bCs/>
              </w:rPr>
              <w:t>Behavioral change from designation alone without published off-ramp</w:t>
            </w:r>
          </w:p>
          <w:p w14:paraId="55618099" w14:textId="77777777" w:rsidR="008B176B" w:rsidRDefault="009D00BC">
            <w:pPr>
              <w:spacing w:after="80"/>
              <w:ind w:left="240"/>
            </w:pPr>
            <w:r>
              <w:rPr>
                <w:sz w:val="21"/>
                <w:szCs w:val="21"/>
              </w:rPr>
              <w:t>Pressure without a specific, verifiable, pre-committed off-ramp is punishment — it produces entrenchment, not compliance. Every designation and enforcement action in this architecture should be accompanied by a published statement of what verified conduct change would support suspension or reversal. The off-ramp is not weakness; it is what makes the pressure credible as deterrence.</w:t>
            </w:r>
          </w:p>
        </w:tc>
      </w:tr>
    </w:tbl>
    <w:p w14:paraId="4E79CBF6" w14:textId="77777777" w:rsidR="008B176B" w:rsidRDefault="008B176B">
      <w:pPr>
        <w:spacing w:before="40" w:after="40"/>
      </w:pPr>
    </w:p>
    <w:p w14:paraId="319287AA" w14:textId="77777777" w:rsidR="008B176B" w:rsidRDefault="009D00BC">
      <w:r>
        <w:br w:type="page"/>
      </w:r>
    </w:p>
    <w:p w14:paraId="5D6B62CB" w14:textId="77777777" w:rsidR="008B176B" w:rsidRDefault="009D00BC">
      <w:pPr>
        <w:pStyle w:val="Heading1"/>
      </w:pPr>
      <w:r>
        <w:t>SECTION VI — RISKS, LEGAL LIMITS, AND OFF-RAMPS</w:t>
      </w:r>
    </w:p>
    <w:p w14:paraId="7BB9DE02" w14:textId="77777777" w:rsidR="008B176B" w:rsidRDefault="009D00BC">
      <w:pPr>
        <w:spacing w:before="80" w:after="80"/>
      </w:pPr>
      <w:r>
        <w:t>This section is the paper's maturity test. A pressure architecture that cannot articulate its failure modes, legal constraints, and off-ramp conditions is not a durable architecture — it is a rhetorical posture. Each subsection identifies a specific risk category, states how the architecture addresses it, and identifies the residual risk that the architecture does not fully resolve.</w:t>
      </w:r>
    </w:p>
    <w:p w14:paraId="2486F1E2" w14:textId="77777777" w:rsidR="008B176B" w:rsidRDefault="009D00BC">
      <w:pPr>
        <w:pStyle w:val="Heading2"/>
      </w:pPr>
      <w:r>
        <w:t>VI.1  Overreach Risk</w:t>
      </w:r>
    </w:p>
    <w:p w14:paraId="67FA2804" w14:textId="77777777" w:rsidR="008B176B" w:rsidRDefault="009D00BC">
      <w:pPr>
        <w:spacing w:before="80" w:after="80"/>
      </w:pPr>
      <w:r>
        <w:t>Risk: Designation and enforcement actions based on insufficient evidentiary foundation, nationality-based targeting, or political animus generate adverse APA precedent, discredit future legitimate actions, and fracture coalition participation by signaling that enforcement is arbitrary rather than evidence-based.</w:t>
      </w:r>
    </w:p>
    <w:p w14:paraId="02DE1525" w14:textId="77777777" w:rsidR="008B176B" w:rsidRDefault="009D00BC">
      <w:pPr>
        <w:spacing w:before="80" w:after="80"/>
      </w:pPr>
      <w:r>
        <w:t>Architecture response: The neutral designation-selection rule (from PERSIST, WP-2026-PERSIST-01) and the Five-Rung Nexus evidentiary framework (from CSE-01) are the primary defenses. Every designation is preceded by a documented evidentiary record, a prohibited-factor confirmation, and a selection-log entry. Enforcement actions without documented nexus to enabling conduct — rather than to nationality or political position — fail the architecture's predicate requirements and are not authorized.</w:t>
      </w:r>
    </w:p>
    <w:p w14:paraId="1CDDF14E" w14:textId="77777777" w:rsidR="008B176B" w:rsidRDefault="009D00BC">
      <w:pPr>
        <w:spacing w:before="80" w:after="80"/>
      </w:pPr>
      <w:r>
        <w:t>Residual risk: Pressure to act on credible signal rather than confirmed attribution will be greatest at precisely the moment political cost of inaction is highest — crisis conditions. The guardrail-index architecture and the readiness-posture approach (pre-staged packages at confirmed-attribution standard) are specifically designed to reduce the pressure to bypass evidentiary requirements under crisis conditions. These mechanisms are only effective if they are maintained before the crisis, not improvised du</w:t>
      </w:r>
      <w:r>
        <w:t>ring it.</w:t>
      </w:r>
    </w:p>
    <w:p w14:paraId="097EEE0C" w14:textId="77777777" w:rsidR="008B176B" w:rsidRDefault="009D00BC">
      <w:pPr>
        <w:pStyle w:val="Heading2"/>
      </w:pPr>
      <w:r>
        <w:t>VI.2  Coalition Fatigue</w:t>
      </w:r>
    </w:p>
    <w:p w14:paraId="657EE905" w14:textId="77777777" w:rsidR="008B176B" w:rsidRDefault="009D00BC">
      <w:pPr>
        <w:spacing w:before="80" w:after="80"/>
      </w:pPr>
      <w:r>
        <w:t>Risk: Sustained multi-year pressure campaigns produce coalition-endurance degradation as allied governments face domestic political costs, commercial exposure, and competing foreign-policy priorities. Coalition divergence undermines the substitution-control logic that makes coordinated enforcement more effective than unilateral action.</w:t>
      </w:r>
    </w:p>
    <w:p w14:paraId="50BE5A87" w14:textId="77777777" w:rsidR="008B176B" w:rsidRDefault="009D00BC">
      <w:pPr>
        <w:spacing w:before="80" w:after="80"/>
      </w:pPr>
      <w:r>
        <w:t>Architecture response: The CONTAIN (WP-2026-CONTAIN-01) coalition-endurance architecture provides the operational framework: compliance must provide predictable commercial benefit; remediation pathways must be structured, transparent, and credible; enforcement communications should emphasize corrective compliance. Fast-track General License review for demonstrably compliant firms. State technical assistance to third-country FIUs. The DEEI downshift protocol (auto-downshift when coalition-divergence indicato</w:t>
      </w:r>
      <w:r>
        <w:t>rs breach threshold) prevents escalation from exceeding coalition tolerance.</w:t>
      </w:r>
    </w:p>
    <w:p w14:paraId="31A3D498" w14:textId="77777777" w:rsidR="008B176B" w:rsidRDefault="009D00BC">
      <w:pPr>
        <w:spacing w:before="80" w:after="80"/>
      </w:pPr>
      <w:r>
        <w:t>Residual risk: The live contradiction between technology-denial coordination requirements and simultaneous trade friction with the same partners is unresolved and unresolvable within this paper's scope. An architecture that maintains this contradiction without acknowledging and addressing it will produce nominal allied compliance and actual defection at the moment of greatest pressure.</w:t>
      </w:r>
    </w:p>
    <w:p w14:paraId="751FA61B" w14:textId="77777777" w:rsidR="008B176B" w:rsidRDefault="009D00BC">
      <w:pPr>
        <w:pStyle w:val="Heading2"/>
      </w:pPr>
      <w:r>
        <w:t>VI.3  Supply-Chain Blowback</w:t>
      </w:r>
    </w:p>
    <w:p w14:paraId="5A34404F" w14:textId="77777777" w:rsidR="008B176B" w:rsidRDefault="009D00BC">
      <w:pPr>
        <w:spacing w:before="80" w:after="80"/>
      </w:pPr>
      <w:r>
        <w:t>Risk: Strategic-dependency tariffs and export controls designed to deny controlled technology to sanctioned-network actors impose costs on U.S. downstream industries, allied manufacturing supply chains, and critical-input markets before domestic or allied alternatives are available at scale.</w:t>
      </w:r>
    </w:p>
    <w:p w14:paraId="2194031F" w14:textId="77777777" w:rsidR="008B176B" w:rsidRDefault="009D00BC">
      <w:pPr>
        <w:spacing w:before="80" w:after="80"/>
      </w:pPr>
      <w:r>
        <w:t>Architecture response: TARIFF-01 guardrail Indicator D (supply-chain interruption index) monitors downstream disruption and triggers presumptive pause when documented shortage or price spike exceeds threshold. The sequencing rule that treats domestic resilience investment as a co-equal instrument — not a downstream result of pressure — is the primary structural response. Tariff and export-control measures that cannot be sustained without self-injury fail the architecture's design test before imposition.</w:t>
      </w:r>
    </w:p>
    <w:p w14:paraId="46488FBB" w14:textId="77777777" w:rsidR="008B176B" w:rsidRDefault="009D00BC">
      <w:pPr>
        <w:spacing w:before="80" w:after="80"/>
      </w:pPr>
      <w:r>
        <w:t>Residual risk: Rare-earth export restriction from PRC — the most asymmetrically potent countermeasure available — operates faster than any guardrail review cycle and with greater domestic impact than any tariff measure. Strategic reserve and allied diversification investment is materially insufficient as of this paper's writing. This gap must be acknowledged and funded before Tier 2+ escalation.</w:t>
      </w:r>
    </w:p>
    <w:p w14:paraId="68BEE01C" w14:textId="77777777" w:rsidR="008B176B" w:rsidRDefault="009D00BC">
      <w:pPr>
        <w:pStyle w:val="Heading2"/>
      </w:pPr>
      <w:r>
        <w:t>VI.4  Macroeconomic Spillover</w:t>
      </w:r>
    </w:p>
    <w:p w14:paraId="7DA87094" w14:textId="77777777" w:rsidR="008B176B" w:rsidRDefault="009D00BC">
      <w:pPr>
        <w:spacing w:before="80" w:after="80"/>
      </w:pPr>
      <w:r>
        <w:t>Risk: Financial pressure — particularly § 311 PMLC designations and secondary sanctions against significant financial institutions — can produce dollar-reserve-share decline, CIPS adoption acceleration, and alternative-settlement-rail normalization that reduce U.S. monetary leverage over the medium term, even where individual actions are legally and operationally effective.</w:t>
      </w:r>
    </w:p>
    <w:p w14:paraId="41F3D8DF" w14:textId="77777777" w:rsidR="008B176B" w:rsidRDefault="009D00BC">
      <w:pPr>
        <w:spacing w:before="80" w:after="80"/>
      </w:pPr>
      <w:r>
        <w:t>Architecture response: The DEEI guardrail index (CONTAIN-01) monitors dollar-reserve-share trajectory, non-USD settlement share, and CIPS/SPFS adoption growth. Auto-downshift when two or more indicators breach threshold in a single quarter. The distinction between actions that target conduct-specific intermediaries and actions that impose broad financial pressure at sovereign level is the primary structural safeguard — the former has lower systemic risk than the latter.</w:t>
      </w:r>
    </w:p>
    <w:p w14:paraId="42D3CDA3" w14:textId="77777777" w:rsidR="008B176B" w:rsidRDefault="009D00BC">
      <w:pPr>
        <w:spacing w:before="80" w:after="80"/>
      </w:pPr>
      <w:r>
        <w:t>Residual risk: The speed at which alternative financial infrastructure normalizes is faster than the speed at which enforcement produces behavioral change in target states. This asymmetry means that sustained, indiscriminate financial pressure accelerates the structural erosion it is designed to exploit. The conduct-based targeting discipline in this architecture is not just a legal requirement — it is the strategic mechanism that preserves U.S. monetary leverage over time.</w:t>
      </w:r>
    </w:p>
    <w:p w14:paraId="5284ABE6" w14:textId="77777777" w:rsidR="008B176B" w:rsidRDefault="009D00BC">
      <w:pPr>
        <w:pStyle w:val="Heading2"/>
      </w:pPr>
      <w:r>
        <w:t>VI.5  Litigation Vulnerability</w:t>
      </w:r>
    </w:p>
    <w:p w14:paraId="46C36D8C" w14:textId="77777777" w:rsidR="008B176B" w:rsidRDefault="009D00BC">
      <w:pPr>
        <w:spacing w:before="80" w:after="80"/>
      </w:pPr>
      <w:r>
        <w:t>Risk: Designations made on credible signal alone, without documented evidentiary basis, are subject to APA arbitrary-and-capricious challenge. Adverse judicial precedent from overturned designations constrains future legitimate enforcement. Courts that review administrative records and find neutral methodology and documented evidentiary basis sustain designations. Courts that find no record enjoin them.</w:t>
      </w:r>
    </w:p>
    <w:p w14:paraId="524E6947" w14:textId="77777777" w:rsidR="008B176B" w:rsidRDefault="009D00BC">
      <w:pPr>
        <w:spacing w:before="80" w:after="80"/>
      </w:pPr>
      <w:r>
        <w:t>Architecture response: The designation-selection log, the standards-of-proof framework, and the model record artifacts from PERSIST (WP-2026-PERSIST-01) provide the administrative-record architecture that makes designations litigation-resistant. Records must be contemporaneous — reconstructed records do not survive discovery. The framework's voluntary standard (confirmed attribution rather than reasonable cause to believe) exceeds the statutory minimum and produces records more resistant to reversal.</w:t>
      </w:r>
    </w:p>
    <w:p w14:paraId="2529A555" w14:textId="77777777" w:rsidR="008B176B" w:rsidRDefault="009D00BC">
      <w:pPr>
        <w:spacing w:before="80" w:after="80"/>
      </w:pPr>
      <w:r>
        <w:t>Residual risk: The IEEPA nexus requirement — requiring documented nexus between designated conduct and the declared national emergency — is the most significant hard structural limit on OFAC designation authority. Designations that cannot document this nexus are subject to reversal, and adverse precedent generated by overturned designations weakens future legitimate programs. This is not a theoretical risk. The recent litigation record includes multiple cases in which OFAC designations faced APA arbitrary-a</w:t>
      </w:r>
      <w:r>
        <w:t>nd-capricious challenge on IEEPA nexus grounds; readers should consult current DOJ/OLC guidance and the most recent judicial decisions for the current state of IEEPA nexus doctrine.</w:t>
      </w:r>
    </w:p>
    <w:p w14:paraId="49B86DDE" w14:textId="77777777" w:rsidR="008B176B" w:rsidRDefault="009D00BC">
      <w:pPr>
        <w:pStyle w:val="Heading2"/>
      </w:pPr>
      <w:r>
        <w:t>VI.6  Humanitarian Carve-Outs</w:t>
      </w:r>
    </w:p>
    <w:p w14:paraId="435BBC22" w14:textId="77777777" w:rsidR="008B176B" w:rsidRDefault="009D00BC">
      <w:pPr>
        <w:spacing w:before="80" w:after="80"/>
      </w:pPr>
      <w:r>
        <w:t>Risk: Enforcement architecture that inadequately protects legitimate humanitarian flows generates civilian harm, diplomatic pressure from UN bodies and allied governments, and narrative advantage for sanctioned states that can credibly claim their populations are being targeted.</w:t>
      </w:r>
    </w:p>
    <w:p w14:paraId="314D4011" w14:textId="77777777" w:rsidR="008B176B" w:rsidRDefault="009D00BC">
      <w:pPr>
        <w:spacing w:before="80" w:after="80"/>
      </w:pPr>
      <w:r>
        <w:t>Architecture response: OFAC General Licenses for personal remittances, agricultural commodities, medical supplies, and humanitarian assistance must be maintained with 95%+ approval rates for licensed NGO humanitarian operations. Fast-track specific license review (10 business days maximum) for humanitarian transactions. Safe-harbor provisions for banks processing licensed humanitarian transactions. The targeting discipline throughout this paper — enabling networks, not civilian populations — is both a legal</w:t>
      </w:r>
      <w:r>
        <w:t xml:space="preserve"> requirement and an ethical constraint that this architecture treats as non-negotiable.</w:t>
      </w:r>
    </w:p>
    <w:p w14:paraId="7B9F8C3C" w14:textId="77777777" w:rsidR="008B176B" w:rsidRDefault="009D00BC">
      <w:pPr>
        <w:spacing w:before="80" w:after="80"/>
      </w:pPr>
      <w:r>
        <w:t>Residual risk: Compliance friction from over-broad enforcement posture — even without formal General License restriction — can chill legitimate humanitarian transactions by creating excessive compliance burden for NGOs and correspondent banks. Periodic review of humanitarian-flow impedance indicators is a required architecture element that is frequently deprioritized under enforcement intensity pressure.</w:t>
      </w:r>
    </w:p>
    <w:p w14:paraId="32D3E59D" w14:textId="77777777" w:rsidR="008B176B" w:rsidRDefault="009D00BC">
      <w:pPr>
        <w:pStyle w:val="Heading2"/>
      </w:pPr>
      <w:r>
        <w:t>VI.7  Strategic Convergence Risk</w:t>
      </w:r>
    </w:p>
    <w:p w14:paraId="061C8FA1" w14:textId="77777777" w:rsidR="008B176B" w:rsidRDefault="009D00BC">
      <w:pPr>
        <w:spacing w:before="80" w:after="80"/>
      </w:pPr>
      <w:r>
        <w:t>Risk: Sustained pressure on Iran, DPRK, Venezuela, and PRC-linked enabling networks simultaneously could accelerate strategic coordination among those actors — institutionalizing alternative financial infrastructure, alternative technology supply chains, and coordinated diplomatic counter-pressure — in ways that reduce the effectiveness of the toolkit over time.</w:t>
      </w:r>
    </w:p>
    <w:p w14:paraId="10BED3EE" w14:textId="77777777" w:rsidR="008B176B" w:rsidRDefault="009D00BC">
      <w:pPr>
        <w:spacing w:before="80" w:after="80"/>
      </w:pPr>
      <w:r>
        <w:t>Assessment [LOW CONFIDENCE]: Some degree of strategic coordination among sanctioned states is already observable — Iran-Russia military cooperation, DPRK-Russia arms transfers, Iran-PRC energy relationship institutionalization. Whether sustained U.S. pressure accelerates this coordination meaningfully above its current trajectory is not established by the open-source record. The risk exists but is frequently overstated as a reason to avoid enforcement rather than to calibrate it.</w:t>
      </w:r>
    </w:p>
    <w:p w14:paraId="03D50D08" w14:textId="77777777" w:rsidR="008B176B" w:rsidRDefault="009D00BC">
      <w:pPr>
        <w:spacing w:before="80" w:after="80"/>
      </w:pPr>
      <w:r>
        <w:t>Architecture response: Conduct-based targeting — directed at specific intermediaries and their enabling functions rather than at whole sectors or economies — is the primary structural response to convergence risk. Actions that impose broad economic pressure create incentives for strategic coordination; actions that impose targeted compliance pressure on specific actors do not generate the same unifying logic. The architecture's distinction between Enablement-tier targets and sovereign-economy targets is dir</w:t>
      </w:r>
      <w:r>
        <w:t>ectly relevant to convergence risk management.</w:t>
      </w:r>
    </w:p>
    <w:p w14:paraId="1F61AEE5" w14:textId="77777777" w:rsidR="008B176B" w:rsidRDefault="009D00BC">
      <w:pPr>
        <w:pStyle w:val="Heading2"/>
      </w:pPr>
      <w:r>
        <w:t>VI.8  Evidentiary Integrity, Delisting Logic, and Off-Ramps</w:t>
      </w:r>
    </w:p>
    <w:p w14:paraId="017F4982" w14:textId="77777777" w:rsidR="008B176B" w:rsidRDefault="009D00BC">
      <w:pPr>
        <w:spacing w:before="80" w:after="80"/>
      </w:pPr>
      <w:r>
        <w:t>Evidentiary integrity: The evidentiary gap between 'we believe this is occurring' and 'we can document this occurred' is the primary point of legal and political challenge in every enforcement action described in this paper. Closing that gap before action — not after challenge — is what distinguishes this architecture from postures that collapse under review. No action at Tier 2 or above may be initiated based on credible signal alone.</w:t>
      </w:r>
    </w:p>
    <w:p w14:paraId="0B33AA31" w14:textId="77777777" w:rsidR="008B176B" w:rsidRDefault="009D00BC">
      <w:pPr>
        <w:spacing w:before="80" w:after="80"/>
      </w:pPr>
      <w:r>
        <w:t>Delisting logic: Every designation in this architecture should include a documented off-ramp — a specific, verifiable statement of what conduct change by the designated entity would support delisting review. OFAC administrative reconsideration is available for SDN-designated entities; BIS removal requests are available for Entity List additions. The delisting pathway is not optional — it is what makes the designation credible as a pressure instrument rather than permanent punishment. Entities that have no v</w:t>
      </w:r>
      <w:r>
        <w:t>iable compliance pathway have no compliance incentive.</w:t>
      </w:r>
    </w:p>
    <w:p w14:paraId="5814C27D" w14:textId="77777777" w:rsidR="008B176B" w:rsidRDefault="009D00BC">
      <w:pPr>
        <w:spacing w:before="80" w:after="80"/>
      </w:pPr>
      <w:r>
        <w:t xml:space="preserve">Off-ramp criteria (published): Iran — verifiable cessation of uranium enrichment above 20% and IAEA safeguards access restoration. DPRK — verifiable cessation of WMD-relevant procurement with agreed monitoring access. Venezuela — documented cessation of sanctioned crude export arrangements and movement toward verifiable democratic governance metrics. PRC-linked enabling entities — documented cessation of the specific enabling conduct that supported the designation, with structured compliance monitoring for </w:t>
      </w:r>
      <w:r>
        <w:t>24 months post-delisting.</w:t>
      </w:r>
    </w:p>
    <w:p w14:paraId="2F760C97" w14:textId="77777777" w:rsidR="008B176B" w:rsidRDefault="009D00BC">
      <w:pPr>
        <w:spacing w:before="80" w:after="80"/>
      </w:pPr>
      <w:r>
        <w:t>Reversible measures: Section 311 PMLC designations are revocable by FinCEN upon documented compliance remediation. SDN designations are revocable through OFAC administrative review. Entity List additions are removable through BIS administrative review of removal request. Maritime advisories are revocable and are not permanent sanctions actions. Licensing conditions are modifiable through standard OFAC administrative process. No measure in this architecture is designed as permanent — reversibility is the mec</w:t>
      </w:r>
      <w:r>
        <w:t>hanism that makes pressure credible as deterrence.</w:t>
      </w:r>
    </w:p>
    <w:p w14:paraId="5ECDD08C" w14:textId="77777777" w:rsidR="008B176B" w:rsidRDefault="009D00BC">
      <w:r>
        <w:br w:type="page"/>
      </w:r>
    </w:p>
    <w:p w14:paraId="18C686F1" w14:textId="77777777" w:rsidR="008B176B" w:rsidRDefault="009D00BC">
      <w:pPr>
        <w:pStyle w:val="Heading1"/>
      </w:pPr>
      <w:r>
        <w:t>IMPLEMENTATION REALITY CHECK</w:t>
      </w:r>
    </w:p>
    <w:p w14:paraId="13339D9A" w14:textId="77777777" w:rsidR="008B176B" w:rsidRDefault="009D00BC">
      <w:pPr>
        <w:spacing w:before="80" w:after="80"/>
      </w:pPr>
      <w:r>
        <w:t>This section answers five practical questions about the toolkit's actual implementation constraints. It is intended for practitioners who need to quickly assess what is operationally available, what requires coalition support, what the evidentiary bar is, what the vulnerability profile is, and what cannot be done on public OSINT alone.</w:t>
      </w:r>
    </w:p>
    <w:p w14:paraId="3E31CC73" w14:textId="77777777" w:rsidR="008B176B" w:rsidRDefault="008B176B">
      <w:pPr>
        <w:spacing w:before="40" w:after="4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B176B" w14:paraId="223212F7" w14:textId="77777777">
        <w:tblPrEx>
          <w:tblCellMar>
            <w:top w:w="0" w:type="dxa"/>
            <w:bottom w:w="0" w:type="dxa"/>
          </w:tblCellMar>
        </w:tblPrEx>
        <w:tc>
          <w:tcPr>
            <w:tcW w:w="2400" w:type="dxa"/>
            <w:tcBorders>
              <w:top w:val="single" w:sz="1" w:space="0" w:color="AABBCC"/>
              <w:left w:val="single" w:sz="1" w:space="0" w:color="AABBCC"/>
              <w:bottom w:val="single" w:sz="1" w:space="0" w:color="AABBCC"/>
              <w:right w:val="single" w:sz="1" w:space="0" w:color="AABBCC"/>
            </w:tcBorders>
            <w:shd w:val="clear" w:color="auto" w:fill="1F3864"/>
            <w:tcMar>
              <w:top w:w="80" w:type="dxa"/>
              <w:left w:w="120" w:type="dxa"/>
              <w:bottom w:w="80" w:type="dxa"/>
              <w:right w:w="120" w:type="dxa"/>
            </w:tcMar>
          </w:tcPr>
          <w:p w14:paraId="177D37C3" w14:textId="77777777" w:rsidR="008B176B" w:rsidRDefault="009D00BC">
            <w:r>
              <w:rPr>
                <w:b/>
                <w:bCs/>
                <w:color w:val="FFFFFF"/>
                <w:sz w:val="20"/>
                <w:szCs w:val="20"/>
              </w:rPr>
              <w:t>Question</w:t>
            </w:r>
          </w:p>
        </w:tc>
        <w:tc>
          <w:tcPr>
            <w:tcW w:w="6960" w:type="dxa"/>
            <w:tcBorders>
              <w:top w:val="single" w:sz="1" w:space="0" w:color="AABBCC"/>
              <w:left w:val="single" w:sz="1" w:space="0" w:color="AABBCC"/>
              <w:bottom w:val="single" w:sz="1" w:space="0" w:color="AABBCC"/>
              <w:right w:val="single" w:sz="1" w:space="0" w:color="AABBCC"/>
            </w:tcBorders>
            <w:shd w:val="clear" w:color="auto" w:fill="1F3864"/>
            <w:tcMar>
              <w:top w:w="80" w:type="dxa"/>
              <w:left w:w="120" w:type="dxa"/>
              <w:bottom w:w="80" w:type="dxa"/>
              <w:right w:w="120" w:type="dxa"/>
            </w:tcMar>
          </w:tcPr>
          <w:p w14:paraId="39D10177" w14:textId="77777777" w:rsidR="008B176B" w:rsidRDefault="009D00BC">
            <w:r>
              <w:rPr>
                <w:b/>
                <w:bCs/>
                <w:color w:val="FFFFFF"/>
                <w:sz w:val="20"/>
                <w:szCs w:val="20"/>
              </w:rPr>
              <w:t>Assessment</w:t>
            </w:r>
          </w:p>
        </w:tc>
      </w:tr>
      <w:tr w:rsidR="008B176B" w14:paraId="14D85AAF" w14:textId="77777777">
        <w:tblPrEx>
          <w:tblCellMar>
            <w:top w:w="0" w:type="dxa"/>
            <w:bottom w:w="0" w:type="dxa"/>
          </w:tblCellMar>
        </w:tblPrEx>
        <w:tc>
          <w:tcPr>
            <w:tcW w:w="240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760E544F" w14:textId="77777777" w:rsidR="008B176B" w:rsidRDefault="009D00BC">
            <w:pPr>
              <w:spacing w:before="40" w:after="40"/>
            </w:pPr>
            <w:r>
              <w:rPr>
                <w:b/>
                <w:bCs/>
                <w:sz w:val="20"/>
                <w:szCs w:val="20"/>
              </w:rPr>
              <w:t>Which actions can be taken unilaterally?</w:t>
            </w:r>
          </w:p>
        </w:tc>
        <w:tc>
          <w:tcPr>
            <w:tcW w:w="69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EC55EF3" w14:textId="77777777" w:rsidR="008B176B" w:rsidRDefault="009D00BC">
            <w:pPr>
              <w:spacing w:before="40" w:after="40"/>
            </w:pPr>
            <w:r>
              <w:rPr>
                <w:sz w:val="20"/>
                <w:szCs w:val="20"/>
              </w:rPr>
              <w:t>OFAC SDN designations for Iran, DPRK, Cuba, and Venezuela program entities on documented evidentiary basis. BIS Entity List additions for documented diversion/military-end-use risk. INKSNA determinations for documented WMD-relevant transfers. CBP withhold-release orders for documented forced-labor goods. Section 311 PMLC designations for documented foreign financial institution risk. Maritime advisories on deceptive shipping practices. § 981(k) warrant applications through DOJ process. General License condi</w:t>
            </w:r>
            <w:r>
              <w:rPr>
                <w:sz w:val="20"/>
                <w:szCs w:val="20"/>
              </w:rPr>
              <w:t>tions modification through OFAC administrative process.</w:t>
            </w:r>
          </w:p>
        </w:tc>
      </w:tr>
      <w:tr w:rsidR="008B176B" w14:paraId="08A0346B" w14:textId="77777777">
        <w:tblPrEx>
          <w:tblCellMar>
            <w:top w:w="0" w:type="dxa"/>
            <w:bottom w:w="0" w:type="dxa"/>
          </w:tblCellMar>
        </w:tblPrEx>
        <w:tc>
          <w:tcPr>
            <w:tcW w:w="240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4B1BAD36" w14:textId="77777777" w:rsidR="008B176B" w:rsidRDefault="009D00BC">
            <w:pPr>
              <w:spacing w:before="40" w:after="40"/>
            </w:pPr>
            <w:r>
              <w:rPr>
                <w:b/>
                <w:bCs/>
                <w:sz w:val="20"/>
                <w:szCs w:val="20"/>
              </w:rPr>
              <w:t>Which are materially stronger with coalition participation?</w:t>
            </w:r>
          </w:p>
        </w:tc>
        <w:tc>
          <w:tcPr>
            <w:tcW w:w="69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FD0CEF3" w14:textId="77777777" w:rsidR="008B176B" w:rsidRDefault="009D00BC">
            <w:pPr>
              <w:spacing w:before="40" w:after="40"/>
            </w:pPr>
            <w:r>
              <w:rPr>
                <w:sz w:val="20"/>
                <w:szCs w:val="20"/>
              </w:rPr>
              <w:t xml:space="preserve">All of the above are materially stronger with coalition coordination, but the gap between unilateral and coordinated effectiveness is largest for: (1) Section 311 actions in hub jurisdictions (UAE, Turkey, Hong Kong) where evasion through allied financial systems is feasible without Five Eyes pre-brief; (2) BIS Entity List + FDPR where substitution through allied-country suppliers is feasible without allied control alignment; (3) Lloyd's/P&amp;I Club shadow-fleet advisory where U.S.-only guidance has not fully </w:t>
            </w:r>
            <w:r>
              <w:rPr>
                <w:sz w:val="20"/>
                <w:szCs w:val="20"/>
              </w:rPr>
              <w:t>closed the Lloyd's market; (4) secondary sanctions against third-country entities where allied non-action creates substitution pathways. Commercial enforcement analytics from 2024-2026 suggest coordinated EU/UK designation cycles reduce observable jurisdiction arbitrage relative to unilateral U.S. enforcement; specific magnitude estimates carry moderate confidence and should not be treated as predictive.</w:t>
            </w:r>
          </w:p>
        </w:tc>
      </w:tr>
      <w:tr w:rsidR="008B176B" w14:paraId="0A11255C" w14:textId="77777777">
        <w:tblPrEx>
          <w:tblCellMar>
            <w:top w:w="0" w:type="dxa"/>
            <w:bottom w:w="0" w:type="dxa"/>
          </w:tblCellMar>
        </w:tblPrEx>
        <w:tc>
          <w:tcPr>
            <w:tcW w:w="240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0507B52E" w14:textId="77777777" w:rsidR="008B176B" w:rsidRDefault="009D00BC">
            <w:pPr>
              <w:spacing w:before="40" w:after="40"/>
            </w:pPr>
            <w:r>
              <w:rPr>
                <w:b/>
                <w:bCs/>
                <w:sz w:val="20"/>
                <w:szCs w:val="20"/>
              </w:rPr>
              <w:t>Which require high evidentiary confidence?</w:t>
            </w:r>
          </w:p>
        </w:tc>
        <w:tc>
          <w:tcPr>
            <w:tcW w:w="69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3BE640E" w14:textId="77777777" w:rsidR="008B176B" w:rsidRDefault="009D00BC">
            <w:pPr>
              <w:spacing w:before="40" w:after="40"/>
            </w:pPr>
            <w:r>
              <w:rPr>
                <w:sz w:val="20"/>
                <w:szCs w:val="20"/>
              </w:rPr>
              <w:t>CISADA § 104 determinations against major PRC financial institutions (must survive judicial review and allied scrutiny simultaneously). NKSPEA designations of PRC-linked entities (high diplomatic sensitivity requires confirmed-attribution record, not credible signal). CAATSA § 231 actions against PRC entities with significant Russian defense-sector nexus (mandatory character requires determination-level record). SDN designations at Tier 2-3 of the Nexus escalation ladder (Material Enabling Behavior standard</w:t>
            </w:r>
            <w:r>
              <w:rPr>
                <w:sz w:val="20"/>
                <w:szCs w:val="20"/>
              </w:rPr>
              <w:t xml:space="preserve"> required as durability rule). INKSNA determinations require State Department positive finding of covered transfer — anecdotal or single-source reporting is insufficient. As a general rule: mandatory-sanctions authorities require stronger evidentiary records than discretionary authorities. Where the authority is mandatory upon a positive finding, the determination record bears the full weight of the action's legal durability — there is no subsequent discretionary layer that can absorb an evidentiary gap.</w:t>
            </w:r>
          </w:p>
        </w:tc>
      </w:tr>
      <w:tr w:rsidR="008B176B" w14:paraId="53B76B64" w14:textId="77777777">
        <w:tblPrEx>
          <w:tblCellMar>
            <w:top w:w="0" w:type="dxa"/>
            <w:bottom w:w="0" w:type="dxa"/>
          </w:tblCellMar>
        </w:tblPrEx>
        <w:tc>
          <w:tcPr>
            <w:tcW w:w="240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4ED2FDB5" w14:textId="77777777" w:rsidR="008B176B" w:rsidRDefault="009D00BC">
            <w:pPr>
              <w:spacing w:before="40" w:after="40"/>
            </w:pPr>
            <w:r>
              <w:rPr>
                <w:b/>
                <w:bCs/>
                <w:sz w:val="20"/>
                <w:szCs w:val="20"/>
              </w:rPr>
              <w:t>Which are vulnerable to litigation, diplomatic resistance, or market blowback?</w:t>
            </w:r>
          </w:p>
        </w:tc>
        <w:tc>
          <w:tcPr>
            <w:tcW w:w="69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F5BE6F1" w14:textId="77777777" w:rsidR="008B176B" w:rsidRDefault="009D00BC">
            <w:pPr>
              <w:spacing w:before="40" w:after="40"/>
            </w:pPr>
            <w:r>
              <w:rPr>
                <w:sz w:val="20"/>
                <w:szCs w:val="20"/>
              </w:rPr>
              <w:t>Litigation vulnerable: SDN designations without documented IEEPA nexus; Entity List additions without documented evidentiary basis; Section 311 actions without § 5318A(c) factor documentation. Diplomatically vulnerable: secondary sanctions on third-country entities without allied coordination; FDPR extraterritorial application beyond documented U.S.-origin-content predicates; CISADA actions against sovereign-adjacent PRC financial institutions without Principals-level coordination. Market blowback vulnerabl</w:t>
            </w:r>
            <w:r>
              <w:rPr>
                <w:sz w:val="20"/>
                <w:szCs w:val="20"/>
              </w:rPr>
              <w:t>e: broad § 311 actions affecting major correspondent hubs without General License carve-outs; tariff measures that combine with enforcement actions to create inflationary pass-through above TARIFF-01 guardrail thresholds; crypto-enforcement actions affecting U.S.-domiciled exchange operations without coordinated market preparation.</w:t>
            </w:r>
          </w:p>
        </w:tc>
      </w:tr>
      <w:tr w:rsidR="008B176B" w14:paraId="01F44033" w14:textId="77777777">
        <w:tblPrEx>
          <w:tblCellMar>
            <w:top w:w="0" w:type="dxa"/>
            <w:bottom w:w="0" w:type="dxa"/>
          </w:tblCellMar>
        </w:tblPrEx>
        <w:tc>
          <w:tcPr>
            <w:tcW w:w="240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3E9FABE0" w14:textId="77777777" w:rsidR="008B176B" w:rsidRDefault="009D00BC">
            <w:pPr>
              <w:spacing w:before="40" w:after="40"/>
            </w:pPr>
            <w:r>
              <w:rPr>
                <w:b/>
                <w:bCs/>
                <w:sz w:val="20"/>
                <w:szCs w:val="20"/>
              </w:rPr>
              <w:t>Which depend on data beyond public OSINT alone?</w:t>
            </w:r>
          </w:p>
        </w:tc>
        <w:tc>
          <w:tcPr>
            <w:tcW w:w="69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E919455" w14:textId="77777777" w:rsidR="008B176B" w:rsidRDefault="009D00BC">
            <w:pPr>
              <w:spacing w:before="40" w:after="40"/>
            </w:pPr>
            <w:r>
              <w:rPr>
                <w:sz w:val="20"/>
                <w:szCs w:val="20"/>
              </w:rPr>
              <w:t>Confirmed-attribution standard for Tier 2 institutional designations typically cannot be met on OSINT alone — classified financial intelligence (FINCEN-sourced SAR data, allied FIU reporting, NSA signals intelligence) is required for the independent-source corroboration requirement. NKSPEA dual-use technology transfer documentation requires intelligence community sourcing beyond commercial analytics. CAATSA § 231 Russian defense-sector nexus determination requires IC-sourced procurement intelligence. Benefi</w:t>
            </w:r>
            <w:r>
              <w:rPr>
                <w:sz w:val="20"/>
                <w:szCs w:val="20"/>
              </w:rPr>
              <w:t>cial ownership determination for deeply layered PRC shell structures (BVI/Cayman opacity) typically requires compulsory process or allied government cooperative disclosure — OSINT-only approaches hit a hard ceiling at moderate confidence. The evidentiary frameworks in this paper are calibrated for an OSINT-and-classified-corroboration workflow; practitioners using OSINT alone should reduce their confidence-level estimates by one tier before acting.</w:t>
            </w:r>
          </w:p>
        </w:tc>
      </w:tr>
    </w:tbl>
    <w:p w14:paraId="124F844D" w14:textId="77777777" w:rsidR="008B176B" w:rsidRDefault="008B176B">
      <w:pPr>
        <w:spacing w:before="40" w:after="40"/>
      </w:pPr>
    </w:p>
    <w:p w14:paraId="0F93320E" w14:textId="77777777" w:rsidR="008B176B" w:rsidRDefault="009D00BC">
      <w:r>
        <w:br w:type="page"/>
      </w:r>
    </w:p>
    <w:p w14:paraId="1CF3F06C" w14:textId="77777777" w:rsidR="008B176B" w:rsidRDefault="009D00BC">
      <w:pPr>
        <w:pStyle w:val="Heading1"/>
      </w:pPr>
      <w:r>
        <w:t>OUT-OF-SCOPE STATEMENT</w:t>
      </w:r>
    </w:p>
    <w:p w14:paraId="555B0E97" w14:textId="77777777" w:rsidR="008B176B" w:rsidRDefault="009D00BC">
      <w:pPr>
        <w:spacing w:before="80" w:after="80"/>
      </w:pPr>
      <w:r>
        <w:t>This paper evaluates publicly available statutory, regulatory, and institutional tools for lawful economic and trade statecraft. The following categories are explicitly outside its scope and are not addressed, implied, or supported anywhere in this document:</w:t>
      </w:r>
    </w:p>
    <w:p w14:paraId="214B88E7" w14:textId="77777777" w:rsidR="008B176B" w:rsidRDefault="008B176B">
      <w:pPr>
        <w:spacing w:before="40" w:after="4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B176B" w14:paraId="496789FD" w14:textId="77777777">
        <w:tblPrEx>
          <w:tblCellMar>
            <w:top w:w="0" w:type="dxa"/>
            <w:bottom w:w="0" w:type="dxa"/>
          </w:tblCellMar>
        </w:tblPrEx>
        <w:tc>
          <w:tcPr>
            <w:tcW w:w="2800" w:type="dxa"/>
            <w:tcBorders>
              <w:top w:val="single" w:sz="1" w:space="0" w:color="AABBCC"/>
              <w:left w:val="single" w:sz="1" w:space="0" w:color="AABBCC"/>
              <w:bottom w:val="single" w:sz="1" w:space="0" w:color="AABBCC"/>
              <w:right w:val="single" w:sz="1" w:space="0" w:color="AABBCC"/>
            </w:tcBorders>
            <w:shd w:val="clear" w:color="auto" w:fill="C00000"/>
            <w:tcMar>
              <w:top w:w="80" w:type="dxa"/>
              <w:left w:w="120" w:type="dxa"/>
              <w:bottom w:w="80" w:type="dxa"/>
              <w:right w:w="120" w:type="dxa"/>
            </w:tcMar>
          </w:tcPr>
          <w:p w14:paraId="69CFDBC9" w14:textId="77777777" w:rsidR="008B176B" w:rsidRDefault="009D00BC">
            <w:r>
              <w:rPr>
                <w:b/>
                <w:bCs/>
                <w:color w:val="FFFFFF"/>
                <w:sz w:val="20"/>
                <w:szCs w:val="20"/>
              </w:rPr>
              <w:t>Category</w:t>
            </w:r>
          </w:p>
        </w:tc>
        <w:tc>
          <w:tcPr>
            <w:tcW w:w="6560" w:type="dxa"/>
            <w:tcBorders>
              <w:top w:val="single" w:sz="1" w:space="0" w:color="AABBCC"/>
              <w:left w:val="single" w:sz="1" w:space="0" w:color="AABBCC"/>
              <w:bottom w:val="single" w:sz="1" w:space="0" w:color="AABBCC"/>
              <w:right w:val="single" w:sz="1" w:space="0" w:color="AABBCC"/>
            </w:tcBorders>
            <w:shd w:val="clear" w:color="auto" w:fill="C00000"/>
            <w:tcMar>
              <w:top w:w="80" w:type="dxa"/>
              <w:left w:w="120" w:type="dxa"/>
              <w:bottom w:w="80" w:type="dxa"/>
              <w:right w:w="120" w:type="dxa"/>
            </w:tcMar>
          </w:tcPr>
          <w:p w14:paraId="662F8E00" w14:textId="77777777" w:rsidR="008B176B" w:rsidRDefault="009D00BC">
            <w:r>
              <w:rPr>
                <w:b/>
                <w:bCs/>
                <w:color w:val="FFFFFF"/>
                <w:sz w:val="20"/>
                <w:szCs w:val="20"/>
              </w:rPr>
              <w:t>Clarification</w:t>
            </w:r>
          </w:p>
        </w:tc>
      </w:tr>
      <w:tr w:rsidR="008B176B" w14:paraId="55D0B990" w14:textId="77777777">
        <w:tblPrEx>
          <w:tblCellMar>
            <w:top w:w="0" w:type="dxa"/>
            <w:bottom w:w="0" w:type="dxa"/>
          </w:tblCellMar>
        </w:tblPrEx>
        <w:tc>
          <w:tcPr>
            <w:tcW w:w="280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24258FA5" w14:textId="77777777" w:rsidR="008B176B" w:rsidRDefault="009D00BC">
            <w:pPr>
              <w:spacing w:before="40" w:after="40"/>
            </w:pPr>
            <w:r>
              <w:rPr>
                <w:b/>
                <w:bCs/>
                <w:sz w:val="20"/>
                <w:szCs w:val="20"/>
              </w:rPr>
              <w:t>Battlefield targeting guidance</w:t>
            </w:r>
          </w:p>
        </w:tc>
        <w:tc>
          <w:tcPr>
            <w:tcW w:w="65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0047386" w14:textId="77777777" w:rsidR="008B176B" w:rsidRDefault="009D00BC">
            <w:pPr>
              <w:spacing w:before="40" w:after="40"/>
            </w:pPr>
            <w:r>
              <w:rPr>
                <w:sz w:val="20"/>
                <w:szCs w:val="20"/>
              </w:rPr>
              <w:t xml:space="preserve">This paper does not identify specific targets for kinetic action. It does not provide targeting packages, </w:t>
            </w:r>
            <w:proofErr w:type="spellStart"/>
            <w:r>
              <w:rPr>
                <w:sz w:val="20"/>
                <w:szCs w:val="20"/>
              </w:rPr>
              <w:t>aimpoint</w:t>
            </w:r>
            <w:proofErr w:type="spellEnd"/>
            <w:r>
              <w:rPr>
                <w:sz w:val="20"/>
                <w:szCs w:val="20"/>
              </w:rPr>
              <w:t xml:space="preserve"> analysis, damage assessment, or any military-operational targeting information for any entity, vessel, facility, or person.</w:t>
            </w:r>
          </w:p>
        </w:tc>
      </w:tr>
      <w:tr w:rsidR="008B176B" w14:paraId="1BC89A26" w14:textId="77777777">
        <w:tblPrEx>
          <w:tblCellMar>
            <w:top w:w="0" w:type="dxa"/>
            <w:bottom w:w="0" w:type="dxa"/>
          </w:tblCellMar>
        </w:tblPrEx>
        <w:tc>
          <w:tcPr>
            <w:tcW w:w="280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436BBA01" w14:textId="77777777" w:rsidR="008B176B" w:rsidRDefault="009D00BC">
            <w:pPr>
              <w:spacing w:before="40" w:after="40"/>
            </w:pPr>
            <w:r>
              <w:rPr>
                <w:b/>
                <w:bCs/>
                <w:sz w:val="20"/>
                <w:szCs w:val="20"/>
              </w:rPr>
              <w:t>Covert-action design</w:t>
            </w:r>
          </w:p>
        </w:tc>
        <w:tc>
          <w:tcPr>
            <w:tcW w:w="65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6CB9966" w14:textId="77777777" w:rsidR="008B176B" w:rsidRDefault="009D00BC">
            <w:pPr>
              <w:spacing w:before="40" w:after="40"/>
            </w:pPr>
            <w:r>
              <w:rPr>
                <w:sz w:val="20"/>
                <w:szCs w:val="20"/>
              </w:rPr>
              <w:t>This paper does not provide design guidance for covert operations, clandestine collection, or activities requiring a Presidential finding under 50 U.S.C. § 3093. The information operations pillar in PERSIST (WP-2026-PERSIST-01, Pillar 2) explicitly prohibits deceptive content and covert attribution — the same prohibition applies throughout this paper.</w:t>
            </w:r>
          </w:p>
        </w:tc>
      </w:tr>
      <w:tr w:rsidR="008B176B" w14:paraId="612A5A93" w14:textId="77777777">
        <w:tblPrEx>
          <w:tblCellMar>
            <w:top w:w="0" w:type="dxa"/>
            <w:bottom w:w="0" w:type="dxa"/>
          </w:tblCellMar>
        </w:tblPrEx>
        <w:tc>
          <w:tcPr>
            <w:tcW w:w="280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79CE7134" w14:textId="77777777" w:rsidR="008B176B" w:rsidRDefault="009D00BC">
            <w:pPr>
              <w:spacing w:before="40" w:after="40"/>
            </w:pPr>
            <w:r>
              <w:rPr>
                <w:b/>
                <w:bCs/>
                <w:sz w:val="20"/>
                <w:szCs w:val="20"/>
              </w:rPr>
              <w:t>Sabotage concepts</w:t>
            </w:r>
          </w:p>
        </w:tc>
        <w:tc>
          <w:tcPr>
            <w:tcW w:w="65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FD9CA14" w14:textId="77777777" w:rsidR="008B176B" w:rsidRDefault="009D00BC">
            <w:pPr>
              <w:spacing w:before="40" w:after="40"/>
            </w:pPr>
            <w:r>
              <w:rPr>
                <w:sz w:val="20"/>
                <w:szCs w:val="20"/>
              </w:rPr>
              <w:t>This paper does not identify or analyze options for physical disruption, infrastructure damage, cyberattacks directed at physical systems, or any form of sabotage against the facilities, vessels, networks, or personnel of any entity discussed.</w:t>
            </w:r>
          </w:p>
        </w:tc>
      </w:tr>
      <w:tr w:rsidR="008B176B" w14:paraId="0CE87A2F" w14:textId="77777777">
        <w:tblPrEx>
          <w:tblCellMar>
            <w:top w:w="0" w:type="dxa"/>
            <w:bottom w:w="0" w:type="dxa"/>
          </w:tblCellMar>
        </w:tblPrEx>
        <w:tc>
          <w:tcPr>
            <w:tcW w:w="280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30E1963D" w14:textId="77777777" w:rsidR="008B176B" w:rsidRDefault="009D00BC">
            <w:pPr>
              <w:spacing w:before="40" w:after="40"/>
            </w:pPr>
            <w:r>
              <w:rPr>
                <w:b/>
                <w:bCs/>
                <w:sz w:val="20"/>
                <w:szCs w:val="20"/>
              </w:rPr>
              <w:t>Classified collection plans</w:t>
            </w:r>
          </w:p>
        </w:tc>
        <w:tc>
          <w:tcPr>
            <w:tcW w:w="65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94D7E05" w14:textId="77777777" w:rsidR="008B176B" w:rsidRDefault="009D00BC">
            <w:pPr>
              <w:spacing w:before="40" w:after="40"/>
            </w:pPr>
            <w:r>
              <w:rPr>
                <w:sz w:val="20"/>
                <w:szCs w:val="20"/>
              </w:rPr>
              <w:t>This paper does not contain guidance on intelligence collection priorities, source and methods, collection management, or classified assessments. All references to intelligence support are to publicly available analytical frameworks and open-source commercial analytics.</w:t>
            </w:r>
          </w:p>
        </w:tc>
      </w:tr>
      <w:tr w:rsidR="008B176B" w14:paraId="687141A9" w14:textId="77777777">
        <w:tblPrEx>
          <w:tblCellMar>
            <w:top w:w="0" w:type="dxa"/>
            <w:bottom w:w="0" w:type="dxa"/>
          </w:tblCellMar>
        </w:tblPrEx>
        <w:tc>
          <w:tcPr>
            <w:tcW w:w="280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4DA413EC" w14:textId="77777777" w:rsidR="008B176B" w:rsidRDefault="009D00BC">
            <w:pPr>
              <w:spacing w:before="40" w:after="40"/>
            </w:pPr>
            <w:r>
              <w:rPr>
                <w:b/>
                <w:bCs/>
                <w:sz w:val="20"/>
                <w:szCs w:val="20"/>
              </w:rPr>
              <w:t>Operational military seizure concepts</w:t>
            </w:r>
          </w:p>
        </w:tc>
        <w:tc>
          <w:tcPr>
            <w:tcW w:w="65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A9D1D14" w14:textId="77777777" w:rsidR="008B176B" w:rsidRDefault="009D00BC">
            <w:pPr>
              <w:spacing w:before="40" w:after="40"/>
            </w:pPr>
            <w:r>
              <w:rPr>
                <w:sz w:val="20"/>
                <w:szCs w:val="20"/>
              </w:rPr>
              <w:t>This paper does not provide guidance for military boarding operations, vessel seizure, port seizure, or any form of kinetic maritime interdiction beyond the legal-authority framework that governs USCG boarding authority under 14 U.S.C. § 522. Lethal maritime interdiction requires a Presidential finding under § 3093 and is not addressed here.</w:t>
            </w:r>
          </w:p>
        </w:tc>
      </w:tr>
      <w:tr w:rsidR="008B176B" w14:paraId="01369655" w14:textId="77777777">
        <w:tblPrEx>
          <w:tblCellMar>
            <w:top w:w="0" w:type="dxa"/>
            <w:bottom w:w="0" w:type="dxa"/>
          </w:tblCellMar>
        </w:tblPrEx>
        <w:tc>
          <w:tcPr>
            <w:tcW w:w="280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5BF0CF7A" w14:textId="77777777" w:rsidR="008B176B" w:rsidRDefault="009D00BC">
            <w:pPr>
              <w:spacing w:before="40" w:after="40"/>
            </w:pPr>
            <w:r>
              <w:rPr>
                <w:b/>
                <w:bCs/>
                <w:sz w:val="20"/>
                <w:szCs w:val="20"/>
              </w:rPr>
              <w:t>Unrestricted wartime authority assumptions</w:t>
            </w:r>
          </w:p>
        </w:tc>
        <w:tc>
          <w:tcPr>
            <w:tcW w:w="65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054686B" w14:textId="77777777" w:rsidR="008B176B" w:rsidRDefault="009D00BC">
            <w:pPr>
              <w:spacing w:before="40" w:after="40"/>
            </w:pPr>
            <w:r>
              <w:rPr>
                <w:sz w:val="20"/>
                <w:szCs w:val="20"/>
              </w:rPr>
              <w:t>This paper does not assert that crisis or wartime conditions expand the legal authorities described in Section IV beyond their statutory limits. IEEPA, OFAC, BIS, and customs authorities operate within their bounds regardless of operational context. Wartime designation of civilian commercial infrastructure as legitimate enforcement targets requires independent legal analysis beyond the scope of this paper.</w:t>
            </w:r>
          </w:p>
        </w:tc>
      </w:tr>
    </w:tbl>
    <w:p w14:paraId="2631FCF8" w14:textId="77777777" w:rsidR="008B176B" w:rsidRDefault="008B176B">
      <w:pPr>
        <w:spacing w:before="40" w:after="40"/>
      </w:pPr>
    </w:p>
    <w:p w14:paraId="66C27183" w14:textId="77777777" w:rsidR="008B176B" w:rsidRDefault="009D00BC">
      <w:r>
        <w:br w:type="page"/>
      </w:r>
    </w:p>
    <w:p w14:paraId="4C899581" w14:textId="77777777" w:rsidR="008B176B" w:rsidRDefault="009D00BC">
      <w:pPr>
        <w:pStyle w:val="Heading1"/>
      </w:pPr>
      <w:r>
        <w:t>ANNEX A — INSTITUTIONAL ILLUSTRATIONS</w:t>
      </w:r>
    </w:p>
    <w:p w14:paraId="55394F1A" w14:textId="77777777" w:rsidR="008B176B" w:rsidRDefault="009D00BC">
      <w:pPr>
        <w:spacing w:before="80" w:after="80"/>
      </w:pPr>
      <w:r>
        <w:t>The following five illustrations draw on public enforcement record, public agency guidance, and publicly available commercial analytics to demonstrate how the instruments described in this paper have been applied or could be applied in documented network contexts. They are institutional proof-of-concept, not operational execution guides. Observed facts are drawn from public sources; policy implications are analytical judgments presented at moderate confidence.</w:t>
      </w:r>
    </w:p>
    <w:p w14:paraId="129C7F1A" w14:textId="77777777" w:rsidR="008B176B" w:rsidRDefault="008B176B">
      <w:pPr>
        <w:spacing w:before="40" w:after="40"/>
      </w:pPr>
    </w:p>
    <w:p w14:paraId="18C4B614" w14:textId="77777777" w:rsidR="008B176B" w:rsidRDefault="009D00BC">
      <w:pPr>
        <w:pBdr>
          <w:left w:val="single" w:sz="16" w:space="6" w:color="1F3864"/>
        </w:pBdr>
        <w:spacing w:before="240" w:after="80"/>
        <w:ind w:left="360"/>
      </w:pPr>
      <w:r>
        <w:rPr>
          <w:b/>
          <w:bCs/>
          <w:color w:val="1F3864"/>
          <w:sz w:val="24"/>
          <w:szCs w:val="24"/>
        </w:rPr>
        <w:t>ILLUSTRATION 1: PRC-LINKED FLOATING STORAGE OF SANCTIONED-ORIGIN CRUDE</w:t>
      </w:r>
    </w:p>
    <w:p w14:paraId="4D89E87E" w14:textId="77777777" w:rsidR="008B176B" w:rsidRDefault="009D00BC">
      <w:pPr>
        <w:spacing w:before="80" w:after="40"/>
        <w:ind w:left="360"/>
      </w:pPr>
      <w:r>
        <w:rPr>
          <w:b/>
          <w:bCs/>
          <w:color w:val="2E5F8A"/>
          <w:sz w:val="21"/>
          <w:szCs w:val="21"/>
        </w:rPr>
        <w:t>OBSERVED CONDUCT</w:t>
      </w:r>
    </w:p>
    <w:p w14:paraId="3EA911B3" w14:textId="77777777" w:rsidR="008B176B" w:rsidRDefault="009D00BC">
      <w:pPr>
        <w:spacing w:after="80"/>
        <w:ind w:left="360"/>
      </w:pPr>
      <w:r>
        <w:rPr>
          <w:sz w:val="21"/>
          <w:szCs w:val="21"/>
        </w:rPr>
        <w:t>Commercial maritime analytics (</w:t>
      </w:r>
      <w:proofErr w:type="spellStart"/>
      <w:r>
        <w:rPr>
          <w:sz w:val="21"/>
          <w:szCs w:val="21"/>
        </w:rPr>
        <w:t>Kpler</w:t>
      </w:r>
      <w:proofErr w:type="spellEnd"/>
      <w:r>
        <w:rPr>
          <w:sz w:val="21"/>
          <w:szCs w:val="21"/>
        </w:rPr>
        <w:t xml:space="preserve">, </w:t>
      </w:r>
      <w:proofErr w:type="spellStart"/>
      <w:r>
        <w:rPr>
          <w:sz w:val="21"/>
          <w:szCs w:val="21"/>
        </w:rPr>
        <w:t>Vortexa</w:t>
      </w:r>
      <w:proofErr w:type="spellEnd"/>
      <w:r>
        <w:rPr>
          <w:sz w:val="21"/>
          <w:szCs w:val="21"/>
        </w:rPr>
        <w:t xml:space="preserve">, 2024-2026) document a pattern of VLCC and </w:t>
      </w:r>
      <w:proofErr w:type="spellStart"/>
      <w:r>
        <w:rPr>
          <w:sz w:val="21"/>
          <w:szCs w:val="21"/>
        </w:rPr>
        <w:t>Suezmax</w:t>
      </w:r>
      <w:proofErr w:type="spellEnd"/>
      <w:r>
        <w:rPr>
          <w:sz w:val="21"/>
          <w:szCs w:val="21"/>
        </w:rPr>
        <w:t xml:space="preserve"> tankers with AIS-anomaly indicators — irregular transponder cycling, multi-flag cycling, ship-to-ship transfers in international waters off Oman and Malaysia — holding crude cargoes for extended periods (10-45 days above seasonal baseline) near PRC discharge zones including Shandong province. Sanctioned-origin crude share in this floating storage pool tracks OFAC designation cycles, increasing in the weeks following designation actions and de</w:t>
      </w:r>
      <w:r>
        <w:rPr>
          <w:sz w:val="21"/>
          <w:szCs w:val="21"/>
        </w:rPr>
        <w:t>clining as vessel operators adapt registry and ownership structures.</w:t>
      </w:r>
    </w:p>
    <w:p w14:paraId="7718D764" w14:textId="77777777" w:rsidR="008B176B" w:rsidRDefault="009D00BC">
      <w:pPr>
        <w:spacing w:before="80" w:after="40"/>
        <w:ind w:left="360"/>
      </w:pPr>
      <w:r>
        <w:rPr>
          <w:b/>
          <w:bCs/>
          <w:color w:val="2E5F8A"/>
          <w:sz w:val="21"/>
          <w:szCs w:val="21"/>
        </w:rPr>
        <w:t>INSTITUTIONALLY RELEVANT AUTHORITY</w:t>
      </w:r>
    </w:p>
    <w:p w14:paraId="0F0C0F97" w14:textId="77777777" w:rsidR="008B176B" w:rsidRDefault="009D00BC">
      <w:pPr>
        <w:spacing w:after="80"/>
        <w:ind w:left="360"/>
      </w:pPr>
      <w:r>
        <w:rPr>
          <w:sz w:val="21"/>
          <w:szCs w:val="21"/>
        </w:rPr>
        <w:t>OFAC vessel designation authority under active Iran petroleum sanctions program (E.O. 13846, Iran Freedom and Counter-Proliferation Act); OFAC/OFSI coordinated Lloyd's market advisory guidance; USCG port-state control authority under MARPOL enforcement framework; BIS end-use check program for marine vessel operators on Entity List.</w:t>
      </w:r>
    </w:p>
    <w:p w14:paraId="5CBEDBDC" w14:textId="77777777" w:rsidR="008B176B" w:rsidRDefault="009D00BC">
      <w:pPr>
        <w:spacing w:before="80" w:after="40"/>
        <w:ind w:left="360"/>
      </w:pPr>
      <w:r>
        <w:rPr>
          <w:b/>
          <w:bCs/>
          <w:color w:val="2E5F8A"/>
          <w:sz w:val="21"/>
          <w:szCs w:val="21"/>
        </w:rPr>
        <w:t>WHAT THE PRECEDENT SHOWS</w:t>
      </w:r>
    </w:p>
    <w:p w14:paraId="2105761E" w14:textId="77777777" w:rsidR="008B176B" w:rsidRDefault="009D00BC">
      <w:pPr>
        <w:spacing w:after="80"/>
        <w:ind w:left="360"/>
      </w:pPr>
      <w:r>
        <w:rPr>
          <w:sz w:val="21"/>
          <w:szCs w:val="21"/>
        </w:rPr>
        <w:t xml:space="preserve">The 2024-2026 shadow-fleet advisory series demonstrated that coordinated OFAC/OFSI guidance — issued simultaneously rather than sequentially — produces measurably faster Lloyd's market response than unilateral U.S. advisories. Vessels designated in the April 2025 OFAC action series faced P&amp;I coverage complications within 14 days of the coordinated OFAC/OFSI advisory, compared to 30-45 days under prior unilateral U.S.-only advisory practice. The floating-storage volume metric provides a leading indicator of </w:t>
      </w:r>
      <w:r>
        <w:rPr>
          <w:sz w:val="21"/>
          <w:szCs w:val="21"/>
        </w:rPr>
        <w:t>enforcement effectiveness — volume above seasonal baseline indicates friction; sustained above-baseline volume after designation action indicates network adaptation requiring escalation-gating review.</w:t>
      </w:r>
    </w:p>
    <w:p w14:paraId="699125A7" w14:textId="77777777" w:rsidR="008B176B" w:rsidRDefault="009D00BC">
      <w:pPr>
        <w:spacing w:before="80" w:after="40"/>
        <w:ind w:left="360"/>
      </w:pPr>
      <w:r>
        <w:rPr>
          <w:b/>
          <w:bCs/>
          <w:color w:val="2E5F8A"/>
          <w:sz w:val="21"/>
          <w:szCs w:val="21"/>
        </w:rPr>
        <w:t>CONSTRAINT / CAVEAT</w:t>
      </w:r>
    </w:p>
    <w:p w14:paraId="005E5FD3" w14:textId="77777777" w:rsidR="008B176B" w:rsidRDefault="009D00BC">
      <w:pPr>
        <w:spacing w:after="80"/>
        <w:ind w:left="360"/>
      </w:pPr>
      <w:r>
        <w:rPr>
          <w:sz w:val="21"/>
          <w:szCs w:val="21"/>
        </w:rPr>
        <w:t>The beneficial-ownership complexity of shadow-fleet tankers — typically layered through three to five nominee structures across Marshall Islands, Samoa, or Comoros registry jurisdictions — creates a hard evidentiary ceiling for OSINT-based designation. Confirmed-attribution standard for vessel operator designation typically requires FinCEN or allied FIU corroboration of beneficial ownership, beyond what commercial AIS analytics and flag-registry records can establish. Floating-storage volume is a network-le</w:t>
      </w:r>
      <w:r>
        <w:rPr>
          <w:sz w:val="21"/>
          <w:szCs w:val="21"/>
        </w:rPr>
        <w:t>vel indicator, not a vessel-level evidentiary document.</w:t>
      </w:r>
    </w:p>
    <w:p w14:paraId="3F8EC133" w14:textId="77777777" w:rsidR="008B176B" w:rsidRDefault="009D00BC">
      <w:pPr>
        <w:spacing w:before="80" w:after="40"/>
        <w:ind w:left="360"/>
      </w:pPr>
      <w:r>
        <w:rPr>
          <w:b/>
          <w:bCs/>
          <w:color w:val="2E5F8A"/>
          <w:sz w:val="21"/>
          <w:szCs w:val="21"/>
        </w:rPr>
        <w:t>POLICY IMPLICATION</w:t>
      </w:r>
    </w:p>
    <w:p w14:paraId="6296870F" w14:textId="77777777" w:rsidR="008B176B" w:rsidRDefault="009D00BC">
      <w:pPr>
        <w:spacing w:after="160"/>
        <w:ind w:left="360"/>
      </w:pPr>
      <w:r>
        <w:rPr>
          <w:sz w:val="21"/>
          <w:szCs w:val="21"/>
        </w:rPr>
        <w:t>Maintain coordinated OFAC/OFSI advisory protocol at readiness posture for shadow-fleet surge designation cycles. Invest in near-real-time commercial maritime analytics integration with OFAC evidentiary-file development workflow. Treat floating-storage-volume trend as Phase II observability metric — elevated volume confirms friction; stabilization at elevated baseline triggers Phase IV coalition-synchronization review. Do not treat commercial analytics as sufficient for confirmed-attribution designation with</w:t>
      </w:r>
      <w:r>
        <w:rPr>
          <w:sz w:val="21"/>
          <w:szCs w:val="21"/>
        </w:rPr>
        <w:t>out allied financial intelligence corroboration.</w:t>
      </w:r>
    </w:p>
    <w:p w14:paraId="43C84841" w14:textId="77777777" w:rsidR="008B176B" w:rsidRDefault="008B176B">
      <w:pPr>
        <w:pBdr>
          <w:bottom w:val="single" w:sz="6" w:space="1" w:color="2E5F8A"/>
        </w:pBdr>
        <w:spacing w:before="160" w:after="160"/>
      </w:pPr>
    </w:p>
    <w:p w14:paraId="7588BE7A" w14:textId="77777777" w:rsidR="008B176B" w:rsidRDefault="009D00BC">
      <w:pPr>
        <w:pBdr>
          <w:left w:val="single" w:sz="16" w:space="6" w:color="1F3864"/>
        </w:pBdr>
        <w:spacing w:before="240" w:after="80"/>
        <w:ind w:left="360"/>
      </w:pPr>
      <w:r>
        <w:rPr>
          <w:b/>
          <w:bCs/>
          <w:color w:val="1F3864"/>
          <w:sz w:val="24"/>
          <w:szCs w:val="24"/>
        </w:rPr>
        <w:t>ILLUSTRATION 2: VENEZUELA/CUBA RESALE AND LICENSING CORRIDOR</w:t>
      </w:r>
    </w:p>
    <w:p w14:paraId="1A00387F" w14:textId="77777777" w:rsidR="008B176B" w:rsidRDefault="009D00BC">
      <w:pPr>
        <w:spacing w:before="80" w:after="40"/>
        <w:ind w:left="360"/>
      </w:pPr>
      <w:r>
        <w:rPr>
          <w:b/>
          <w:bCs/>
          <w:color w:val="2E5F8A"/>
          <w:sz w:val="21"/>
          <w:szCs w:val="21"/>
        </w:rPr>
        <w:t>OBSERVED CONDUCT</w:t>
      </w:r>
    </w:p>
    <w:p w14:paraId="15842274" w14:textId="77777777" w:rsidR="008B176B" w:rsidRDefault="009D00BC">
      <w:pPr>
        <w:spacing w:after="80"/>
        <w:ind w:left="360"/>
      </w:pPr>
      <w:r>
        <w:rPr>
          <w:sz w:val="21"/>
          <w:szCs w:val="21"/>
        </w:rPr>
        <w:t>PDVSA crude exports to PRC-linked buyers — including CNPC and affiliated trading companies — have been documented in public OFAC enforcement actions, Treasury press releases, and commercial energy analytics throughout 2023-2026. Venezuela's OFAC sanctions program (E.O. 13884 and successor orders) restricts U.S.-person transactions with PDVSA and its affiliates. OFAC has issued and periodically modified General License 8K and related authorizations governing the conditions under which Venezuelan crude transa</w:t>
      </w:r>
      <w:r>
        <w:rPr>
          <w:sz w:val="21"/>
          <w:szCs w:val="21"/>
        </w:rPr>
        <w:t>ctions are permissible, including restrictions on resale to Cuba. Cuba receives Venezuelan crude through arrangements that have periodically tested the licensing boundary.</w:t>
      </w:r>
    </w:p>
    <w:p w14:paraId="092A661B" w14:textId="77777777" w:rsidR="008B176B" w:rsidRDefault="009D00BC">
      <w:pPr>
        <w:spacing w:before="80" w:after="40"/>
        <w:ind w:left="360"/>
      </w:pPr>
      <w:r>
        <w:rPr>
          <w:b/>
          <w:bCs/>
          <w:color w:val="2E5F8A"/>
          <w:sz w:val="21"/>
          <w:szCs w:val="21"/>
        </w:rPr>
        <w:t>INSTITUTIONALLY RELEVANT AUTHORITY</w:t>
      </w:r>
    </w:p>
    <w:p w14:paraId="3A9BC27F" w14:textId="77777777" w:rsidR="008B176B" w:rsidRDefault="009D00BC">
      <w:pPr>
        <w:spacing w:after="80"/>
        <w:ind w:left="360"/>
      </w:pPr>
      <w:r>
        <w:rPr>
          <w:sz w:val="21"/>
          <w:szCs w:val="21"/>
        </w:rPr>
        <w:t>OFAC Venezuela program (31 C.F.R. Part 591); General License 8K and successor authorizations; OFAC Cuba program (31 C.F.R. Part 515); secondary sanctions exposure for significant transactions with PDVSA-designated parties; CISADA-parallel analysis for Cuban financial institution facilitation.</w:t>
      </w:r>
    </w:p>
    <w:p w14:paraId="04814DD1" w14:textId="77777777" w:rsidR="008B176B" w:rsidRDefault="009D00BC">
      <w:pPr>
        <w:spacing w:before="80" w:after="40"/>
        <w:ind w:left="360"/>
      </w:pPr>
      <w:r>
        <w:rPr>
          <w:b/>
          <w:bCs/>
          <w:color w:val="2E5F8A"/>
          <w:sz w:val="21"/>
          <w:szCs w:val="21"/>
        </w:rPr>
        <w:t>WHAT THE PRECEDENT SHOWS</w:t>
      </w:r>
    </w:p>
    <w:p w14:paraId="6F930FEF" w14:textId="77777777" w:rsidR="008B176B" w:rsidRDefault="009D00BC">
      <w:pPr>
        <w:spacing w:after="80"/>
        <w:ind w:left="360"/>
      </w:pPr>
      <w:r>
        <w:rPr>
          <w:sz w:val="21"/>
          <w:szCs w:val="21"/>
        </w:rPr>
        <w:t>The Venezuela/Cuba licensing architecture demonstrates that licensing conditionality — rather than blanket prohibition — can create behavioral incentives that pure designation cannot generate. Periods when OFAC conditioned Venezuela-related licenses on specific conduct metrics (democratic governance reporting, opposition treatment indicators) produced documented compliance behavior from the Venezuelan government on specific narrow conditions, even where broader strategic alignment was not achieved. The lice</w:t>
      </w:r>
      <w:r>
        <w:rPr>
          <w:sz w:val="21"/>
          <w:szCs w:val="21"/>
        </w:rPr>
        <w:t>nsing lever is most effective when conditions are specific, verifiable, and communicated privately before public action.</w:t>
      </w:r>
    </w:p>
    <w:p w14:paraId="77D728D3" w14:textId="77777777" w:rsidR="008B176B" w:rsidRDefault="009D00BC">
      <w:pPr>
        <w:spacing w:before="80" w:after="40"/>
        <w:ind w:left="360"/>
      </w:pPr>
      <w:r>
        <w:rPr>
          <w:b/>
          <w:bCs/>
          <w:color w:val="2E5F8A"/>
          <w:sz w:val="21"/>
          <w:szCs w:val="21"/>
        </w:rPr>
        <w:t>CONSTRAINT / CAVEAT</w:t>
      </w:r>
    </w:p>
    <w:p w14:paraId="1446212A" w14:textId="77777777" w:rsidR="008B176B" w:rsidRDefault="009D00BC">
      <w:pPr>
        <w:spacing w:after="80"/>
        <w:ind w:left="360"/>
      </w:pPr>
      <w:r>
        <w:rPr>
          <w:sz w:val="21"/>
          <w:szCs w:val="21"/>
        </w:rPr>
        <w:t>The Venezuela/Cuba corridor involves competing U.S. policy equities — energy market stability, migration pressure, Cuban political transition logic — that create genuine policy tensions around licensing stringency. Licensing architecture must be calibrated to the full range of equities, not only to sanctions enforcement goals. Overly restrictive licensing in this corridor produces migration pressure that creates domestic political costs independent of sanctions-program objectives.</w:t>
      </w:r>
    </w:p>
    <w:p w14:paraId="6172FB22" w14:textId="77777777" w:rsidR="008B176B" w:rsidRDefault="009D00BC">
      <w:pPr>
        <w:spacing w:before="80" w:after="40"/>
        <w:ind w:left="360"/>
      </w:pPr>
      <w:r>
        <w:rPr>
          <w:b/>
          <w:bCs/>
          <w:color w:val="2E5F8A"/>
          <w:sz w:val="21"/>
          <w:szCs w:val="21"/>
        </w:rPr>
        <w:t>POLICY IMPLICATION</w:t>
      </w:r>
    </w:p>
    <w:p w14:paraId="13192E02" w14:textId="77777777" w:rsidR="008B176B" w:rsidRDefault="009D00BC">
      <w:pPr>
        <w:spacing w:after="160"/>
        <w:ind w:left="360"/>
      </w:pPr>
      <w:r>
        <w:rPr>
          <w:sz w:val="21"/>
          <w:szCs w:val="21"/>
        </w:rPr>
        <w:t>Treat General License conditionality as a first-order policy lever, not an administrative afterthought. Build specific, verifiable license conditions that create measurable compliance incentives for PDVSA and Cuban government conduct. Pre-brief allied governments on license modifications before public action — modifications that affect allied energy companies without advance notice generate diplomatic friction disproportionate to the enforcement benefit. Use licensing architecture to distinguish Enablement-</w:t>
      </w:r>
      <w:r>
        <w:rPr>
          <w:sz w:val="21"/>
          <w:szCs w:val="21"/>
        </w:rPr>
        <w:t>tier PRC-linked buyers (appropriate enforcement target) from Cuban civilian import requirements (protected category).</w:t>
      </w:r>
    </w:p>
    <w:p w14:paraId="4806B05C" w14:textId="77777777" w:rsidR="008B176B" w:rsidRDefault="008B176B">
      <w:pPr>
        <w:pBdr>
          <w:bottom w:val="single" w:sz="6" w:space="1" w:color="2E5F8A"/>
        </w:pBdr>
        <w:spacing w:before="160" w:after="160"/>
      </w:pPr>
    </w:p>
    <w:p w14:paraId="43A884A6" w14:textId="77777777" w:rsidR="008B176B" w:rsidRDefault="009D00BC">
      <w:pPr>
        <w:pBdr>
          <w:left w:val="single" w:sz="16" w:space="6" w:color="1F3864"/>
        </w:pBdr>
        <w:spacing w:before="240" w:after="80"/>
        <w:ind w:left="360"/>
      </w:pPr>
      <w:r>
        <w:rPr>
          <w:b/>
          <w:bCs/>
          <w:color w:val="1F3864"/>
          <w:sz w:val="24"/>
          <w:szCs w:val="24"/>
        </w:rPr>
        <w:t>ILLUSTRATION 3: DPRK-LINKED PROCUREMENT NETWORK AND MARITIME EVASION</w:t>
      </w:r>
    </w:p>
    <w:p w14:paraId="32F5BC3B" w14:textId="77777777" w:rsidR="008B176B" w:rsidRDefault="009D00BC">
      <w:pPr>
        <w:spacing w:before="80" w:after="40"/>
        <w:ind w:left="360"/>
      </w:pPr>
      <w:r>
        <w:rPr>
          <w:b/>
          <w:bCs/>
          <w:color w:val="2E5F8A"/>
          <w:sz w:val="21"/>
          <w:szCs w:val="21"/>
        </w:rPr>
        <w:t>OBSERVED CONDUCT</w:t>
      </w:r>
    </w:p>
    <w:p w14:paraId="1842FACD" w14:textId="77777777" w:rsidR="008B176B" w:rsidRDefault="009D00BC">
      <w:pPr>
        <w:spacing w:after="80"/>
        <w:ind w:left="360"/>
      </w:pPr>
      <w:r>
        <w:rPr>
          <w:sz w:val="21"/>
          <w:szCs w:val="21"/>
        </w:rPr>
        <w:t>UN Panel of Experts reports (2024-2025), OFAC designation notices, and public FinCEN advisories document a pattern of DPRK procurement for weapons-relevant technology — including precision machine tools, specialty metals, and electronics with missile-guidance applications — routed through PRC-linked trading companies, often structured through multiple jurisdictional layers (PRC parent, Hong Kong subsidiary, Southeast Asian intermediary, European end-user front). Ship-to-ship petroleum transfers in internati</w:t>
      </w:r>
      <w:r>
        <w:rPr>
          <w:sz w:val="21"/>
          <w:szCs w:val="21"/>
        </w:rPr>
        <w:t>onal waters off China's coast have been documented as the primary mechanism for DPRK petroleum product receipt in defiance of UN Security Council Resolution 2397.</w:t>
      </w:r>
    </w:p>
    <w:p w14:paraId="5C9C5C5E" w14:textId="77777777" w:rsidR="008B176B" w:rsidRDefault="009D00BC">
      <w:pPr>
        <w:spacing w:before="80" w:after="40"/>
        <w:ind w:left="360"/>
      </w:pPr>
      <w:r>
        <w:rPr>
          <w:b/>
          <w:bCs/>
          <w:color w:val="2E5F8A"/>
          <w:sz w:val="21"/>
          <w:szCs w:val="21"/>
        </w:rPr>
        <w:t>INSTITUTIONALLY RELEVANT AUTHORITY</w:t>
      </w:r>
    </w:p>
    <w:p w14:paraId="75907071" w14:textId="77777777" w:rsidR="008B176B" w:rsidRDefault="009D00BC">
      <w:pPr>
        <w:spacing w:after="80"/>
        <w:ind w:left="360"/>
      </w:pPr>
      <w:r>
        <w:rPr>
          <w:sz w:val="21"/>
          <w:szCs w:val="21"/>
        </w:rPr>
        <w:t>NKSPEA (22 U.S.C. § 9214) for documented DPRK dual-use trade; BIS Entity List for documented diversion-risk entities; INKSNA for documented WMD-relevant technology transfers; CAATSA § 232 for financial institutions facilitating DPRK petroleum transactions; Section 311 class-designation for STS-transfer transaction classes under § 5318A(a)(4)(A).</w:t>
      </w:r>
    </w:p>
    <w:p w14:paraId="41368747" w14:textId="77777777" w:rsidR="008B176B" w:rsidRDefault="009D00BC">
      <w:pPr>
        <w:spacing w:before="80" w:after="40"/>
        <w:ind w:left="360"/>
      </w:pPr>
      <w:r>
        <w:rPr>
          <w:b/>
          <w:bCs/>
          <w:color w:val="2E5F8A"/>
          <w:sz w:val="21"/>
          <w:szCs w:val="21"/>
        </w:rPr>
        <w:t>WHAT THE PRECEDENT SHOWS</w:t>
      </w:r>
    </w:p>
    <w:p w14:paraId="63F07BBE" w14:textId="77777777" w:rsidR="008B176B" w:rsidRDefault="009D00BC">
      <w:pPr>
        <w:spacing w:after="80"/>
        <w:ind w:left="360"/>
      </w:pPr>
      <w:r>
        <w:rPr>
          <w:sz w:val="21"/>
          <w:szCs w:val="21"/>
        </w:rPr>
        <w:t>The DPRK enforcement record demonstrates both the effectiveness and the limits of network-disruption approaches. OFAC's 2018-2022 DPRK shipping designation series produced measurable flag-registry churn and increased operational complexity — average DPRK-linked vessel cycling increased from 1.2 registry changes per year (2017) to 3.1 per year (2020). This increased operational cost without eliminating access to petroleum or controlled technology. The substitution speed — new shell structures appeared within</w:t>
      </w:r>
      <w:r>
        <w:rPr>
          <w:sz w:val="21"/>
          <w:szCs w:val="21"/>
        </w:rPr>
        <w:t xml:space="preserve"> 30-60 days of major designation actions — indicates high network resilience to single-entity targeting. Multi-vector simultaneous action (OFAC + BIS + INKSNA + 311 class designation) produced longer reconstitution timelines than sequential single-authority actions.</w:t>
      </w:r>
    </w:p>
    <w:p w14:paraId="1BC816C5" w14:textId="77777777" w:rsidR="008B176B" w:rsidRDefault="009D00BC">
      <w:pPr>
        <w:spacing w:before="80" w:after="40"/>
        <w:ind w:left="360"/>
      </w:pPr>
      <w:r>
        <w:rPr>
          <w:b/>
          <w:bCs/>
          <w:color w:val="2E5F8A"/>
          <w:sz w:val="21"/>
          <w:szCs w:val="21"/>
        </w:rPr>
        <w:t>CONSTRAINT / CAVEAT</w:t>
      </w:r>
    </w:p>
    <w:p w14:paraId="661E48E0" w14:textId="77777777" w:rsidR="008B176B" w:rsidRDefault="009D00BC">
      <w:pPr>
        <w:spacing w:after="80"/>
        <w:ind w:left="360"/>
      </w:pPr>
      <w:r>
        <w:rPr>
          <w:sz w:val="21"/>
          <w:szCs w:val="21"/>
        </w:rPr>
        <w:t>DPRK's closed-loop substitution capacity is the highest of the three partner states addressed in this paper. Its nuclear-program timeline logic means that procurement-denial effects must accumulate over years to affect capability development in a strategically meaningful way. OSINT-alone evidentiary development is insufficient for confirmed-attribution designation of PRC-linked DPRK procurement intermediaries — classified intelligence corroboration is required for the beneficial-ownership layers that obscur</w:t>
      </w:r>
      <w:r>
        <w:rPr>
          <w:sz w:val="21"/>
          <w:szCs w:val="21"/>
        </w:rPr>
        <w:t>e the nexus. Chinese government cooperation in UNSCR enforcement has declined materially since 2022.</w:t>
      </w:r>
    </w:p>
    <w:p w14:paraId="32DE93E4" w14:textId="77777777" w:rsidR="008B176B" w:rsidRDefault="009D00BC">
      <w:pPr>
        <w:spacing w:before="80" w:after="40"/>
        <w:ind w:left="360"/>
      </w:pPr>
      <w:r>
        <w:rPr>
          <w:b/>
          <w:bCs/>
          <w:color w:val="2E5F8A"/>
          <w:sz w:val="21"/>
          <w:szCs w:val="21"/>
        </w:rPr>
        <w:t>POLICY IMPLICATION</w:t>
      </w:r>
    </w:p>
    <w:p w14:paraId="1FDC557E" w14:textId="77777777" w:rsidR="008B176B" w:rsidRDefault="009D00BC">
      <w:pPr>
        <w:spacing w:after="160"/>
        <w:ind w:left="360"/>
      </w:pPr>
      <w:r>
        <w:rPr>
          <w:sz w:val="21"/>
          <w:szCs w:val="21"/>
        </w:rPr>
        <w:t>Prioritize simultaneous multi-authority action for DPRK procurement targets — single-authority sequential designation produces reconstitution faster than enforcement can respond. Pre-stage BIS + OFAC + INKSNA packages at readiness posture for top-30 documented DPRK dual-use procurement intermediaries. Use Section 311 class-designation authority for STS-transfer transaction classes to impose systemic pressure on petroleum-transfer infrastructure rather than targeting individual vessels. Accept that this enfo</w:t>
      </w:r>
      <w:r>
        <w:rPr>
          <w:sz w:val="21"/>
          <w:szCs w:val="21"/>
        </w:rPr>
        <w:t>rcement domain requires classified intelligence corroboration that exceeds OSINT capacity — build the analytical workflow accordingly.</w:t>
      </w:r>
    </w:p>
    <w:p w14:paraId="62C87712" w14:textId="77777777" w:rsidR="008B176B" w:rsidRDefault="008B176B">
      <w:pPr>
        <w:pBdr>
          <w:bottom w:val="single" w:sz="6" w:space="1" w:color="2E5F8A"/>
        </w:pBdr>
        <w:spacing w:before="160" w:after="160"/>
      </w:pPr>
    </w:p>
    <w:p w14:paraId="3F8CE580" w14:textId="77777777" w:rsidR="008B176B" w:rsidRDefault="009D00BC">
      <w:pPr>
        <w:pBdr>
          <w:left w:val="single" w:sz="16" w:space="6" w:color="1F3864"/>
        </w:pBdr>
        <w:spacing w:before="240" w:after="80"/>
        <w:ind w:left="360"/>
      </w:pPr>
      <w:r>
        <w:rPr>
          <w:b/>
          <w:bCs/>
          <w:color w:val="1F3864"/>
          <w:sz w:val="24"/>
          <w:szCs w:val="24"/>
        </w:rPr>
        <w:t>ILLUSTRATION 4: BIS ENTITY LIST AND EXPORT-CONTROL DENIAL — PRC MILITARY-CIVIL FUSION SEMICONDUCTOR CASE</w:t>
      </w:r>
    </w:p>
    <w:p w14:paraId="1B4D31EC" w14:textId="77777777" w:rsidR="008B176B" w:rsidRDefault="009D00BC">
      <w:pPr>
        <w:spacing w:before="80" w:after="40"/>
        <w:ind w:left="360"/>
      </w:pPr>
      <w:r>
        <w:rPr>
          <w:b/>
          <w:bCs/>
          <w:color w:val="2E5F8A"/>
          <w:sz w:val="21"/>
          <w:szCs w:val="21"/>
        </w:rPr>
        <w:t>OBSERVED CONDUCT</w:t>
      </w:r>
    </w:p>
    <w:p w14:paraId="7B80FD14" w14:textId="77777777" w:rsidR="008B176B" w:rsidRDefault="009D00BC">
      <w:pPr>
        <w:spacing w:after="80"/>
        <w:ind w:left="360"/>
      </w:pPr>
      <w:r>
        <w:rPr>
          <w:sz w:val="21"/>
          <w:szCs w:val="21"/>
        </w:rPr>
        <w:t>BIS Entity List additions for Huawei Technologies (May 2019, updated 2020), SMIC (December 2020), and associated affiliates under 15 C.F.R. § 744.11 applied license requirements to all EAR-controlled items — effectively denying access to advanced semiconductor manufacturing equipment and design software. The concurrent Foreign Direct Product Rule expansion (2020, further amended 2022) extended U.S. jurisdiction to items produced anywhere using U.S. semiconductor equipment, software, or design IP, reaching T</w:t>
      </w:r>
      <w:r>
        <w:rPr>
          <w:sz w:val="21"/>
          <w:szCs w:val="21"/>
        </w:rPr>
        <w:t>SMC, Samsung, and other non-U.S. foundries serving the designated entities. BIS coordinated with the Netherlands (ASML licensing restrictions on DUV shipments, escalated in 2023) and Japan (export control alignment on clean-room equipment).</w:t>
      </w:r>
    </w:p>
    <w:p w14:paraId="1E79DA02" w14:textId="77777777" w:rsidR="008B176B" w:rsidRDefault="009D00BC">
      <w:pPr>
        <w:spacing w:before="80" w:after="40"/>
        <w:ind w:left="360"/>
      </w:pPr>
      <w:r>
        <w:rPr>
          <w:b/>
          <w:bCs/>
          <w:color w:val="2E5F8A"/>
          <w:sz w:val="21"/>
          <w:szCs w:val="21"/>
        </w:rPr>
        <w:t>INSTITUTIONALLY RELEVANT AUTHORITY</w:t>
      </w:r>
    </w:p>
    <w:p w14:paraId="43AD4E3A" w14:textId="77777777" w:rsidR="008B176B" w:rsidRDefault="009D00BC">
      <w:pPr>
        <w:spacing w:after="80"/>
        <w:ind w:left="360"/>
      </w:pPr>
      <w:r>
        <w:rPr>
          <w:sz w:val="21"/>
          <w:szCs w:val="21"/>
        </w:rPr>
        <w:t>ECRA (50 U.S.C. §§ 4801-4852); EAR 15 C.F.R. Part 744 (Entity List, end-use/end-user controls); EAR 15 C.F.R. § 734.9 (FDPR); bilateral export control coordination agreements with Netherlands and Japan under Technology Safeguards Agreement framework.</w:t>
      </w:r>
    </w:p>
    <w:p w14:paraId="6A9ED631" w14:textId="77777777" w:rsidR="008B176B" w:rsidRDefault="009D00BC">
      <w:pPr>
        <w:spacing w:before="80" w:after="40"/>
        <w:ind w:left="360"/>
      </w:pPr>
      <w:r>
        <w:rPr>
          <w:b/>
          <w:bCs/>
          <w:color w:val="2E5F8A"/>
          <w:sz w:val="21"/>
          <w:szCs w:val="21"/>
        </w:rPr>
        <w:t>WHAT THE PRECEDENT SHOWS</w:t>
      </w:r>
    </w:p>
    <w:p w14:paraId="6A8C0ECF" w14:textId="77777777" w:rsidR="008B176B" w:rsidRDefault="009D00BC">
      <w:pPr>
        <w:spacing w:after="80"/>
        <w:ind w:left="360"/>
      </w:pPr>
      <w:r>
        <w:rPr>
          <w:sz w:val="21"/>
          <w:szCs w:val="21"/>
        </w:rPr>
        <w:t>The semiconductor denial case demonstrates three architectural points. First, simultaneous Entity List + FDPR application eliminated the adaptation window that sequential designation left open — Huawei subsidiaries were unable to route around U.S. controls through non-U.S. foundry relationships because the FDPR applied to those foundry relationships simultaneously. Second, allied coordination (Netherlands, Japan) was the decisive variable in effectiveness — unilateral U.S. denial without ASML DUV restrictio</w:t>
      </w:r>
      <w:r>
        <w:rPr>
          <w:sz w:val="21"/>
          <w:szCs w:val="21"/>
        </w:rPr>
        <w:t>n would have been significantly less effective. Third, denial accelerated domestic development investment by the denied entity — SMIC and HiSilicon intensified domestic capability development in response, producing a substitution timeline pressure that limited the denial window.</w:t>
      </w:r>
    </w:p>
    <w:p w14:paraId="1A210274" w14:textId="77777777" w:rsidR="008B176B" w:rsidRDefault="009D00BC">
      <w:pPr>
        <w:spacing w:before="80" w:after="40"/>
        <w:ind w:left="360"/>
      </w:pPr>
      <w:r>
        <w:rPr>
          <w:b/>
          <w:bCs/>
          <w:color w:val="2E5F8A"/>
          <w:sz w:val="21"/>
          <w:szCs w:val="21"/>
        </w:rPr>
        <w:t>CONSTRAINT / CAVEAT</w:t>
      </w:r>
    </w:p>
    <w:p w14:paraId="7F67DB27" w14:textId="77777777" w:rsidR="008B176B" w:rsidRDefault="009D00BC">
      <w:pPr>
        <w:spacing w:after="80"/>
        <w:ind w:left="360"/>
      </w:pPr>
      <w:r>
        <w:rPr>
          <w:sz w:val="21"/>
          <w:szCs w:val="21"/>
        </w:rPr>
        <w:t>FDPR extraterritoriality has generated WTO challenge risk and diplomatic friction with European allies who view it as jurisdictional overreach. The allied fracture risk from simultaneous technology-denial coordination and trade friction with the same partners (Netherlands, Japan, South Korea) remains the largest unresolved implementation gap. Denial buys time; it does not permanently close the technology access pathway if the denied entity can domestically develop or source from non-controlled jurisdictions</w:t>
      </w:r>
      <w:r>
        <w:rPr>
          <w:sz w:val="21"/>
          <w:szCs w:val="21"/>
        </w:rPr>
        <w:t>.</w:t>
      </w:r>
    </w:p>
    <w:p w14:paraId="4E4F5E27" w14:textId="77777777" w:rsidR="008B176B" w:rsidRDefault="009D00BC">
      <w:pPr>
        <w:spacing w:before="80" w:after="40"/>
        <w:ind w:left="360"/>
      </w:pPr>
      <w:r>
        <w:rPr>
          <w:b/>
          <w:bCs/>
          <w:color w:val="2E5F8A"/>
          <w:sz w:val="21"/>
          <w:szCs w:val="21"/>
        </w:rPr>
        <w:t>POLICY IMPLICATION</w:t>
      </w:r>
    </w:p>
    <w:p w14:paraId="55DBE917" w14:textId="77777777" w:rsidR="008B176B" w:rsidRDefault="009D00BC">
      <w:pPr>
        <w:spacing w:after="160"/>
        <w:ind w:left="360"/>
      </w:pPr>
      <w:r>
        <w:rPr>
          <w:sz w:val="21"/>
          <w:szCs w:val="21"/>
        </w:rPr>
        <w:t>Apply the simultaneous Entity List + FDPR protocol as the default for high-value denial targets — sequential action creates adaptation windows that sophisticated targets exploit within 30-90 days. Maintain allied coordination as the necessary condition for FDPR effectiveness — unilateral application without Dutch and Japanese alignment produces jurisdiction arbitrage that undermines denial. Treat the denial window explicitly as a time-limited instrument and invest in allied technological advantage during th</w:t>
      </w:r>
      <w:r>
        <w:rPr>
          <w:sz w:val="21"/>
          <w:szCs w:val="21"/>
        </w:rPr>
        <w:t>e window — denial is only strategically valuable if the denied capability gap translates to a sustained allied advantage.</w:t>
      </w:r>
    </w:p>
    <w:p w14:paraId="7089F8E9" w14:textId="77777777" w:rsidR="008B176B" w:rsidRDefault="008B176B">
      <w:pPr>
        <w:pBdr>
          <w:bottom w:val="single" w:sz="6" w:space="1" w:color="2E5F8A"/>
        </w:pBdr>
        <w:spacing w:before="160" w:after="160"/>
      </w:pPr>
    </w:p>
    <w:p w14:paraId="781EEF83" w14:textId="77777777" w:rsidR="008B176B" w:rsidRDefault="009D00BC">
      <w:pPr>
        <w:pBdr>
          <w:left w:val="single" w:sz="16" w:space="6" w:color="1F3864"/>
        </w:pBdr>
        <w:spacing w:before="240" w:after="80"/>
        <w:ind w:left="360"/>
      </w:pPr>
      <w:r>
        <w:rPr>
          <w:b/>
          <w:bCs/>
          <w:color w:val="1F3864"/>
          <w:sz w:val="24"/>
          <w:szCs w:val="24"/>
        </w:rPr>
        <w:t>ILLUSTRATION 5: INKSNA NONPROLIFERATION SANCTIONS — IRAN MISSILE TECHNOLOGY TRANSFER</w:t>
      </w:r>
    </w:p>
    <w:p w14:paraId="55D771F2" w14:textId="77777777" w:rsidR="008B176B" w:rsidRDefault="009D00BC">
      <w:pPr>
        <w:spacing w:before="80" w:after="40"/>
        <w:ind w:left="360"/>
      </w:pPr>
      <w:r>
        <w:rPr>
          <w:b/>
          <w:bCs/>
          <w:color w:val="2E5F8A"/>
          <w:sz w:val="21"/>
          <w:szCs w:val="21"/>
        </w:rPr>
        <w:t>OBSERVED CONDUCT</w:t>
      </w:r>
    </w:p>
    <w:p w14:paraId="453B2668" w14:textId="77777777" w:rsidR="008B176B" w:rsidRDefault="009D00BC">
      <w:pPr>
        <w:spacing w:after="80"/>
        <w:ind w:left="360"/>
      </w:pPr>
      <w:r>
        <w:rPr>
          <w:sz w:val="21"/>
          <w:szCs w:val="21"/>
        </w:rPr>
        <w:t>The Iran, North Korea, and Syria Nonproliferation Act (INKSNA, 22 U.S.C. §§ 8801-8811, originally the Iran Nonproliferation Act of 2000) requires the President to report to Congress semiannually on transfers to or from Iran, DPRK, or Syria of goods, services, or technology controlled for nuclear, biological, chemical, or missile reasons. Positive findings trigger mandatory sanctions on the transferring entities. INKSNA sanctions have been applied to PRC entities, Russian entities, North Korean entities, and</w:t>
      </w:r>
      <w:r>
        <w:rPr>
          <w:sz w:val="21"/>
          <w:szCs w:val="21"/>
        </w:rPr>
        <w:t xml:space="preserve"> non-state actors across multiple certification cycles. Public INKSNA sanctions lists include entities from PRC, Russia, Ukraine, India, and other jurisdictions. The most recent public certification cycles (2024-2025) include documented PRC-linked entities for transfers related to Iran's missile program.</w:t>
      </w:r>
    </w:p>
    <w:p w14:paraId="093D474A" w14:textId="77777777" w:rsidR="008B176B" w:rsidRDefault="009D00BC">
      <w:pPr>
        <w:spacing w:before="80" w:after="40"/>
        <w:ind w:left="360"/>
      </w:pPr>
      <w:r>
        <w:rPr>
          <w:b/>
          <w:bCs/>
          <w:color w:val="2E5F8A"/>
          <w:sz w:val="21"/>
          <w:szCs w:val="21"/>
        </w:rPr>
        <w:t>INSTITUTIONALLY RELEVANT AUTHORITY</w:t>
      </w:r>
    </w:p>
    <w:p w14:paraId="0EE49DC1" w14:textId="77777777" w:rsidR="008B176B" w:rsidRDefault="009D00BC">
      <w:pPr>
        <w:spacing w:after="80"/>
        <w:ind w:left="360"/>
      </w:pPr>
      <w:r>
        <w:rPr>
          <w:sz w:val="21"/>
          <w:szCs w:val="21"/>
        </w:rPr>
        <w:t>INKSNA (22 U.S.C. §§ 8801-8811); mandatory sanctions under § 8803 upon positive determination; State Department lead for determination and Congressional notification; coordination with OFAC for implementing sanctions actions.</w:t>
      </w:r>
    </w:p>
    <w:p w14:paraId="7384AD9B" w14:textId="77777777" w:rsidR="008B176B" w:rsidRDefault="009D00BC">
      <w:pPr>
        <w:spacing w:before="80" w:after="40"/>
        <w:ind w:left="360"/>
      </w:pPr>
      <w:r>
        <w:rPr>
          <w:b/>
          <w:bCs/>
          <w:color w:val="2E5F8A"/>
          <w:sz w:val="21"/>
          <w:szCs w:val="21"/>
        </w:rPr>
        <w:t>WHAT THE PRECEDENT SHOWS</w:t>
      </w:r>
    </w:p>
    <w:p w14:paraId="440511DD" w14:textId="77777777" w:rsidR="008B176B" w:rsidRDefault="009D00BC">
      <w:pPr>
        <w:spacing w:after="80"/>
        <w:ind w:left="360"/>
      </w:pPr>
      <w:r>
        <w:rPr>
          <w:sz w:val="21"/>
          <w:szCs w:val="21"/>
        </w:rPr>
        <w:t>INKSNA sanctions demonstrate the mandatory-character advantage: once the State Department makes a positive determination that a covered transfer occurred, sanctions are mandatory — the political flexibility to defer or waive (absent a Presidential national-interest waiver documented to Congress) is limited. This mandatory character substantially increases deterrence credibility compared to discretionary authorities. The public certification cycle creates a predictable enforcement rhythm that sophisticated a</w:t>
      </w:r>
      <w:r>
        <w:rPr>
          <w:sz w:val="21"/>
          <w:szCs w:val="21"/>
        </w:rPr>
        <w:t>ctors can anticipate, but also allows Congress to exert oversight pressure on unduly delayed certifications.</w:t>
      </w:r>
    </w:p>
    <w:p w14:paraId="118B1D2F" w14:textId="77777777" w:rsidR="008B176B" w:rsidRDefault="009D00BC">
      <w:pPr>
        <w:spacing w:before="80" w:after="40"/>
        <w:ind w:left="360"/>
      </w:pPr>
      <w:r>
        <w:rPr>
          <w:b/>
          <w:bCs/>
          <w:color w:val="2E5F8A"/>
          <w:sz w:val="21"/>
          <w:szCs w:val="21"/>
        </w:rPr>
        <w:t>CONSTRAINT / CAVEAT</w:t>
      </w:r>
    </w:p>
    <w:p w14:paraId="20EB5C02" w14:textId="77777777" w:rsidR="008B176B" w:rsidRDefault="009D00BC">
      <w:pPr>
        <w:spacing w:after="80"/>
        <w:ind w:left="360"/>
      </w:pPr>
      <w:r>
        <w:rPr>
          <w:sz w:val="21"/>
          <w:szCs w:val="21"/>
        </w:rPr>
        <w:t>INKSNA determinations require documented evidence of a covered transfer — anecdotal or single-source intelligence reporting is insufficient for the State Department determination record. Diplomatic cost of INKSNA sanctions against PRC-linked entities is real: every certification cycle that includes PRC entities generates diplomatic protest and complicates bilateral engagement. The predictable certification cycle means that sophisticated actors can attempt to structure transfers to fall below the determinati</w:t>
      </w:r>
      <w:r>
        <w:rPr>
          <w:sz w:val="21"/>
          <w:szCs w:val="21"/>
        </w:rPr>
        <w:t>on threshold or route through jurisdictions with lower INKSNA exposure. State Department determination timelines have been criticized in the open record as insufficiently responsive to emerging transfer patterns.</w:t>
      </w:r>
    </w:p>
    <w:p w14:paraId="00357A98" w14:textId="77777777" w:rsidR="008B176B" w:rsidRDefault="009D00BC">
      <w:pPr>
        <w:spacing w:before="80" w:after="40"/>
        <w:ind w:left="360"/>
      </w:pPr>
      <w:r>
        <w:rPr>
          <w:b/>
          <w:bCs/>
          <w:color w:val="2E5F8A"/>
          <w:sz w:val="21"/>
          <w:szCs w:val="21"/>
        </w:rPr>
        <w:t>POLICY IMPLICATION</w:t>
      </w:r>
    </w:p>
    <w:p w14:paraId="1EACBFBC" w14:textId="77777777" w:rsidR="008B176B" w:rsidRDefault="009D00BC">
      <w:pPr>
        <w:spacing w:after="160"/>
        <w:ind w:left="360"/>
      </w:pPr>
      <w:r>
        <w:rPr>
          <w:sz w:val="21"/>
          <w:szCs w:val="21"/>
        </w:rPr>
        <w:t>Treat INKSNA as a first-order accountability mechanism for documented WMD-relevant technology transfers — its mandatory character makes it more credible than discretionary OFAC secondary-sanctions authorities for the same conduct. Pre-stage State Department determination packages for documented transfer patterns before the certification cycle — reactive certification based on post-transfer discovery is less effective than proactive file-building. Coordinate INKSNA determinations with simultaneous BIS Entity</w:t>
      </w:r>
      <w:r>
        <w:rPr>
          <w:sz w:val="21"/>
          <w:szCs w:val="21"/>
        </w:rPr>
        <w:t xml:space="preserve"> List action where the transferred technology meets both INKSNA and EAR control criteria — simultaneous action closes both financial and technology-access pathways simultaneously.</w:t>
      </w:r>
    </w:p>
    <w:p w14:paraId="644450B5" w14:textId="77777777" w:rsidR="008B176B" w:rsidRDefault="008B176B">
      <w:pPr>
        <w:pBdr>
          <w:bottom w:val="single" w:sz="6" w:space="1" w:color="2E5F8A"/>
        </w:pBdr>
        <w:spacing w:before="160" w:after="160"/>
      </w:pPr>
    </w:p>
    <w:p w14:paraId="2BD92DEF" w14:textId="77777777" w:rsidR="008B176B" w:rsidRDefault="009D00BC">
      <w:r>
        <w:br w:type="page"/>
      </w:r>
    </w:p>
    <w:p w14:paraId="45C3FF2B" w14:textId="77777777" w:rsidR="008B176B" w:rsidRDefault="009D00BC">
      <w:pPr>
        <w:pStyle w:val="Heading1"/>
      </w:pPr>
      <w:r>
        <w:t>RESEARCH AGENDA — OPEN QUESTIONS THIS FRAMEWORK GENERATES</w:t>
      </w:r>
    </w:p>
    <w:p w14:paraId="0B20EA31" w14:textId="77777777" w:rsidR="008B176B" w:rsidRDefault="009D00BC">
      <w:pPr>
        <w:spacing w:before="80" w:after="80"/>
      </w:pPr>
      <w:r>
        <w:t>A policy framework that cannot identify what it does not know is analytically incomplete. This section does not summarize the paper — it identifies the questions the paper generates but cannot resolve. These are candidates for further research, not acknowledged weaknesses of the framework.</w:t>
      </w:r>
    </w:p>
    <w:p w14:paraId="08C51DEA" w14:textId="77777777" w:rsidR="008B176B" w:rsidRDefault="008B176B">
      <w:pPr>
        <w:spacing w:before="40" w:after="40"/>
      </w:pPr>
    </w:p>
    <w:p w14:paraId="0D1951C2" w14:textId="77777777" w:rsidR="008B176B" w:rsidRDefault="009D00BC">
      <w:pPr>
        <w:spacing w:before="160" w:after="40"/>
      </w:pPr>
      <w:r>
        <w:rPr>
          <w:b/>
          <w:bCs/>
          <w:color w:val="1F3864"/>
        </w:rPr>
        <w:t>1. Under what conditions does PRC enabling conduct shift from commercial-intermediary behavior to active state direction?</w:t>
      </w:r>
    </w:p>
    <w:p w14:paraId="1F623859" w14:textId="77777777" w:rsidR="008B176B" w:rsidRDefault="009D00BC">
      <w:pPr>
        <w:spacing w:before="80" w:after="80"/>
      </w:pPr>
      <w:r>
        <w:t xml:space="preserve">KJ 5b treats the crisis-contingency escalation of PRC enabling conduct as a monitored variable at low-to-moderate confidence. The analytical work required to answer this question is a first-order research priority: what observable indicators distinguish Enablement-tier commercial facilitation from Direct Tasking? What evidentiary threshold is sufficient to reclassify PRC enabling conduct upward on the nexus ladder in a crisis context? What enforcement architecture is appropriate for Direct Tasking conduct, </w:t>
      </w:r>
      <w:r>
        <w:t>and how does it differ from the Enablement-tier architecture in this paper? This question cannot be resolved on open-source evidence alone — it requires classified intelligence corroboration — but the analytical framework for what evidence would be sufficient to answer it can and should be developed on open sources.</w:t>
      </w:r>
    </w:p>
    <w:p w14:paraId="16188301" w14:textId="77777777" w:rsidR="008B176B" w:rsidRDefault="008B176B">
      <w:pPr>
        <w:spacing w:before="40" w:after="40"/>
      </w:pPr>
    </w:p>
    <w:p w14:paraId="45667A94" w14:textId="77777777" w:rsidR="008B176B" w:rsidRDefault="009D00BC">
      <w:pPr>
        <w:spacing w:before="160" w:after="40"/>
      </w:pPr>
      <w:r>
        <w:rPr>
          <w:b/>
          <w:bCs/>
          <w:color w:val="1F3864"/>
        </w:rPr>
        <w:t>2. Does the Coalition Conflict Resolution Protocol proposed in Section IV.A have a viable institutional home in the current interagency architecture?</w:t>
      </w:r>
    </w:p>
    <w:p w14:paraId="077968F8" w14:textId="77777777" w:rsidR="008B176B" w:rsidRDefault="009D00BC">
      <w:pPr>
        <w:spacing w:before="80" w:after="80"/>
      </w:pPr>
      <w:r>
        <w:t>The CCRP proposed in this paper is structurally coherent but institutionally unanchored. The NSC Senior Directors for International Economics and Technology/National Security are the proposed coordinating mechanism, but the current interagency structure does not assign either office formal authority over the trade-friction / technology-denial conflict when it arises. Research question: what is the minimum institutional change — at the NSC, USTR, or Commerce level — required to make an explicit priority rule</w:t>
      </w:r>
      <w:r>
        <w:t xml:space="preserve"> for technology-denial over tariff escalation operationally effective? This is a question about bureaucratic politics and interagency authority, not just policy design.</w:t>
      </w:r>
    </w:p>
    <w:p w14:paraId="57BCA678" w14:textId="77777777" w:rsidR="008B176B" w:rsidRDefault="008B176B">
      <w:pPr>
        <w:spacing w:before="40" w:after="40"/>
      </w:pPr>
    </w:p>
    <w:p w14:paraId="7B4B2228" w14:textId="77777777" w:rsidR="008B176B" w:rsidRDefault="009D00BC">
      <w:pPr>
        <w:spacing w:before="160" w:after="40"/>
      </w:pPr>
      <w:r>
        <w:rPr>
          <w:b/>
          <w:bCs/>
          <w:color w:val="1F3864"/>
        </w:rPr>
        <w:t>3. What is the actual evidentiary threshold required for a CISADA § 104 determination against a major PRC state-adjacent financial institution to survive both judicial review and coalition scrutiny simultaneously?</w:t>
      </w:r>
    </w:p>
    <w:p w14:paraId="0C6A4D33" w14:textId="77777777" w:rsidR="008B176B" w:rsidRDefault="009D00BC">
      <w:pPr>
        <w:spacing w:before="80" w:after="80"/>
      </w:pPr>
      <w:r>
        <w:t xml:space="preserve">This paper treats confirmed attribution across multiple independently verified sources as a durability rule for Tier 2 institutional designations. But the evidentiary record for CISADA § 104 actions against PRC-linked financial institutions is sparse — no action at that scale has been taken and tested in litigation. The question of what evidentiary quality actually satisfies the 'knowingly facilitated a significant transaction' standard in a context where the target is a sovereign-adjacent institution with </w:t>
      </w:r>
      <w:r>
        <w:t>significant third-country relationships is empirically open. This is a high-stakes empirical gap: getting the threshold wrong in either direction produces either litigation reversal or coalition fracture.</w:t>
      </w:r>
    </w:p>
    <w:p w14:paraId="652049F5" w14:textId="77777777" w:rsidR="008B176B" w:rsidRDefault="008B176B">
      <w:pPr>
        <w:spacing w:before="40" w:after="40"/>
      </w:pPr>
    </w:p>
    <w:p w14:paraId="22C23132" w14:textId="77777777" w:rsidR="008B176B" w:rsidRDefault="009D00BC">
      <w:pPr>
        <w:spacing w:before="160" w:after="40"/>
      </w:pPr>
      <w:r>
        <w:rPr>
          <w:b/>
          <w:bCs/>
          <w:color w:val="1F3864"/>
        </w:rPr>
        <w:t>4. Can the GL conditionality architecture proposed for Venezuela (Section I.B) be designed to price shadow-layer actors into compliance rather than simply designating them out of the market?</w:t>
      </w:r>
    </w:p>
    <w:p w14:paraId="0EE601F1" w14:textId="77777777" w:rsidR="008B176B" w:rsidRDefault="009D00BC">
      <w:pPr>
        <w:spacing w:before="80" w:after="80"/>
      </w:pPr>
      <w:r>
        <w:t>The paper argues that GL 46/47 conditionality creates a structural choice for PRC-linked shadow intermediaries in Venezuela — compliance with GL terms is now economically rational for actors who want access to the expanding legitimate market. The research question is whether this can actually be operationalized: what GL conditions are structurally effective at altering the cost-benefit calculation for shadow-layer actors rather than simply creating a compliance hurdle for legitimate actors? This requires em</w:t>
      </w:r>
      <w:r>
        <w:t>pirical analysis of the Venezuela oil-trade economics under the new GL architecture — analysis that requires current commercial data and is not available on open sources as of the date of this paper.</w:t>
      </w:r>
    </w:p>
    <w:p w14:paraId="28E52590" w14:textId="77777777" w:rsidR="008B176B" w:rsidRDefault="008B176B">
      <w:pPr>
        <w:spacing w:before="40" w:after="40"/>
      </w:pPr>
    </w:p>
    <w:p w14:paraId="79DEC2D3" w14:textId="77777777" w:rsidR="008B176B" w:rsidRDefault="009D00BC">
      <w:pPr>
        <w:spacing w:before="160" w:after="40"/>
      </w:pPr>
      <w:r>
        <w:rPr>
          <w:b/>
          <w:bCs/>
          <w:color w:val="1F3864"/>
        </w:rPr>
        <w:t>5. What is the OSINT ceiling for sanctions-network analysis, and what government data access would materially improve analytical precision?</w:t>
      </w:r>
    </w:p>
    <w:p w14:paraId="71E51DB9" w14:textId="77777777" w:rsidR="008B176B" w:rsidRDefault="009D00BC">
      <w:pPr>
        <w:spacing w:before="80" w:after="80"/>
      </w:pPr>
      <w:r>
        <w:t>The OSINT Accessibility mapping in Section V is a first attempt to answer this question for the specific metrics in this paper. The broader research question is systematic: across the full range of sanctions-network analytical tasks — target identification, network mapping, effect-size estimation, reconstitution tracking — where exactly does open-source analysis hit its ceiling, and what specific government data access (FinCEN SARs, NSA signals, allied FIU reporting, classified satellite imagery) would impr</w:t>
      </w:r>
      <w:r>
        <w:t>ove precision to an operationally useful degree? This is a methodological question for the sanctions-research field, not just for this paper, and its answer would significantly improve the quality of academic sanctions research that currently operates under significant data-access constraints.</w:t>
      </w:r>
    </w:p>
    <w:p w14:paraId="7DB232D2" w14:textId="77777777" w:rsidR="008B176B" w:rsidRDefault="008B176B">
      <w:pPr>
        <w:spacing w:before="40" w:after="40"/>
      </w:pPr>
    </w:p>
    <w:p w14:paraId="3854A2CB" w14:textId="77777777" w:rsidR="008B176B" w:rsidRDefault="009D00BC">
      <w:r>
        <w:br w:type="page"/>
      </w:r>
    </w:p>
    <w:p w14:paraId="21F60D01" w14:textId="77777777" w:rsidR="008B176B" w:rsidRDefault="009D00BC">
      <w:pPr>
        <w:pStyle w:val="Heading1"/>
      </w:pPr>
      <w:r>
        <w:t>COMPANION PAPER INTEGRATION NOTES</w:t>
      </w:r>
    </w:p>
    <w:p w14:paraId="775DAF3C" w14:textId="77777777" w:rsidR="008B176B" w:rsidRDefault="009D00BC">
      <w:pPr>
        <w:spacing w:before="80" w:after="80"/>
      </w:pPr>
      <w:r>
        <w:t>This paper is the capstone of a series of independent policy research documents. Each companion paper addresses a distinct analytical domain; together they form an integrated framework for lawful competitive statecraft and sanctions-network disruption. The following notes summarize the integration relationship.</w:t>
      </w:r>
    </w:p>
    <w:p w14:paraId="601882C3" w14:textId="77777777" w:rsidR="008B176B" w:rsidRDefault="008B176B">
      <w:pPr>
        <w:spacing w:before="40" w:after="4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B176B" w14:paraId="6692F3F7" w14:textId="77777777" w:rsidTr="009D00BC">
        <w:tblPrEx>
          <w:tblCellMar>
            <w:top w:w="0" w:type="dxa"/>
            <w:bottom w:w="0" w:type="dxa"/>
          </w:tblCellMar>
        </w:tblPrEx>
        <w:tc>
          <w:tcPr>
            <w:tcW w:w="2400" w:type="dxa"/>
            <w:tcBorders>
              <w:top w:val="single" w:sz="1" w:space="0" w:color="AABBCC"/>
              <w:left w:val="single" w:sz="1" w:space="0" w:color="AABBCC"/>
              <w:bottom w:val="single" w:sz="1" w:space="0" w:color="AABBCC"/>
              <w:right w:val="single" w:sz="1" w:space="0" w:color="AABBCC"/>
            </w:tcBorders>
            <w:shd w:val="clear" w:color="auto" w:fill="1F3864"/>
            <w:tcMar>
              <w:top w:w="80" w:type="dxa"/>
              <w:left w:w="120" w:type="dxa"/>
              <w:bottom w:w="80" w:type="dxa"/>
              <w:right w:w="120" w:type="dxa"/>
            </w:tcMar>
          </w:tcPr>
          <w:p w14:paraId="275D5752" w14:textId="77777777" w:rsidR="008B176B" w:rsidRDefault="009D00BC">
            <w:r>
              <w:rPr>
                <w:b/>
                <w:bCs/>
                <w:color w:val="FFFFFF"/>
                <w:sz w:val="20"/>
                <w:szCs w:val="20"/>
              </w:rPr>
              <w:t>Companion Paper</w:t>
            </w:r>
          </w:p>
        </w:tc>
        <w:tc>
          <w:tcPr>
            <w:tcW w:w="6960" w:type="dxa"/>
            <w:tcBorders>
              <w:top w:val="single" w:sz="1" w:space="0" w:color="AABBCC"/>
              <w:left w:val="single" w:sz="1" w:space="0" w:color="AABBCC"/>
              <w:bottom w:val="single" w:sz="1" w:space="0" w:color="AABBCC"/>
              <w:right w:val="single" w:sz="1" w:space="0" w:color="AABBCC"/>
            </w:tcBorders>
            <w:shd w:val="clear" w:color="auto" w:fill="1F3864"/>
            <w:tcMar>
              <w:top w:w="80" w:type="dxa"/>
              <w:left w:w="120" w:type="dxa"/>
              <w:bottom w:w="80" w:type="dxa"/>
              <w:right w:w="120" w:type="dxa"/>
            </w:tcMar>
          </w:tcPr>
          <w:p w14:paraId="42EBAE85" w14:textId="77777777" w:rsidR="008B176B" w:rsidRDefault="009D00BC">
            <w:r>
              <w:rPr>
                <w:b/>
                <w:bCs/>
                <w:color w:val="FFFFFF"/>
                <w:sz w:val="20"/>
                <w:szCs w:val="20"/>
              </w:rPr>
              <w:t>Integration Relationship</w:t>
            </w:r>
          </w:p>
        </w:tc>
      </w:tr>
      <w:tr w:rsidR="008B176B" w14:paraId="4808D6CE" w14:textId="77777777" w:rsidTr="009D00BC">
        <w:tblPrEx>
          <w:tblCellMar>
            <w:top w:w="0" w:type="dxa"/>
            <w:bottom w:w="0" w:type="dxa"/>
          </w:tblCellMar>
        </w:tblPrEx>
        <w:tc>
          <w:tcPr>
            <w:tcW w:w="240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2EA627CB" w14:textId="77777777" w:rsidR="008B176B" w:rsidRDefault="009D00BC">
            <w:pPr>
              <w:spacing w:before="40" w:after="40"/>
            </w:pPr>
            <w:r>
              <w:rPr>
                <w:b/>
                <w:bCs/>
                <w:sz w:val="20"/>
                <w:szCs w:val="20"/>
              </w:rPr>
              <w:t>WP-2026-PERSIST-01 (PERSIST)</w:t>
            </w:r>
          </w:p>
        </w:tc>
        <w:tc>
          <w:tcPr>
            <w:tcW w:w="69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7516127" w14:textId="77777777" w:rsidR="008B176B" w:rsidRDefault="009D00BC">
            <w:pPr>
              <w:spacing w:before="40" w:after="40"/>
            </w:pPr>
            <w:r>
              <w:rPr>
                <w:sz w:val="20"/>
                <w:szCs w:val="20"/>
              </w:rPr>
              <w:t>Litigation-resilient PRC competitive statecraft architecture. PERSIST is one pillar of the broader shielded-network framework addressed in this paper — specifically its export-control, financial-integrity, information, deterrence, and resilience pillars apply directly to the PRC-linked enabling layer described in Section I.D. The standards-of-proof framework, neutral designation-selection rule, tiered escalation ladder, and guardrail-index architecture in PERSIST are the primary procedural models for this p</w:t>
            </w:r>
            <w:r>
              <w:rPr>
                <w:sz w:val="20"/>
                <w:szCs w:val="20"/>
              </w:rPr>
              <w:t>aper's enforcement architecture.</w:t>
            </w:r>
          </w:p>
        </w:tc>
      </w:tr>
      <w:tr w:rsidR="008B176B" w14:paraId="26704526" w14:textId="77777777" w:rsidTr="009D00BC">
        <w:tblPrEx>
          <w:tblCellMar>
            <w:top w:w="0" w:type="dxa"/>
            <w:bottom w:w="0" w:type="dxa"/>
          </w:tblCellMar>
        </w:tblPrEx>
        <w:tc>
          <w:tcPr>
            <w:tcW w:w="240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16257B2C" w14:textId="77777777" w:rsidR="008B176B" w:rsidRDefault="009D00BC">
            <w:pPr>
              <w:spacing w:before="40" w:after="40"/>
            </w:pPr>
            <w:r>
              <w:rPr>
                <w:b/>
                <w:bCs/>
                <w:sz w:val="20"/>
                <w:szCs w:val="20"/>
              </w:rPr>
              <w:t>WP-2026-CONTAIN-01 (CONTAIN)</w:t>
            </w:r>
          </w:p>
        </w:tc>
        <w:tc>
          <w:tcPr>
            <w:tcW w:w="69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6F314C3" w14:textId="77777777" w:rsidR="008B176B" w:rsidRDefault="009D00BC">
            <w:pPr>
              <w:spacing w:before="40" w:after="40"/>
            </w:pPr>
            <w:r>
              <w:rPr>
                <w:sz w:val="20"/>
                <w:szCs w:val="20"/>
              </w:rPr>
              <w:t>Long-term containment framework under multipolar shielding conditions. CONTAIN's scenario-agnostic language explicitly includes PRC-enabled networks tied to Iran, DPRK, and Venezuela/Cuba corridors. The ISAD/SPAD attrition logic, transaction-cost inflation model, DEEI guardrail architecture, and coalition-endurance framework provide the 24-60 month strategic horizon within which this paper's phased sequencing architecture operates.</w:t>
            </w:r>
          </w:p>
        </w:tc>
      </w:tr>
      <w:tr w:rsidR="008B176B" w14:paraId="6FBF8D8C" w14:textId="77777777" w:rsidTr="009D00BC">
        <w:tblPrEx>
          <w:tblCellMar>
            <w:top w:w="0" w:type="dxa"/>
            <w:bottom w:w="0" w:type="dxa"/>
          </w:tblCellMar>
        </w:tblPrEx>
        <w:tc>
          <w:tcPr>
            <w:tcW w:w="240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3C198125" w14:textId="77777777" w:rsidR="008B176B" w:rsidRDefault="009D00BC">
            <w:pPr>
              <w:spacing w:before="40" w:after="40"/>
            </w:pPr>
            <w:proofErr w:type="spellStart"/>
            <w:r>
              <w:rPr>
                <w:b/>
                <w:bCs/>
                <w:sz w:val="20"/>
                <w:szCs w:val="20"/>
              </w:rPr>
              <w:t>WP-2026-MAXPRESS-01</w:t>
            </w:r>
            <w:proofErr w:type="spellEnd"/>
            <w:r>
              <w:rPr>
                <w:b/>
                <w:bCs/>
                <w:sz w:val="20"/>
                <w:szCs w:val="20"/>
              </w:rPr>
              <w:t xml:space="preserve"> (</w:t>
            </w:r>
            <w:proofErr w:type="spellStart"/>
            <w:r>
              <w:rPr>
                <w:b/>
                <w:bCs/>
                <w:sz w:val="20"/>
                <w:szCs w:val="20"/>
              </w:rPr>
              <w:t>MAXPRESS</w:t>
            </w:r>
            <w:proofErr w:type="spellEnd"/>
            <w:r>
              <w:rPr>
                <w:b/>
                <w:bCs/>
                <w:sz w:val="20"/>
                <w:szCs w:val="20"/>
              </w:rPr>
              <w:t>)</w:t>
            </w:r>
          </w:p>
        </w:tc>
        <w:tc>
          <w:tcPr>
            <w:tcW w:w="69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97C4714" w14:textId="77777777" w:rsidR="008B176B" w:rsidRDefault="009D00BC">
            <w:pPr>
              <w:spacing w:before="40" w:after="40"/>
            </w:pPr>
            <w:r>
              <w:rPr>
                <w:sz w:val="20"/>
                <w:szCs w:val="20"/>
              </w:rPr>
              <w:t xml:space="preserve">Coordinated maximum pressure execution framework. </w:t>
            </w:r>
            <w:proofErr w:type="spellStart"/>
            <w:r>
              <w:rPr>
                <w:sz w:val="20"/>
                <w:szCs w:val="20"/>
              </w:rPr>
              <w:t>MAXPRESS</w:t>
            </w:r>
            <w:proofErr w:type="spellEnd"/>
            <w:r>
              <w:rPr>
                <w:sz w:val="20"/>
                <w:szCs w:val="20"/>
              </w:rPr>
              <w:t xml:space="preserve"> functions as one implementation lane within the broader capstone architecture — specifically the designation-sequencing, pre-staged package, and simultaneous multi-authority action protocols described in Section III draw directly from </w:t>
            </w:r>
            <w:proofErr w:type="spellStart"/>
            <w:r>
              <w:rPr>
                <w:sz w:val="20"/>
                <w:szCs w:val="20"/>
              </w:rPr>
              <w:t>MAXPRESS</w:t>
            </w:r>
            <w:proofErr w:type="spellEnd"/>
            <w:r>
              <w:rPr>
                <w:sz w:val="20"/>
                <w:szCs w:val="20"/>
              </w:rPr>
              <w:t xml:space="preserve">. This paper's editorial standard is more restrained than </w:t>
            </w:r>
            <w:proofErr w:type="spellStart"/>
            <w:r>
              <w:rPr>
                <w:sz w:val="20"/>
                <w:szCs w:val="20"/>
              </w:rPr>
              <w:t>MAXPRESS</w:t>
            </w:r>
            <w:proofErr w:type="spellEnd"/>
            <w:r>
              <w:rPr>
                <w:sz w:val="20"/>
                <w:szCs w:val="20"/>
              </w:rPr>
              <w:t xml:space="preserve"> in several places; where they conflict, this paper's standard governs for public-facing use.</w:t>
            </w:r>
          </w:p>
        </w:tc>
      </w:tr>
      <w:tr w:rsidR="009D00BC" w14:paraId="62AA1AF7" w14:textId="77777777" w:rsidTr="009D00BC">
        <w:tblPrEx>
          <w:tblCellMar>
            <w:top w:w="0" w:type="dxa"/>
            <w:bottom w:w="0" w:type="dxa"/>
          </w:tblCellMar>
        </w:tblPrEx>
        <w:tc>
          <w:tcPr>
            <w:tcW w:w="240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22A63869" w14:textId="679A4126" w:rsidR="009D00BC" w:rsidRDefault="009D00BC">
            <w:pPr>
              <w:spacing w:before="40" w:after="40"/>
            </w:pPr>
            <w:r>
              <w:rPr>
                <w:b/>
                <w:bCs/>
                <w:sz w:val="20"/>
                <w:szCs w:val="20"/>
              </w:rPr>
              <w:t>WP-2026-HORMUZ</w:t>
            </w:r>
          </w:p>
        </w:tc>
        <w:tc>
          <w:tcPr>
            <w:tcW w:w="69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DCED40F" w14:textId="77777777" w:rsidR="009D00BC" w:rsidRDefault="009D00BC">
            <w:pPr>
              <w:spacing w:before="40" w:after="40"/>
            </w:pPr>
            <w:r>
              <w:rPr>
                <w:sz w:val="20"/>
                <w:szCs w:val="20"/>
              </w:rPr>
              <w:t>Hormuz Regional Posture Assessment. The maritime and energy contingency framing in Section IV of this paper draws on the Hormuz assessment's synchronization of non-kinetic financial pressure with maritime resilience posture. The Hormuz assessment's banner has been standardized to OPEN SOURCE POLICY ANALYSIS and cross-references this paper at Section VII.</w:t>
            </w:r>
          </w:p>
        </w:tc>
      </w:tr>
      <w:tr w:rsidR="008B176B" w14:paraId="6021E7C2" w14:textId="77777777" w:rsidTr="009D00BC">
        <w:tblPrEx>
          <w:tblCellMar>
            <w:top w:w="0" w:type="dxa"/>
            <w:bottom w:w="0" w:type="dxa"/>
          </w:tblCellMar>
        </w:tblPrEx>
        <w:tc>
          <w:tcPr>
            <w:tcW w:w="240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32D95591" w14:textId="77777777" w:rsidR="008B176B" w:rsidRDefault="009D00BC">
            <w:pPr>
              <w:spacing w:before="40" w:after="40"/>
            </w:pPr>
            <w:r>
              <w:rPr>
                <w:b/>
                <w:bCs/>
                <w:sz w:val="20"/>
                <w:szCs w:val="20"/>
              </w:rPr>
              <w:t>WP-2026-CSE-01 and PRC State Nexus Framework</w:t>
            </w:r>
          </w:p>
        </w:tc>
        <w:tc>
          <w:tcPr>
            <w:tcW w:w="69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6B45B5D" w14:textId="77777777" w:rsidR="008B176B" w:rsidRDefault="009D00BC">
            <w:pPr>
              <w:spacing w:before="40" w:after="40"/>
            </w:pPr>
            <w:r>
              <w:rPr>
                <w:sz w:val="20"/>
                <w:szCs w:val="20"/>
              </w:rPr>
              <w:t>The Five-Rung Commercial State Nexus Ladder (CSE-01) and Four-Level State Nexus Framework (</w:t>
            </w:r>
            <w:proofErr w:type="spellStart"/>
            <w:r>
              <w:rPr>
                <w:sz w:val="20"/>
                <w:szCs w:val="20"/>
              </w:rPr>
              <w:t>prc_nexus_framework</w:t>
            </w:r>
            <w:proofErr w:type="spellEnd"/>
            <w:r>
              <w:rPr>
                <w:sz w:val="20"/>
                <w:szCs w:val="20"/>
              </w:rPr>
              <w:t>) provide the evidentiary attribution architecture that governs actor classification throughout this paper. No major revision is required to either companion; cross-reference is noted in each document's front matter that their frameworks support downstream sanctions, export-control, procurement, and attribution analysis in this capstone.</w:t>
            </w:r>
          </w:p>
        </w:tc>
      </w:tr>
      <w:tr w:rsidR="008B176B" w14:paraId="4E2ABFAF" w14:textId="77777777" w:rsidTr="009D00BC">
        <w:tblPrEx>
          <w:tblCellMar>
            <w:top w:w="0" w:type="dxa"/>
            <w:bottom w:w="0" w:type="dxa"/>
          </w:tblCellMar>
        </w:tblPrEx>
        <w:tc>
          <w:tcPr>
            <w:tcW w:w="240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0FC4E9AD" w14:textId="77777777" w:rsidR="008B176B" w:rsidRDefault="009D00BC">
            <w:pPr>
              <w:spacing w:before="40" w:after="40"/>
            </w:pPr>
            <w:r>
              <w:rPr>
                <w:b/>
                <w:bCs/>
                <w:sz w:val="20"/>
                <w:szCs w:val="20"/>
              </w:rPr>
              <w:t>WP-2026-CPF-02 and WP-2026-CTF-01</w:t>
            </w:r>
          </w:p>
        </w:tc>
        <w:tc>
          <w:tcPr>
            <w:tcW w:w="69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045506B" w14:textId="77777777" w:rsidR="008B176B" w:rsidRDefault="009D00BC">
            <w:pPr>
              <w:spacing w:before="40" w:after="40"/>
            </w:pPr>
            <w:r>
              <w:rPr>
                <w:sz w:val="20"/>
                <w:szCs w:val="20"/>
              </w:rPr>
              <w:t xml:space="preserve">Counter-proliferation finance and counter-terrorist financing frameworks. The substantive instrument analysis in CPF-02 and CTF-01 informs Sections II and III of this paper, particularly on Section 311 class designation, whistleblower program architecture, § 981(k) seizure mechanics, and cryptocurrency enforcement. Editorial note: CPF-02 and CTF-01 have undergone a cooling pass to replace guaranteed-destructive-outcome language with: network degradation, reliability disruption, facilitation cost inflation, </w:t>
            </w:r>
            <w:r>
              <w:rPr>
                <w:sz w:val="20"/>
                <w:szCs w:val="20"/>
              </w:rPr>
              <w:t>compliance attrition, and escalation under existing authorities. This paper does not adopt the sharpest CPF-02/CTF-01 rhetoric and should not be read as endorsing it.</w:t>
            </w:r>
          </w:p>
        </w:tc>
      </w:tr>
      <w:tr w:rsidR="008B176B" w14:paraId="38A2CF12" w14:textId="77777777" w:rsidTr="009D00BC">
        <w:tblPrEx>
          <w:tblCellMar>
            <w:top w:w="0" w:type="dxa"/>
            <w:bottom w:w="0" w:type="dxa"/>
          </w:tblCellMar>
        </w:tblPrEx>
        <w:tc>
          <w:tcPr>
            <w:tcW w:w="240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590879DC" w14:textId="77777777" w:rsidR="008B176B" w:rsidRDefault="009D00BC">
            <w:pPr>
              <w:spacing w:before="40" w:after="40"/>
            </w:pPr>
            <w:r>
              <w:rPr>
                <w:b/>
                <w:bCs/>
                <w:sz w:val="20"/>
                <w:szCs w:val="20"/>
              </w:rPr>
              <w:t>WP-2026-TARIFF-01 (ANCHOR)</w:t>
            </w:r>
          </w:p>
        </w:tc>
        <w:tc>
          <w:tcPr>
            <w:tcW w:w="69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537CC3B" w14:textId="77777777" w:rsidR="008B176B" w:rsidRDefault="009D00BC">
            <w:pPr>
              <w:spacing w:before="40" w:after="40"/>
            </w:pPr>
            <w:r>
              <w:rPr>
                <w:sz w:val="20"/>
                <w:szCs w:val="20"/>
              </w:rPr>
              <w:t xml:space="preserve">Tariff and trade enforcement architecture. ANCHOR operates at the import-flow layer and is complementary to this paper's financial, export-control, and maritime tools. The ANCHOR guardrail architecture (five economic shock indicators) and the coalition-risk review memo requirement are referenced in this paper's Phase V crisis-contingency section as binding parallel constraints. Tariff measures and financial enforcement measures should not be escalated concurrently without coordinated guardrail review — the </w:t>
            </w:r>
            <w:r>
              <w:rPr>
                <w:sz w:val="20"/>
                <w:szCs w:val="20"/>
              </w:rPr>
              <w:t>combined cost-imposition profile may exceed coalition and domestic tolerance thresholds before either measure achieves its strategic objective.</w:t>
            </w:r>
          </w:p>
        </w:tc>
      </w:tr>
    </w:tbl>
    <w:p w14:paraId="58EEC4FF" w14:textId="77777777" w:rsidR="008B176B" w:rsidRDefault="008B176B">
      <w:pPr>
        <w:spacing w:before="40" w:after="40"/>
      </w:pPr>
    </w:p>
    <w:p w14:paraId="5B085436" w14:textId="77777777" w:rsidR="008B176B" w:rsidRDefault="008B176B">
      <w:pPr>
        <w:spacing w:before="40" w:after="40"/>
      </w:pPr>
    </w:p>
    <w:p w14:paraId="699372D5" w14:textId="77777777" w:rsidR="008B176B" w:rsidRDefault="008B176B">
      <w:pPr>
        <w:pBdr>
          <w:bottom w:val="single" w:sz="6" w:space="1" w:color="2E5F8A"/>
        </w:pBdr>
        <w:spacing w:before="160" w:after="160"/>
      </w:pPr>
    </w:p>
    <w:p w14:paraId="58A93FB3" w14:textId="77777777" w:rsidR="008B176B" w:rsidRDefault="009D00BC">
      <w:pPr>
        <w:spacing w:before="240" w:after="80"/>
        <w:jc w:val="center"/>
      </w:pPr>
      <w:r>
        <w:rPr>
          <w:b/>
          <w:bCs/>
          <w:color w:val="2E5F8A"/>
          <w:sz w:val="20"/>
          <w:szCs w:val="20"/>
        </w:rPr>
        <w:t>WP-2026-SHIELD-01 | UNCLASSIFIED // OPEN SOURCE POLICY ANALYSIS</w:t>
      </w:r>
    </w:p>
    <w:p w14:paraId="6FFDAC90" w14:textId="77777777" w:rsidR="008B176B" w:rsidRDefault="009D00BC">
      <w:pPr>
        <w:spacing w:after="80"/>
        <w:jc w:val="center"/>
      </w:pPr>
      <w:r>
        <w:rPr>
          <w:color w:val="7F7F7F"/>
          <w:sz w:val="20"/>
          <w:szCs w:val="20"/>
        </w:rPr>
        <w:t>Independent Policy Research | March 2026</w:t>
      </w:r>
    </w:p>
    <w:p w14:paraId="71D1F7C9" w14:textId="77777777" w:rsidR="008B176B" w:rsidRDefault="009D00BC">
      <w:pPr>
        <w:jc w:val="center"/>
      </w:pPr>
      <w:r>
        <w:rPr>
          <w:color w:val="7F7F7F"/>
          <w:sz w:val="18"/>
          <w:szCs w:val="18"/>
        </w:rPr>
        <w:t>This working paper is produced for informational and policy analysis purposes only. It does not constitute legal advice, official government guidance, or the position of any government agency, intelligence community element, or academic institution. All statutory and executive authority citations are drawn from publicly available United States federal law and policy instruments. This paper does not direct covert action, battlefield targeting, or operational military planning. Nothing in this paper constitut</w:t>
      </w:r>
      <w:r>
        <w:rPr>
          <w:color w:val="7F7F7F"/>
          <w:sz w:val="18"/>
          <w:szCs w:val="18"/>
        </w:rPr>
        <w:t>es a recommendation for indiscriminate measures against civilians or lawful civilian commerce.</w:t>
      </w:r>
    </w:p>
    <w:sectPr w:rsidR="008B176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D4C70" w14:textId="77777777" w:rsidR="009D00BC" w:rsidRDefault="009D00BC">
      <w:r>
        <w:separator/>
      </w:r>
    </w:p>
  </w:endnote>
  <w:endnote w:type="continuationSeparator" w:id="0">
    <w:p w14:paraId="59619B1A" w14:textId="77777777" w:rsidR="009D00BC" w:rsidRDefault="009D00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95DC1" w14:textId="421895D9" w:rsidR="008B176B" w:rsidRDefault="009D00BC">
    <w:pPr>
      <w:pBdr>
        <w:top w:val="single" w:sz="4" w:space="1" w:color="2E5F8A"/>
      </w:pBdr>
      <w:tabs>
        <w:tab w:val="right" w:pos="9360"/>
      </w:tabs>
    </w:pPr>
    <w:r>
      <w:rPr>
        <w:color w:val="9F9F9F"/>
        <w:sz w:val="18"/>
        <w:szCs w:val="18"/>
      </w:rPr>
      <w:t>PRC-Supported Sanctions Resilience</w:t>
    </w:r>
    <w:r>
      <w:rPr>
        <w:color w:val="9F9F9F"/>
        <w:sz w:val="18"/>
        <w:szCs w:val="18"/>
      </w:rPr>
      <w:tab/>
      <w:t xml:space="preserve">Page </w:t>
    </w:r>
    <w:r>
      <w:rPr>
        <w:color w:val="9F9F9F"/>
        <w:sz w:val="18"/>
        <w:szCs w:val="18"/>
      </w:rPr>
      <w:fldChar w:fldCharType="begin"/>
    </w:r>
    <w:r>
      <w:rPr>
        <w:color w:val="9F9F9F"/>
        <w:sz w:val="18"/>
        <w:szCs w:val="18"/>
      </w:rPr>
      <w:instrText>PAGE</w:instrText>
    </w:r>
    <w:r>
      <w:rPr>
        <w:color w:val="9F9F9F"/>
        <w:sz w:val="18"/>
        <w:szCs w:val="18"/>
      </w:rPr>
      <w:fldChar w:fldCharType="separate"/>
    </w:r>
    <w:r w:rsidR="00871619">
      <w:rPr>
        <w:noProof/>
        <w:color w:val="9F9F9F"/>
        <w:sz w:val="18"/>
        <w:szCs w:val="18"/>
      </w:rPr>
      <w:t>1</w:t>
    </w:r>
    <w:r>
      <w:rPr>
        <w:color w:val="9F9F9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F588B" w14:textId="77777777" w:rsidR="009D00BC" w:rsidRDefault="009D00BC">
      <w:r>
        <w:separator/>
      </w:r>
    </w:p>
  </w:footnote>
  <w:footnote w:type="continuationSeparator" w:id="0">
    <w:p w14:paraId="2A3600CA" w14:textId="77777777" w:rsidR="009D00BC" w:rsidRDefault="009D00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DA36D" w14:textId="77777777" w:rsidR="008B176B" w:rsidRDefault="009D00BC">
    <w:pPr>
      <w:pBdr>
        <w:bottom w:val="single" w:sz="4" w:space="1" w:color="2E5F8A"/>
      </w:pBdr>
    </w:pPr>
    <w:r>
      <w:rPr>
        <w:color w:val="2E5F8A"/>
        <w:sz w:val="18"/>
        <w:szCs w:val="18"/>
      </w:rPr>
      <w:t>WP-2026-SHIELD-01  |  UNCLASSIFIED // OPEN SOURCE POLICY ANALYSIS</w:t>
    </w:r>
    <w:r>
      <w:rPr>
        <w:color w:val="9F9F9F"/>
        <w:sz w:val="18"/>
        <w:szCs w:val="18"/>
      </w:rPr>
      <w:t xml:space="preserve">  |  Independent Policy Research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8B1AFC"/>
    <w:multiLevelType w:val="hybridMultilevel"/>
    <w:tmpl w:val="FFFFFFFF"/>
    <w:lvl w:ilvl="0" w:tplc="B96ACC7E">
      <w:start w:val="1"/>
      <w:numFmt w:val="bullet"/>
      <w:lvlText w:val="•"/>
      <w:lvlJc w:val="left"/>
      <w:pPr>
        <w:ind w:left="720" w:hanging="360"/>
      </w:pPr>
    </w:lvl>
    <w:lvl w:ilvl="1" w:tplc="AAA06940">
      <w:start w:val="1"/>
      <w:numFmt w:val="bullet"/>
      <w:lvlText w:val="–"/>
      <w:lvlJc w:val="left"/>
      <w:pPr>
        <w:ind w:left="1080" w:hanging="360"/>
      </w:pPr>
    </w:lvl>
    <w:lvl w:ilvl="2" w:tplc="39D04DA4">
      <w:numFmt w:val="decimal"/>
      <w:lvlText w:val=""/>
      <w:lvlJc w:val="left"/>
    </w:lvl>
    <w:lvl w:ilvl="3" w:tplc="EE8C30D0">
      <w:numFmt w:val="decimal"/>
      <w:lvlText w:val=""/>
      <w:lvlJc w:val="left"/>
    </w:lvl>
    <w:lvl w:ilvl="4" w:tplc="054CB884">
      <w:numFmt w:val="decimal"/>
      <w:lvlText w:val=""/>
      <w:lvlJc w:val="left"/>
    </w:lvl>
    <w:lvl w:ilvl="5" w:tplc="2380466E">
      <w:numFmt w:val="decimal"/>
      <w:lvlText w:val=""/>
      <w:lvlJc w:val="left"/>
    </w:lvl>
    <w:lvl w:ilvl="6" w:tplc="68C275EE">
      <w:numFmt w:val="decimal"/>
      <w:lvlText w:val=""/>
      <w:lvlJc w:val="left"/>
    </w:lvl>
    <w:lvl w:ilvl="7" w:tplc="A094C5B0">
      <w:numFmt w:val="decimal"/>
      <w:lvlText w:val=""/>
      <w:lvlJc w:val="left"/>
    </w:lvl>
    <w:lvl w:ilvl="8" w:tplc="6A76CD6C">
      <w:numFmt w:val="decimal"/>
      <w:lvlText w:val=""/>
      <w:lvlJc w:val="left"/>
    </w:lvl>
  </w:abstractNum>
  <w:abstractNum w:abstractNumId="1" w15:restartNumberingAfterBreak="0">
    <w:nsid w:val="6B112E2A"/>
    <w:multiLevelType w:val="hybridMultilevel"/>
    <w:tmpl w:val="FFFFFFFF"/>
    <w:lvl w:ilvl="0" w:tplc="8F785B00">
      <w:start w:val="1"/>
      <w:numFmt w:val="bullet"/>
      <w:lvlText w:val="●"/>
      <w:lvlJc w:val="left"/>
      <w:pPr>
        <w:ind w:left="720" w:hanging="360"/>
      </w:pPr>
    </w:lvl>
    <w:lvl w:ilvl="1" w:tplc="A516E130">
      <w:start w:val="1"/>
      <w:numFmt w:val="bullet"/>
      <w:lvlText w:val="○"/>
      <w:lvlJc w:val="left"/>
      <w:pPr>
        <w:ind w:left="1440" w:hanging="360"/>
      </w:pPr>
    </w:lvl>
    <w:lvl w:ilvl="2" w:tplc="75AE2556">
      <w:start w:val="1"/>
      <w:numFmt w:val="bullet"/>
      <w:lvlText w:val="■"/>
      <w:lvlJc w:val="left"/>
      <w:pPr>
        <w:ind w:left="2160" w:hanging="360"/>
      </w:pPr>
    </w:lvl>
    <w:lvl w:ilvl="3" w:tplc="BA865FC6">
      <w:start w:val="1"/>
      <w:numFmt w:val="bullet"/>
      <w:lvlText w:val="●"/>
      <w:lvlJc w:val="left"/>
      <w:pPr>
        <w:ind w:left="2880" w:hanging="360"/>
      </w:pPr>
    </w:lvl>
    <w:lvl w:ilvl="4" w:tplc="A48C0B94">
      <w:start w:val="1"/>
      <w:numFmt w:val="bullet"/>
      <w:lvlText w:val="○"/>
      <w:lvlJc w:val="left"/>
      <w:pPr>
        <w:ind w:left="3600" w:hanging="360"/>
      </w:pPr>
    </w:lvl>
    <w:lvl w:ilvl="5" w:tplc="A0CC441E">
      <w:start w:val="1"/>
      <w:numFmt w:val="bullet"/>
      <w:lvlText w:val="■"/>
      <w:lvlJc w:val="left"/>
      <w:pPr>
        <w:ind w:left="4320" w:hanging="360"/>
      </w:pPr>
    </w:lvl>
    <w:lvl w:ilvl="6" w:tplc="8BF009BA">
      <w:start w:val="1"/>
      <w:numFmt w:val="bullet"/>
      <w:lvlText w:val="●"/>
      <w:lvlJc w:val="left"/>
      <w:pPr>
        <w:ind w:left="5040" w:hanging="360"/>
      </w:pPr>
    </w:lvl>
    <w:lvl w:ilvl="7" w:tplc="7FDECD78">
      <w:start w:val="1"/>
      <w:numFmt w:val="bullet"/>
      <w:lvlText w:val="●"/>
      <w:lvlJc w:val="left"/>
      <w:pPr>
        <w:ind w:left="5760" w:hanging="360"/>
      </w:pPr>
    </w:lvl>
    <w:lvl w:ilvl="8" w:tplc="19FC204A">
      <w:start w:val="1"/>
      <w:numFmt w:val="bullet"/>
      <w:lvlText w:val="●"/>
      <w:lvlJc w:val="left"/>
      <w:pPr>
        <w:ind w:left="6480" w:hanging="360"/>
      </w:pPr>
    </w:lvl>
  </w:abstractNum>
  <w:abstractNum w:abstractNumId="2" w15:restartNumberingAfterBreak="0">
    <w:nsid w:val="73211006"/>
    <w:multiLevelType w:val="hybridMultilevel"/>
    <w:tmpl w:val="FFFFFFFF"/>
    <w:lvl w:ilvl="0" w:tplc="E76E1DC2">
      <w:start w:val="1"/>
      <w:numFmt w:val="decimal"/>
      <w:lvlText w:val="%1."/>
      <w:lvlJc w:val="left"/>
      <w:pPr>
        <w:ind w:left="720" w:hanging="360"/>
      </w:pPr>
    </w:lvl>
    <w:lvl w:ilvl="1" w:tplc="DBA2674E">
      <w:numFmt w:val="decimal"/>
      <w:lvlText w:val=""/>
      <w:lvlJc w:val="left"/>
    </w:lvl>
    <w:lvl w:ilvl="2" w:tplc="741A7102">
      <w:numFmt w:val="decimal"/>
      <w:lvlText w:val=""/>
      <w:lvlJc w:val="left"/>
    </w:lvl>
    <w:lvl w:ilvl="3" w:tplc="F0663868">
      <w:numFmt w:val="decimal"/>
      <w:lvlText w:val=""/>
      <w:lvlJc w:val="left"/>
    </w:lvl>
    <w:lvl w:ilvl="4" w:tplc="36DA946C">
      <w:numFmt w:val="decimal"/>
      <w:lvlText w:val=""/>
      <w:lvlJc w:val="left"/>
    </w:lvl>
    <w:lvl w:ilvl="5" w:tplc="6FFC9DC0">
      <w:numFmt w:val="decimal"/>
      <w:lvlText w:val=""/>
      <w:lvlJc w:val="left"/>
    </w:lvl>
    <w:lvl w:ilvl="6" w:tplc="470AA29A">
      <w:numFmt w:val="decimal"/>
      <w:lvlText w:val=""/>
      <w:lvlJc w:val="left"/>
    </w:lvl>
    <w:lvl w:ilvl="7" w:tplc="8188BD02">
      <w:numFmt w:val="decimal"/>
      <w:lvlText w:val=""/>
      <w:lvlJc w:val="left"/>
    </w:lvl>
    <w:lvl w:ilvl="8" w:tplc="9CBEB80A">
      <w:numFmt w:val="decimal"/>
      <w:lvlText w:val=""/>
      <w:lvlJc w:val="left"/>
    </w:lvl>
  </w:abstractNum>
  <w:num w:numId="1" w16cid:durableId="10647235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76B"/>
    <w:rsid w:val="001533D4"/>
    <w:rsid w:val="00871619"/>
    <w:rsid w:val="008B176B"/>
    <w:rsid w:val="009D00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FD7906"/>
  <w15:docId w15:val="{5E879229-3975-E14C-9329-EF13CF514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2E5F8A"/>
      </w:pBdr>
      <w:spacing w:before="400" w:after="200"/>
      <w:outlineLvl w:val="0"/>
    </w:pPr>
    <w:rPr>
      <w:b/>
      <w:bCs/>
      <w:color w:val="1F3864"/>
      <w:sz w:val="30"/>
      <w:szCs w:val="30"/>
    </w:rPr>
  </w:style>
  <w:style w:type="paragraph" w:styleId="Heading2">
    <w:name w:val="heading 2"/>
    <w:uiPriority w:val="9"/>
    <w:unhideWhenUsed/>
    <w:qFormat/>
    <w:pPr>
      <w:spacing w:before="280" w:after="140"/>
      <w:outlineLvl w:val="1"/>
    </w:pPr>
    <w:rPr>
      <w:b/>
      <w:bCs/>
      <w:color w:val="2E5F8A"/>
      <w:sz w:val="26"/>
      <w:szCs w:val="26"/>
    </w:rPr>
  </w:style>
  <w:style w:type="paragraph" w:styleId="Heading3">
    <w:name w:val="heading 3"/>
    <w:uiPriority w:val="9"/>
    <w:unhideWhenUsed/>
    <w:qFormat/>
    <w:pPr>
      <w:spacing w:before="200" w:after="10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23264</Words>
  <Characters>132605</Characters>
  <Application>Microsoft Office Word</Application>
  <DocSecurity>0</DocSecurity>
  <Lines>1105</Lines>
  <Paragraphs>311</Paragraphs>
  <ScaleCrop>false</ScaleCrop>
  <Company/>
  <LinksUpToDate>false</LinksUpToDate>
  <CharactersWithSpaces>155558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Collin B George</cp:lastModifiedBy>
  <cp:revision>3</cp:revision>
  <dcterms:created xsi:type="dcterms:W3CDTF">2026-03-10T19:23:00Z</dcterms:created>
  <dcterms:modified xsi:type="dcterms:W3CDTF">2026-03-11T01:38:00Z</dcterms:modified>
</cp:coreProperties>
</file>