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2E5F8A"/>
          <w:sz w:val="19"/>
          <w:szCs w:val="19"/>
        </w:rPr>
        <w:t xml:space="preserve">UNCLASSIFIED // OPEN SOURCE POLICY ANALYSIS</w:t>
      </w:r>
    </w:p>
    <w:p>
      <w:pPr>
        <w:spacing w:after="60" w:before="60"/>
        <w:jc w:val="center"/>
      </w:pPr>
      <w:r>
        <w:rPr>
          <w:rFonts w:ascii="Arial" w:cs="Arial" w:eastAsia="Arial" w:hAnsi="Arial"/>
          <w:b w:val="false"/>
          <w:bCs w:val="false"/>
          <w:color w:val="7F7F7F"/>
          <w:sz w:val="19"/>
          <w:szCs w:val="19"/>
        </w:rPr>
        <w:t xml:space="preserve">Executive Companion Brief  |  WP-2026-SHIELD-01-EB  |  March 2026</w:t>
      </w:r>
    </w:p>
    <w:p>
      <w:pPr>
        <w:pBdr>
          <w:bottom w:val="single" w:color="2E5F8A" w:sz="6" w:space="1"/>
        </w:pBdr>
        <w:spacing w:after="120" w:before="120"/>
      </w:pPr>
      <w:r>
        <w:t xml:space="preserve"/>
      </w:r>
    </w:p>
    <w:p>
      <w:pPr>
        <w:spacing w:after="60" w:before="360"/>
        <w:jc w:val="center"/>
      </w:pPr>
      <w:r>
        <w:rPr>
          <w:rFonts w:ascii="Arial" w:cs="Arial" w:eastAsia="Arial" w:hAnsi="Arial"/>
          <w:b/>
          <w:bCs/>
          <w:color w:val="1F3864"/>
          <w:sz w:val="38"/>
          <w:szCs w:val="38"/>
        </w:rPr>
        <w:t xml:space="preserve">PRC-SUPPORTED SANCTIONS RESILIENCE:</w:t>
      </w:r>
    </w:p>
    <w:p>
      <w:pPr>
        <w:spacing w:after="60" w:before="60"/>
        <w:jc w:val="center"/>
      </w:pPr>
      <w:r>
        <w:rPr>
          <w:rFonts w:ascii="Arial" w:cs="Arial" w:eastAsia="Arial" w:hAnsi="Arial"/>
          <w:b/>
          <w:bCs/>
          <w:color w:val="2E5F8A"/>
          <w:sz w:val="26"/>
          <w:szCs w:val="26"/>
        </w:rPr>
        <w:t xml:space="preserve">How U.S. Legal-Economic Statecraft Can Disrupt Shielded Partner-State Networks</w:t>
      </w:r>
    </w:p>
    <w:p>
      <w:pPr>
        <w:spacing w:after="120" w:before="60"/>
        <w:jc w:val="center"/>
      </w:pPr>
      <w:r>
        <w:rPr>
          <w:rFonts w:ascii="Arial" w:cs="Arial" w:eastAsia="Arial" w:hAnsi="Arial"/>
          <w:b/>
          <w:bCs/>
          <w:color w:val="1F3864"/>
          <w:sz w:val="22"/>
          <w:szCs w:val="22"/>
        </w:rPr>
        <w:t xml:space="preserve">Collin Blaine George</w:t>
      </w:r>
    </w:p>
    <w:p>
      <w:pPr>
        <w:pBdr>
          <w:bottom w:val="single" w:color="2E5F8A" w:sz="6" w:space="1"/>
        </w:pBdr>
        <w:spacing w:after="120" w:before="120"/>
      </w:pPr>
      <w:r>
        <w:t xml:space="preserve"/>
      </w:r>
    </w:p>
    <w:p>
      <w:pPr>
        <w:spacing w:after="60" w:before="160"/>
        <w:jc w:val="left"/>
      </w:pPr>
      <w:r>
        <w:rPr>
          <w:rFonts w:ascii="Arial" w:cs="Arial" w:eastAsia="Arial" w:hAnsi="Arial"/>
          <w:b w:val="false"/>
          <w:bCs w:val="false"/>
          <w:color w:val="555555"/>
          <w:sz w:val="20"/>
          <w:szCs w:val="20"/>
        </w:rPr>
        <w:t xml:space="preserve">This brief is a decision-support extract from the full flagship paper (WP-2026-SHIELD-01, V7). It presents the key judgments — including the updated KJ 5a/5b split on steady-state versus crisis-contingency PRC enabling conduct — a condensed authority-to-action reference, the five-phase sequencing summary, and the capability/constraint decision box. For the Coalition Conflict Resolution Protocol (Section IV.A), OSINT Accessibility metrics mapping (Section V), Research Agenda, and full risk analysis, see the full paper.</w:t>
      </w:r>
    </w:p>
    <w:p>
      <w:pPr>
        <w:spacing w:after="40" w:before="40"/>
      </w:pPr>
      <w:r>
        <w:t xml:space="preserve"/>
      </w:r>
    </w:p>
    <w:p>
      <w:pPr>
        <w:pStyle w:val="Heading1"/>
        <w:spacing w:after="100" w:before="200"/>
      </w:pPr>
      <w:r>
        <w:rPr>
          <w:rFonts w:ascii="Arial" w:cs="Arial" w:eastAsia="Arial" w:hAnsi="Arial"/>
          <w:b/>
          <w:bCs/>
        </w:rPr>
        <w:t xml:space="preserve">KEY JUDGMENTS</w:t>
      </w:r>
    </w:p>
    <w:p>
      <w:pPr>
        <w:spacing w:after="60" w:before="60"/>
        <w:jc w:val="left"/>
      </w:pPr>
      <w:r>
        <w:rPr>
          <w:rFonts w:ascii="Arial" w:cs="Arial" w:eastAsia="Arial" w:hAnsi="Arial"/>
          <w:b w:val="false"/>
          <w:bCs w:val="false"/>
          <w:color w:val="555555"/>
          <w:sz w:val="20"/>
          <w:szCs w:val="20"/>
        </w:rPr>
        <w:t xml:space="preserve">Confidence labels follow ODNI analytic standards. Classified intelligence, if available, takes precedence.</w:t>
      </w:r>
    </w:p>
    <w:p>
      <w:pPr>
        <w:spacing w:after="40" w:before="40"/>
      </w:pPr>
      <w:r>
        <w:t xml:space="preserve"/>
      </w:r>
    </w:p>
    <w:p>
      <w:pPr>
        <w:spacing w:after="0" w:before="80"/>
      </w:pPr>
      <w:r>
        <w:rPr>
          <w:rFonts w:ascii="Arial" w:cs="Arial" w:eastAsia="Arial" w:hAnsi="Arial"/>
          <w:b/>
          <w:bCs/>
          <w:color w:val="1F3864"/>
          <w:sz w:val="21"/>
          <w:szCs w:val="21"/>
        </w:rPr>
        <w:t xml:space="preserve">KJ 1  </w:t>
      </w:r>
      <w:r>
        <w:rPr>
          <w:rFonts w:ascii="Arial" w:cs="Arial" w:eastAsia="Arial" w:hAnsi="Arial"/>
          <w:b/>
          <w:bCs/>
          <w:color w:val="2E5F8A"/>
          <w:sz w:val="19"/>
          <w:szCs w:val="19"/>
        </w:rPr>
        <w:t xml:space="preserve">[MODERATE CONFIDENCE]  </w:t>
      </w:r>
      <w:r>
        <w:rPr>
          <w:rFonts w:ascii="Arial" w:cs="Arial" w:eastAsia="Arial" w:hAnsi="Arial"/>
          <w:sz w:val="21"/>
          <w:szCs w:val="21"/>
        </w:rPr>
        <w:t xml:space="preserve">The open-source record supports the working assessment that Iran, Venezuela/Cuba, and DPRK rely to a meaningful degree on PRC-linked enabling networks — financing, market absorption, logistics, technology access — that each would have difficulty sustaining domestically at current scale. Fragmented country-by-country enforcement underperforms where it addresses nodes rather than this connective-tissue layer.</w:t>
      </w:r>
    </w:p>
    <w:p>
      <w:pPr>
        <w:spacing w:after="0" w:before="80"/>
      </w:pPr>
      <w:r>
        <w:rPr>
          <w:rFonts w:ascii="Arial" w:cs="Arial" w:eastAsia="Arial" w:hAnsi="Arial"/>
          <w:b/>
          <w:bCs/>
          <w:color w:val="1F3864"/>
          <w:sz w:val="21"/>
          <w:szCs w:val="21"/>
        </w:rPr>
        <w:t xml:space="preserve">KJ 2  </w:t>
      </w:r>
      <w:r>
        <w:rPr>
          <w:rFonts w:ascii="Arial" w:cs="Arial" w:eastAsia="Arial" w:hAnsi="Arial"/>
          <w:b/>
          <w:bCs/>
          <w:color w:val="2E5F8A"/>
          <w:sz w:val="19"/>
          <w:szCs w:val="19"/>
        </w:rPr>
        <w:t xml:space="preserve">[MODERATE CONFIDENCE]  </w:t>
      </w:r>
      <w:r>
        <w:rPr>
          <w:rFonts w:ascii="Arial" w:cs="Arial" w:eastAsia="Arial" w:hAnsi="Arial"/>
          <w:sz w:val="21"/>
          <w:szCs w:val="21"/>
        </w:rPr>
        <w:t xml:space="preserve">Available enforcement-cycle evidence indicates fragmented approaches underperform where OFAC, BIS, State, and allied counterparts act on separate timelines without synchronized observability. The 2018-2020 Iran cycle shows that episodic pressure produced network adaptation — shadow-fleet normalization, crypto settlement growth, alternative clearing infrastructure — as a documented secondary effect.</w:t>
      </w:r>
    </w:p>
    <w:p>
      <w:pPr>
        <w:spacing w:after="0" w:before="80"/>
      </w:pPr>
      <w:r>
        <w:rPr>
          <w:rFonts w:ascii="Arial" w:cs="Arial" w:eastAsia="Arial" w:hAnsi="Arial"/>
          <w:b/>
          <w:bCs/>
          <w:color w:val="1F3864"/>
          <w:sz w:val="21"/>
          <w:szCs w:val="21"/>
        </w:rPr>
        <w:t xml:space="preserve">KJ 3  </w:t>
      </w:r>
      <w:r>
        <w:rPr>
          <w:rFonts w:ascii="Arial" w:cs="Arial" w:eastAsia="Arial" w:hAnsi="Arial"/>
          <w:b/>
          <w:bCs/>
          <w:color w:val="1F3864"/>
          <w:sz w:val="19"/>
          <w:szCs w:val="19"/>
        </w:rPr>
        <w:t xml:space="preserve">[HIGH CONFIDENCE]  </w:t>
      </w:r>
      <w:r>
        <w:rPr>
          <w:rFonts w:ascii="Arial" w:cs="Arial" w:eastAsia="Arial" w:hAnsi="Arial"/>
          <w:sz w:val="21"/>
          <w:szCs w:val="21"/>
        </w:rPr>
        <w:t xml:space="preserve">Existing public authorities already support a substantial pressure architecture. OFAC administers active Iran, DPRK, Cuba, and Venezuela programs. BIS administers the Entity List, EAR end-use controls, and FDPR. State holds INKSNA authority. CAATSA provides secondary sanctions. No new statutory authority is required to implement the framework described in the full paper.</w:t>
      </w:r>
    </w:p>
    <w:p>
      <w:pPr>
        <w:spacing w:after="0" w:before="80"/>
      </w:pPr>
      <w:r>
        <w:rPr>
          <w:rFonts w:ascii="Arial" w:cs="Arial" w:eastAsia="Arial" w:hAnsi="Arial"/>
          <w:b/>
          <w:bCs/>
          <w:color w:val="1F3864"/>
          <w:sz w:val="21"/>
          <w:szCs w:val="21"/>
        </w:rPr>
        <w:t xml:space="preserve">KJ 4  </w:t>
      </w:r>
      <w:r>
        <w:rPr>
          <w:rFonts w:ascii="Arial" w:cs="Arial" w:eastAsia="Arial" w:hAnsi="Arial"/>
          <w:b/>
          <w:bCs/>
          <w:color w:val="2E5F8A"/>
          <w:sz w:val="19"/>
          <w:szCs w:val="19"/>
        </w:rPr>
        <w:t xml:space="preserve">[MODERATE CONFIDENCE]  </w:t>
      </w:r>
      <w:r>
        <w:rPr>
          <w:rFonts w:ascii="Arial" w:cs="Arial" w:eastAsia="Arial" w:hAnsi="Arial"/>
          <w:sz w:val="21"/>
          <w:szCs w:val="21"/>
        </w:rPr>
        <w:t xml:space="preserve">Conduct-based pressure is more litigation-resilient, coalition-compatible, and strategically durable than indiscriminate pressure. It survives judicial review, preserves allied participation, and avoids the dollar-reserve fragmentation incentive that broad financial pressure creates at scale.</w:t>
      </w:r>
    </w:p>
    <w:p>
      <w:pPr>
        <w:spacing w:after="0" w:before="80"/>
      </w:pPr>
      <w:r>
        <w:rPr>
          <w:rFonts w:ascii="Arial" w:cs="Arial" w:eastAsia="Arial" w:hAnsi="Arial"/>
          <w:b/>
          <w:bCs/>
          <w:color w:val="1F3864"/>
          <w:sz w:val="21"/>
          <w:szCs w:val="21"/>
        </w:rPr>
        <w:t xml:space="preserve">KJ 5a  </w:t>
      </w:r>
      <w:r>
        <w:rPr>
          <w:rFonts w:ascii="Arial" w:cs="Arial" w:eastAsia="Arial" w:hAnsi="Arial"/>
          <w:b/>
          <w:bCs/>
          <w:color w:val="2E5F8A"/>
          <w:sz w:val="19"/>
          <w:szCs w:val="19"/>
        </w:rPr>
        <w:t xml:space="preserve">[MODERATE CONFIDENCE — STEADY-STATE BASELINE]  </w:t>
      </w:r>
      <w:r>
        <w:rPr>
          <w:rFonts w:ascii="Arial" w:cs="Arial" w:eastAsia="Arial" w:hAnsi="Arial"/>
          <w:sz w:val="21"/>
          <w:szCs w:val="21"/>
        </w:rPr>
        <w:t xml:space="preserve">The four partner-state nodes are distinct in function but linked through enabling conduct. Iran is the energy/shadow-shipping/proxy-revenue node. Venezuela/Cuba is the energy-resale/political-sheltering node — note: the January 2026 Maduro capture and GL 46/47 re-engagement window do not dissolve the PRC-linked shadow intermediary layer; enforcement attention remains warranted. DPRK is the proliferation/high-risk-procurement node. Under steady-state conditions, the PRC-linked enabling layer operates primarily at the Support and Enablement tiers — commercial actors that facilitate state objectives without direct state tasking.</w:t>
      </w:r>
    </w:p>
    <w:p>
      <w:pPr>
        <w:spacing w:after="0" w:before="80"/>
      </w:pPr>
      <w:r>
        <w:rPr>
          <w:rFonts w:ascii="Arial" w:cs="Arial" w:eastAsia="Arial" w:hAnsi="Arial"/>
          <w:b/>
          <w:bCs/>
          <w:color w:val="1F3864"/>
          <w:sz w:val="21"/>
          <w:szCs w:val="21"/>
        </w:rPr>
        <w:t xml:space="preserve">KJ 5b  </w:t>
      </w:r>
      <w:r>
        <w:rPr>
          <w:rFonts w:ascii="Arial" w:cs="Arial" w:eastAsia="Arial" w:hAnsi="Arial"/>
          <w:b/>
          <w:bCs/>
          <w:color w:val="7F7F7F"/>
          <w:sz w:val="19"/>
          <w:szCs w:val="19"/>
        </w:rPr>
        <w:t xml:space="preserve">[LOW-TO-MODERATE CONFIDENCE — CRISIS-CONTINGENCY UPDATE (MONITORED VARIABLE)]  </w:t>
      </w:r>
      <w:r>
        <w:rPr>
          <w:rFonts w:ascii="Arial" w:cs="Arial" w:eastAsia="Arial" w:hAnsi="Arial"/>
          <w:sz w:val="21"/>
          <w:szCs w:val="21"/>
        </w:rPr>
        <w:t xml:space="preserve">Crisis-contingency behavior may shift PRC enabling conduct from commercial-intermediary toward active state-directed facilitation. Q1 2026 open-source reporting on selective passage carve-outs for Iran-linked vessels is being treated as a monitored variable. If Direct Tasking conduct is confirmed, a separate decision-authority track at Principals level — not covered by the current Tier 3 guardrail architecture — is required. See full paper KJ 5b and Section I.A for evidentiary thresholds.</w:t>
      </w:r>
    </w:p>
    <w:p>
      <w:pPr>
        <w:spacing w:after="0" w:before="80"/>
      </w:pPr>
      <w:r>
        <w:rPr>
          <w:rFonts w:ascii="Arial" w:cs="Arial" w:eastAsia="Arial" w:hAnsi="Arial"/>
          <w:b/>
          <w:bCs/>
          <w:color w:val="1F3864"/>
          <w:sz w:val="21"/>
          <w:szCs w:val="21"/>
        </w:rPr>
        <w:t xml:space="preserve">KJ 6  </w:t>
      </w:r>
      <w:r>
        <w:rPr>
          <w:rFonts w:ascii="Arial" w:cs="Arial" w:eastAsia="Arial" w:hAnsi="Arial"/>
          <w:b/>
          <w:bCs/>
          <w:color w:val="2E5F8A"/>
          <w:sz w:val="19"/>
          <w:szCs w:val="19"/>
        </w:rPr>
        <w:t xml:space="preserve">[MODERATE CONFIDENCE]  </w:t>
      </w:r>
      <w:r>
        <w:rPr>
          <w:rFonts w:ascii="Arial" w:cs="Arial" w:eastAsia="Arial" w:hAnsi="Arial"/>
          <w:sz w:val="21"/>
          <w:szCs w:val="21"/>
        </w:rPr>
        <w:t xml:space="preserve">Coalition discipline is a necessary — though not sufficient — condition for sustained pressure over a 24-60 month horizon. The full paper (Section IV.A) proposes a Coalition Conflict Resolution Protocol as a structural resolution to the technology-denial / trade-friction contradiction: technology-denial coordination takes priority over tariff escalation in coalition-sensitive domains, with a mandatory 30-day USTR/BIS/State review window before tariff actions affecting primary technology-denial partners (Netherlands/ASML, Japan/Tokyo Electron, South Korea/Samsung-SK Hynix). This mechanism does not currently exist in the policy architecture and is an original contribution of the full paper.</w:t>
      </w:r>
    </w:p>
    <w:p>
      <w:pPr>
        <w:spacing w:after="0" w:before="80"/>
      </w:pPr>
      <w:r>
        <w:rPr>
          <w:rFonts w:ascii="Arial" w:cs="Arial" w:eastAsia="Arial" w:hAnsi="Arial"/>
          <w:b/>
          <w:bCs/>
          <w:color w:val="1F3864"/>
          <w:sz w:val="21"/>
          <w:szCs w:val="21"/>
        </w:rPr>
        <w:t xml:space="preserve">KJ 7  </w:t>
      </w:r>
      <w:r>
        <w:rPr>
          <w:rFonts w:ascii="Arial" w:cs="Arial" w:eastAsia="Arial" w:hAnsi="Arial"/>
          <w:b/>
          <w:bCs/>
          <w:color w:val="2E5F8A"/>
          <w:sz w:val="19"/>
          <w:szCs w:val="19"/>
        </w:rPr>
        <w:t xml:space="preserve">[MODERATE CONFIDENCE]  </w:t>
      </w:r>
      <w:r>
        <w:rPr>
          <w:rFonts w:ascii="Arial" w:cs="Arial" w:eastAsia="Arial" w:hAnsi="Arial"/>
          <w:sz w:val="21"/>
          <w:szCs w:val="21"/>
        </w:rPr>
        <w:t xml:space="preserve">The toolkit can realistically raise facilitation cost, increase transaction latency, force rerouting, degrade dual-use access, and increase compliance friction. It cannot guarantee immediate network collapse, total cutoff of PRC-linked market absorption, or one-for-one causal linkage between any single action and any specific strategic behavior change. Defined success is reliability degradation and preserved leverage, not collapse.</w:t>
      </w:r>
    </w:p>
    <w:p>
      <w:pPr>
        <w:spacing w:after="40" w:before="40"/>
      </w:pPr>
      <w:r>
        <w:t xml:space="preserve"/>
      </w:r>
    </w:p>
    <w:p>
      <w:pPr>
        <w:pBdr>
          <w:bottom w:val="single" w:color="2E5F8A" w:sz="6" w:space="1"/>
        </w:pBdr>
        <w:spacing w:after="120" w:before="120"/>
      </w:pPr>
      <w:r>
        <w:t xml:space="preserve"/>
      </w:r>
    </w:p>
    <w:p>
      <w:pPr>
        <w:pStyle w:val="Heading1"/>
        <w:spacing w:after="100" w:before="200"/>
      </w:pPr>
      <w:r>
        <w:rPr>
          <w:rFonts w:ascii="Arial" w:cs="Arial" w:eastAsia="Arial" w:hAnsi="Arial"/>
          <w:b/>
          <w:bCs/>
        </w:rPr>
        <w:t xml:space="preserve">CONDENSED AUTHORITY-TO-ACTION REFERENCE</w:t>
      </w:r>
    </w:p>
    <w:p>
      <w:pPr>
        <w:spacing w:after="60" w:before="60"/>
        <w:jc w:val="left"/>
      </w:pPr>
      <w:r>
        <w:rPr>
          <w:rFonts w:ascii="Arial" w:cs="Arial" w:eastAsia="Arial" w:hAnsi="Arial"/>
          <w:b w:val="false"/>
          <w:bCs w:val="false"/>
          <w:color w:val="555555"/>
          <w:sz w:val="19"/>
          <w:szCs w:val="19"/>
        </w:rPr>
        <w:t xml:space="preserve">Five highest-use instruments. Full 10-row matrix with second-order effects, implementation lag, and detailed reversibility conditions in the full paper (Section II.A).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00"/>
        <w:gridCol w:w="2000"/>
        <w:gridCol w:w="1600"/>
        <w:gridCol w:w="1800"/>
        <w:gridCol w:w="1600"/>
      </w:tblGrid>
      <w:tr>
        <w:tc>
          <w:tcPr>
            <w:tcW w:type="dxa" w:w="156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Authority</w:t>
            </w:r>
          </w:p>
        </w:tc>
        <w:tc>
          <w:tcPr>
            <w:tcW w:type="dxa" w:w="8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Lead</w:t>
            </w:r>
          </w:p>
        </w:tc>
        <w:tc>
          <w:tcPr>
            <w:tcW w:type="dxa" w:w="20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What It Reaches</w:t>
            </w:r>
          </w:p>
        </w:tc>
        <w:tc>
          <w:tcPr>
            <w:tcW w:type="dxa" w:w="16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Min Evidence / Threshold</w:t>
            </w:r>
          </w:p>
        </w:tc>
        <w:tc>
          <w:tcPr>
            <w:tcW w:type="dxa" w:w="18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Principal Limit</w:t>
            </w:r>
          </w:p>
        </w:tc>
        <w:tc>
          <w:tcPr>
            <w:tcW w:type="dxa" w:w="16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Off-Ramp</w:t>
            </w:r>
          </w:p>
        </w:tc>
      </w:tr>
      <w:tr>
        <w:tc>
          <w:tcPr>
            <w:tcW w:type="dxa" w:w="15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OFAC SDN / IEEPA
(Iran, DPRK, Cuba, Venezuela programs)</w:t>
            </w:r>
          </w:p>
        </w:tc>
        <w:tc>
          <w:tcPr>
            <w:tcW w:type="dxa" w:w="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OFAC</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Blocking; U.S. financial system exclusion; secondary exposure for significant SDN-adjacent facilitation</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Documented nexus to program predicate; totality-of-circumstances for control; conduct-based confirmed attribution for third-country institutional targets (durability standard)</w:t>
            </w:r>
          </w:p>
        </w:tc>
        <w:tc>
          <w:tcPr>
            <w:tcW w:type="dxa" w:w="1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IEEPA nexus requirement; APA review; coalition fracture risk at Tier 2+ without coordination; dollar-reserve guardrail at Tier 3</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OFAC admin delisting on verified conduct cessation; coalition concurrence at Tier 2+</w:t>
            </w:r>
          </w:p>
        </w:tc>
      </w:tr>
      <w:tr>
        <w:tc>
          <w:tcPr>
            <w:tcW w:type="dxa" w:w="15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CISADA § 104
(22 U.S.C. § 8513)</w:t>
            </w:r>
          </w:p>
        </w:tc>
        <w:tc>
          <w:tcPr>
            <w:tcW w:type="dxa" w:w="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OFAC + State</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Mandatory sanctions on foreign financial institutions knowingly facilitating significant transactions for SDN-designated Iranian parties</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Joint Treasury/State positive finding of knowing facilitation of significant transaction. Mandatory character reduces discretion.</w:t>
            </w:r>
          </w:p>
        </w:tc>
        <w:tc>
          <w:tcPr>
            <w:tcW w:type="dxa" w:w="1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Mandatory character; requires joint determination record; sovereign-adjacent targets require Principals concurrence</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Delisting upon documented cessation of NIOC facilitation; allied concurrence</w:t>
            </w:r>
          </w:p>
        </w:tc>
      </w:tr>
      <w:tr>
        <w:tc>
          <w:tcPr>
            <w:tcW w:type="dxa" w:w="15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BIS Entity List
(EAR 15 C.F.R. § 744.11 + FDPR + Affiliates Rule)</w:t>
            </w:r>
          </w:p>
        </w:tc>
        <w:tc>
          <w:tcPr>
            <w:tcW w:type="dxa" w:w="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BIS</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License requirement for all EAR-controlled items; FDPR extends to non-U.S. firms using qualifying U.S.-origin technology; Affiliates Rule (eff. Sept. 29, 2025) extends restrictions to entities 50%+ owned by listed parties</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Confirmed-attribution standard (this paper's durability rule) for PRC-linked entities; APA administrative record required</w:t>
            </w:r>
          </w:p>
        </w:tc>
        <w:tc>
          <w:tcPr>
            <w:tcW w:type="dxa" w:w="1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FDPR requires U.S.-origin content predicate; allied coordination essential for FDPR effectiveness; APA due process; Affiliates Rule creates affirmative due-diligence duty on exporters</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BIS admin review of removal request on demonstrated conduct change; allied coordination where parallel controls exist</w:t>
            </w:r>
          </w:p>
        </w:tc>
      </w:tr>
      <w:tr>
        <w:tc>
          <w:tcPr>
            <w:tcW w:type="dxa" w:w="15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Section 311
(31 U.S.C. § 5318A)</w:t>
            </w:r>
          </w:p>
        </w:tc>
        <w:tc>
          <w:tcPr>
            <w:tcW w:type="dxa" w:w="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FinCEN</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PMLC designation; special measures up to USD correspondent prohibition; class-of-transaction designation for shadow payment rails</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 5318A(c) factors documented; SAR, blockchain analytics, FATF/allied FIU corroboration</w:t>
            </w:r>
          </w:p>
        </w:tc>
        <w:tc>
          <w:tcPr>
            <w:tcW w:type="dxa" w:w="1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APA compliance; Deputies concurrence for major institutional targets; guardrail review for sovereign-adjacent; humanitarian GL required</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FinCEN revocation on verified compliance remediation; structured remediation window available</w:t>
            </w:r>
          </w:p>
        </w:tc>
      </w:tr>
      <w:tr>
        <w:tc>
          <w:tcPr>
            <w:tcW w:type="dxa" w:w="15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Maritime Advisory + SDN
(OFAC + OFSI coordinated)</w:t>
            </w:r>
          </w:p>
        </w:tc>
        <w:tc>
          <w:tcPr>
            <w:tcW w:type="dxa" w:w="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OFAC + OFSI</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Vessel designation; Lloyd's/P&amp;I advisory severing coverage; classification society guidance; flag-registry engagement</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Beneficial owner SDN-nexus or program predicate; AIS anomaly and flag-churn pattern from commercial analytics (Kpler, Vortexa, NGA)</w:t>
            </w:r>
          </w:p>
        </w:tc>
        <w:tc>
          <w:tcPr>
            <w:tcW w:type="dxa" w:w="1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Unilateral OFAC advisory has not fully closed Lloyd's market gap — coordinated OFAC/OFSI required. Malacca Strait partner engagement most effective as maritime safety / MARPOL framing. Physical vessel operations outside scope of this paper.</w:t>
            </w:r>
          </w:p>
        </w:tc>
        <w:tc>
          <w:tcPr>
            <w:tcW w:type="dxa" w:w="1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SDN delisting on vessel ownership change and conduct cessation; Lloyd's coverage restoration on delisting</w:t>
            </w:r>
          </w:p>
        </w:tc>
      </w:tr>
    </w:tbl>
    <w:p>
      <w:pPr>
        <w:spacing w:after="40" w:before="40"/>
      </w:pPr>
      <w:r>
        <w:t xml:space="preserve"/>
      </w:r>
    </w:p>
    <w:p>
      <w:pPr>
        <w:spacing w:after="60" w:before="60"/>
        <w:jc w:val="left"/>
      </w:pPr>
      <w:r>
        <w:rPr>
          <w:rFonts w:ascii="Arial" w:cs="Arial" w:eastAsia="Arial" w:hAnsi="Arial"/>
          <w:b w:val="false"/>
          <w:bCs w:val="false"/>
          <w:color w:val="555555"/>
          <w:sz w:val="19"/>
          <w:szCs w:val="19"/>
        </w:rPr>
        <w:t xml:space="preserve">NKSPEA (DPRK dual-use), INKSNA (nonproliferation), Customs/WRO, Section 981(k), and CAATSA §§ 231-232 authorities are detailed in the full paper (Section II.A, 10-row matrix).</w:t>
      </w:r>
    </w:p>
    <w:p>
      <w:pPr>
        <w:spacing w:after="40" w:before="40"/>
      </w:pPr>
      <w:r>
        <w:t xml:space="preserve"/>
      </w:r>
    </w:p>
    <w:p>
      <w:pPr>
        <w:pBdr>
          <w:bottom w:val="single" w:color="2E5F8A" w:sz="6" w:space="1"/>
        </w:pBdr>
        <w:spacing w:after="120" w:before="120"/>
      </w:pPr>
      <w:r>
        <w:t xml:space="preserve"/>
      </w:r>
    </w:p>
    <w:p>
      <w:pPr>
        <w:pStyle w:val="Heading1"/>
        <w:spacing w:after="100" w:before="200"/>
      </w:pPr>
      <w:r>
        <w:rPr>
          <w:rFonts w:ascii="Arial" w:cs="Arial" w:eastAsia="Arial" w:hAnsi="Arial"/>
          <w:b/>
          <w:bCs/>
        </w:rPr>
        <w:t xml:space="preserve">FIVE-PHASE SEQUENCING SUMMARY</w:t>
      </w:r>
    </w:p>
    <w:p>
      <w:pPr>
        <w:spacing w:after="60" w:before="60"/>
        <w:jc w:val="left"/>
      </w:pPr>
      <w:r>
        <w:rPr>
          <w:rFonts w:ascii="Arial" w:cs="Arial" w:eastAsia="Arial" w:hAnsi="Arial"/>
          <w:b w:val="false"/>
          <w:bCs w:val="false"/>
          <w:color w:val="555555"/>
          <w:sz w:val="19"/>
          <w:szCs w:val="19"/>
        </w:rPr>
        <w:t xml:space="preserve">Each phase lists entry condition and escalation threshold. Full Phase Transition Logic (pause + rollback conditions) in the full paper (Section III).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000"/>
        <w:gridCol w:w="2600"/>
        <w:gridCol w:w="3800"/>
      </w:tblGrid>
      <w:tr>
        <w:tc>
          <w:tcPr>
            <w:tcW w:type="dxa" w:w="96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Phase</w:t>
            </w:r>
          </w:p>
        </w:tc>
        <w:tc>
          <w:tcPr>
            <w:tcW w:type="dxa" w:w="20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Label</w:t>
            </w:r>
          </w:p>
        </w:tc>
        <w:tc>
          <w:tcPr>
            <w:tcW w:type="dxa" w:w="26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Entry Condition</w:t>
            </w:r>
          </w:p>
        </w:tc>
        <w:tc>
          <w:tcPr>
            <w:tcW w:type="dxa" w:w="380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Escalation Threshold / Key Actions</w:t>
            </w:r>
          </w:p>
        </w:tc>
      </w:tr>
      <w:tr>
        <w:tc>
          <w:tcPr>
            <w:tcW w:type="dxa" w:w="9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I</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bCs/>
                <w:sz w:val="20"/>
                <w:szCs w:val="20"/>
              </w:rPr>
              <w:t xml:space="preserve">Exposure and
Designation Discipline</w:t>
            </w:r>
          </w:p>
        </w:tc>
        <w:tc>
          <w:tcPr>
            <w:tcW w:type="dxa" w:w="2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Ongoing baseline. Enhanced monitoring on credible signal.</w:t>
            </w:r>
          </w:p>
        </w:tc>
        <w:tc>
          <w:tcPr>
            <w:tcW w:type="dxa" w:w="3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Confirmed attribution across 2+ independent domains at moderate confidence. Readiness packages certified for top-priority targets. Actors classified by nexus level (Presence / Linkage / Support / Enablement / Direct Tasking).</w:t>
            </w:r>
          </w:p>
        </w:tc>
      </w:tr>
      <w:tr>
        <w:tc>
          <w:tcPr>
            <w:tcW w:type="dxa" w:w="9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II</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bCs/>
                <w:sz w:val="20"/>
                <w:szCs w:val="20"/>
              </w:rPr>
              <w:t xml:space="preserve">Maritime / Trade /
Customs Friction</w:t>
            </w:r>
          </w:p>
        </w:tc>
        <w:tc>
          <w:tcPr>
            <w:tcW w:type="dxa" w:w="2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Phase I readiness packages certified. Lloyd's/OFSI coordination in place.</w:t>
            </w:r>
          </w:p>
        </w:tc>
        <w:tc>
          <w:tcPr>
            <w:tcW w:type="dxa" w:w="3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Vessel churn, insurance withdrawal, and port-access friction documented as measurable Phase II effects. Observability metrics confirm network friction before escalation to Phase III.</w:t>
            </w:r>
          </w:p>
        </w:tc>
      </w:tr>
      <w:tr>
        <w:tc>
          <w:tcPr>
            <w:tcW w:type="dxa" w:w="9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III</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bCs/>
                <w:sz w:val="20"/>
                <w:szCs w:val="20"/>
              </w:rPr>
              <w:t xml:space="preserve">Technology and
Procurement Denial</w:t>
            </w:r>
          </w:p>
        </w:tc>
        <w:tc>
          <w:tcPr>
            <w:tcW w:type="dxa" w:w="2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Phase II friction confirmed. Allied export-control coordination (Netherlands, Japan, South Korea) initiated.</w:t>
            </w:r>
          </w:p>
        </w:tc>
        <w:tc>
          <w:tcPr>
            <w:tcW w:type="dxa" w:w="3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Simultaneous OFAC+BIS action approach activated for confirmed-attribution targets. FDPR coordination with at least one primary partner. INKSNA determination prepared for documented WMD-relevant transfers.</w:t>
            </w:r>
          </w:p>
        </w:tc>
      </w:tr>
      <w:tr>
        <w:tc>
          <w:tcPr>
            <w:tcW w:type="dxa" w:w="9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IV</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bCs/>
                <w:sz w:val="20"/>
                <w:szCs w:val="20"/>
              </w:rPr>
              <w:t xml:space="preserve">Coalition Synchronization
and Substitution Control</w:t>
            </w:r>
          </w:p>
        </w:tc>
        <w:tc>
          <w:tcPr>
            <w:tcW w:type="dxa" w:w="2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Continuous from Phase I. Coalition-risk review before any Phase II/III escalation.</w:t>
            </w:r>
          </w:p>
        </w:tc>
        <w:tc>
          <w:tcPr>
            <w:tcW w:type="dxa" w:w="3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Min. 2 primary Five Eyes/EU partners non-objecting at Tier 2; affirmative written concurrence from 2 partners for Tier 3 actions. Substitution-route analysis shows narrowing pathways. Live coalition-contradiction issue addressed before Tier 2+ escalation.</w:t>
            </w:r>
          </w:p>
        </w:tc>
      </w:tr>
      <w:tr>
        <w:tc>
          <w:tcPr>
            <w:tcW w:type="dxa" w:w="960"/>
            <w:tcBorders>
              <w:top w:val="single" w:color="AABBCC" w:sz="1"/>
              <w:left w:val="single" w:color="AABBCC" w:sz="1"/>
              <w:bottom w:val="single" w:color="AABBCC" w:sz="1"/>
              <w:right w:val="single" w:color="AABBCC" w:sz="1"/>
            </w:tcBorders>
            <w:shd w:fill="EEF3F8" w:val="clear"/>
            <w:tcMar>
              <w:top w:type="dxa" w:w="70"/>
              <w:left w:type="dxa" w:w="110"/>
              <w:bottom w:type="dxa" w:w="70"/>
              <w:right w:type="dxa" w:w="110"/>
            </w:tcMar>
          </w:tcPr>
          <w:p>
            <w:pPr>
              <w:spacing w:after="30" w:before="30"/>
            </w:pPr>
            <w:r>
              <w:rPr>
                <w:rFonts w:ascii="Arial" w:cs="Arial" w:eastAsia="Arial" w:hAnsi="Arial"/>
                <w:b/>
                <w:bCs/>
                <w:sz w:val="20"/>
                <w:szCs w:val="20"/>
              </w:rPr>
              <w:t xml:space="preserve">V</w:t>
            </w:r>
          </w:p>
        </w:tc>
        <w:tc>
          <w:tcPr>
            <w:tcW w:type="dxa" w:w="20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bCs/>
                <w:sz w:val="20"/>
                <w:szCs w:val="20"/>
              </w:rPr>
              <w:t xml:space="preserve">Crisis-Contingency
Elevated Tempo</w:t>
            </w:r>
          </w:p>
        </w:tc>
        <w:tc>
          <w:tcPr>
            <w:tcW w:type="dxa" w:w="26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Triggering event documented. Principals decision authority engaged. Pre-staged packages at readiness posture.</w:t>
            </w:r>
          </w:p>
        </w:tc>
        <w:tc>
          <w:tcPr>
            <w:tcW w:type="dxa" w:w="3800"/>
            <w:tcBorders>
              <w:top w:val="single" w:color="AABBCC" w:sz="1"/>
              <w:left w:val="single" w:color="AABBCC" w:sz="1"/>
              <w:bottom w:val="single" w:color="AABBCC" w:sz="1"/>
              <w:right w:val="single" w:color="AABBCC" w:sz="1"/>
            </w:tcBorders>
            <w:shd w:fill="FFFFFF" w:val="clear"/>
            <w:tcMar>
              <w:top w:type="dxa" w:w="70"/>
              <w:left w:type="dxa" w:w="110"/>
              <w:bottom w:type="dxa" w:w="70"/>
              <w:right w:type="dxa" w:w="110"/>
            </w:tcMar>
          </w:tcPr>
          <w:p>
            <w:pPr>
              <w:spacing w:after="30" w:before="30"/>
            </w:pPr>
            <w:r>
              <w:rPr>
                <w:rFonts w:ascii="Arial" w:cs="Arial" w:eastAsia="Arial" w:hAnsi="Arial"/>
                <w:b w:val="false"/>
                <w:bCs w:val="false"/>
                <w:sz w:val="20"/>
                <w:szCs w:val="20"/>
              </w:rPr>
              <w:t xml:space="preserve">Guardrail-index review mandatory — auto-downshift if 2+ indicators breach threshold. Override requires SECTREAS + NSA joint authorization. Published off-ramps accompany all surge actions. Humanitarian GL architecture maintained throughout.</w:t>
            </w:r>
          </w:p>
        </w:tc>
      </w:tr>
    </w:tbl>
    <w:p>
      <w:pPr>
        <w:spacing w:after="40" w:before="40"/>
      </w:pPr>
      <w:r>
        <w:t xml:space="preserve"/>
      </w:r>
    </w:p>
    <w:p>
      <w:pPr>
        <w:pBdr>
          <w:bottom w:val="single" w:color="2E5F8A" w:sz="6" w:space="1"/>
        </w:pBdr>
        <w:spacing w:after="120" w:before="120"/>
      </w:pPr>
      <w:r>
        <w:t xml:space="preserve"/>
      </w:r>
    </w:p>
    <w:p>
      <w:pPr>
        <w:pStyle w:val="Heading1"/>
        <w:spacing w:after="100" w:before="200"/>
      </w:pPr>
      <w:r>
        <w:rPr>
          <w:rFonts w:ascii="Arial" w:cs="Arial" w:eastAsia="Arial" w:hAnsi="Arial"/>
          <w:b/>
          <w:bCs/>
        </w:rPr>
        <w:t xml:space="preserve">CAPABILITY AND CONSTRAINT: DECISION BOX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BBCC" w:sz="1"/>
              <w:left w:val="single" w:color="AABBCC" w:sz="1"/>
              <w:bottom w:val="single" w:color="AABBCC" w:sz="1"/>
              <w:right w:val="single" w:color="AABBCC"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REALISTIC ACHIEVABLE EFFECTS</w:t>
            </w:r>
          </w:p>
        </w:tc>
        <w:tc>
          <w:tcPr>
            <w:tcW w:type="dxa" w:w="4680"/>
            <w:tcBorders>
              <w:top w:val="single" w:color="AABBCC" w:sz="1"/>
              <w:left w:val="single" w:color="AABBCC" w:sz="1"/>
              <w:bottom w:val="single" w:color="AABBCC" w:sz="1"/>
              <w:right w:val="single" w:color="AABBCC" w:sz="1"/>
            </w:tcBorders>
            <w:shd w:fill="C00000" w:val="clear"/>
            <w:tcMar>
              <w:top w:type="dxa" w:w="70"/>
              <w:left w:type="dxa" w:w="110"/>
              <w:bottom w:type="dxa" w:w="70"/>
              <w:right w:type="dxa" w:w="110"/>
            </w:tcMar>
          </w:tcPr>
          <w:p>
            <w:r>
              <w:rPr>
                <w:rFonts w:ascii="Arial" w:cs="Arial" w:eastAsia="Arial" w:hAnsi="Arial"/>
                <w:b/>
                <w:bCs/>
                <w:color w:val="FFFFFF"/>
                <w:sz w:val="19"/>
                <w:szCs w:val="19"/>
              </w:rPr>
              <w:t xml:space="preserve">OUTCOMES NOT GUARANTEED</w:t>
            </w:r>
          </w:p>
        </w:tc>
      </w:tr>
      <w:tr>
        <w:tc>
          <w:tcPr>
            <w:tcW w:type="dxa" w:w="4680"/>
            <w:tcBorders>
              <w:top w:val="single" w:color="AABBCC" w:sz="1"/>
              <w:left w:val="single" w:color="AABBCC" w:sz="1"/>
              <w:bottom w:val="single" w:color="AABBCC" w:sz="1"/>
              <w:right w:val="single" w:color="AABBCC" w:sz="1"/>
            </w:tcBorders>
            <w:shd w:fill="EEF6EE" w:val="clear"/>
            <w:tcMar>
              <w:top w:type="dxa" w:w="110"/>
              <w:left w:type="dxa" w:w="140"/>
              <w:bottom w:type="dxa" w:w="110"/>
              <w:right w:type="dxa" w:w="140"/>
            </w:tcMar>
          </w:tcPr>
          <w:p>
            <w:pPr>
              <w:spacing w:after="0" w:before="50"/>
            </w:pPr>
            <w:r>
              <w:rPr>
                <w:rFonts w:ascii="Arial" w:cs="Arial" w:eastAsia="Arial" w:hAnsi="Arial"/>
                <w:b/>
                <w:bCs/>
                <w:sz w:val="21"/>
                <w:szCs w:val="21"/>
              </w:rPr>
              <w:t xml:space="preserve">Raise cost of facilitation</w:t>
            </w:r>
          </w:p>
          <w:p>
            <w:pPr>
              <w:spacing w:after="70" w:before="0"/>
              <w:ind w:left="180"/>
            </w:pPr>
            <w:r>
              <w:rPr>
                <w:rFonts w:ascii="Arial" w:cs="Arial" w:eastAsia="Arial" w:hAnsi="Arial"/>
                <w:sz w:val="20"/>
                <w:szCs w:val="20"/>
              </w:rPr>
              <w:t xml:space="preserve">Designation pressure, § 311, and § 981(k) credibly raise the transaction-cost premium for shadow payment rails. P&amp;I market documentation from 2024-2026 shows premium increases for Iran-linked tanker operations.</w:t>
            </w:r>
          </w:p>
          <w:p>
            <w:pPr>
              <w:spacing w:after="0" w:before="50"/>
            </w:pPr>
            <w:r>
              <w:rPr>
                <w:rFonts w:ascii="Arial" w:cs="Arial" w:eastAsia="Arial" w:hAnsi="Arial"/>
                <w:b/>
                <w:bCs/>
                <w:sz w:val="21"/>
                <w:szCs w:val="21"/>
              </w:rPr>
              <w:t xml:space="preserve">Increase transaction latency</w:t>
            </w:r>
          </w:p>
          <w:p>
            <w:pPr>
              <w:spacing w:after="70" w:before="0"/>
              <w:ind w:left="180"/>
            </w:pPr>
            <w:r>
              <w:rPr>
                <w:rFonts w:ascii="Arial" w:cs="Arial" w:eastAsia="Arial" w:hAnsi="Arial"/>
                <w:sz w:val="20"/>
                <w:szCs w:val="20"/>
              </w:rPr>
              <w:t xml:space="preserve">Financial designation and export-control denial increase time to complete enabling transactions — finding new intermediaries, establishing new correspondent channels, sourcing alternative procurement. Latency is a durable effect even when networks ultimately adapt.</w:t>
            </w:r>
          </w:p>
          <w:p>
            <w:pPr>
              <w:spacing w:after="0" w:before="50"/>
            </w:pPr>
            <w:r>
              <w:rPr>
                <w:rFonts w:ascii="Arial" w:cs="Arial" w:eastAsia="Arial" w:hAnsi="Arial"/>
                <w:b/>
                <w:bCs/>
                <w:sz w:val="21"/>
                <w:szCs w:val="21"/>
              </w:rPr>
              <w:t xml:space="preserve">Force rerouting / increase operational complexity</w:t>
            </w:r>
          </w:p>
          <w:p>
            <w:pPr>
              <w:spacing w:after="70" w:before="0"/>
              <w:ind w:left="180"/>
            </w:pPr>
            <w:r>
              <w:rPr>
                <w:rFonts w:ascii="Arial" w:cs="Arial" w:eastAsia="Arial" w:hAnsi="Arial"/>
                <w:sz w:val="20"/>
                <w:szCs w:val="20"/>
              </w:rPr>
              <w:t xml:space="preserve">Effective pressure forces longer, more expensive routing. Commercial analytics indicate Iran's crude export routes involve materially more vessel handoffs than pre-2018 baseline.</w:t>
            </w:r>
          </w:p>
          <w:p>
            <w:pPr>
              <w:spacing w:after="0" w:before="50"/>
            </w:pPr>
            <w:r>
              <w:rPr>
                <w:rFonts w:ascii="Arial" w:cs="Arial" w:eastAsia="Arial" w:hAnsi="Arial"/>
                <w:b/>
                <w:bCs/>
                <w:sz w:val="21"/>
                <w:szCs w:val="21"/>
              </w:rPr>
              <w:t xml:space="preserve">Degrade access to dual-use inputs</w:t>
            </w:r>
          </w:p>
          <w:p>
            <w:pPr>
              <w:spacing w:after="70" w:before="0"/>
              <w:ind w:left="180"/>
            </w:pPr>
            <w:r>
              <w:rPr>
                <w:rFonts w:ascii="Arial" w:cs="Arial" w:eastAsia="Arial" w:hAnsi="Arial"/>
                <w:sz w:val="20"/>
                <w:szCs w:val="20"/>
              </w:rPr>
              <w:t xml:space="preserve">Coordinated BIS Entity List + FDPR + INKSNA can meaningfully delay access to precision manufacturing equipment, advanced electronics, and specialized components. Denial window buys time for allied technological advantage investment.</w:t>
            </w:r>
          </w:p>
          <w:p>
            <w:pPr>
              <w:spacing w:after="0" w:before="50"/>
            </w:pPr>
            <w:r>
              <w:rPr>
                <w:rFonts w:ascii="Arial" w:cs="Arial" w:eastAsia="Arial" w:hAnsi="Arial"/>
                <w:b/>
                <w:bCs/>
                <w:sz w:val="21"/>
                <w:szCs w:val="21"/>
              </w:rPr>
              <w:t xml:space="preserve">Narrow margins for shadow maritime trade</w:t>
            </w:r>
          </w:p>
          <w:p>
            <w:pPr>
              <w:spacing w:after="70" w:before="0"/>
              <w:ind w:left="180"/>
            </w:pPr>
            <w:r>
              <w:rPr>
                <w:rFonts w:ascii="Arial" w:cs="Arial" w:eastAsia="Arial" w:hAnsi="Arial"/>
                <w:sz w:val="20"/>
                <w:szCs w:val="20"/>
              </w:rPr>
              <w:t xml:space="preserve">As compliance friction increases, the discount required to attract vessel operators increases, compressing seller net revenue even where volume is partially maintained.</w:t>
            </w:r>
          </w:p>
          <w:p>
            <w:pPr>
              <w:spacing w:after="0" w:before="50"/>
            </w:pPr>
            <w:r>
              <w:rPr>
                <w:rFonts w:ascii="Arial" w:cs="Arial" w:eastAsia="Arial" w:hAnsi="Arial"/>
                <w:b/>
                <w:bCs/>
                <w:sz w:val="21"/>
                <w:szCs w:val="21"/>
              </w:rPr>
              <w:t xml:space="preserve">Increase coalition leverage over third-country actors</w:t>
            </w:r>
          </w:p>
          <w:p>
            <w:pPr>
              <w:spacing w:after="70" w:before="0"/>
              <w:ind w:left="180"/>
            </w:pPr>
            <w:r>
              <w:rPr>
                <w:rFonts w:ascii="Arial" w:cs="Arial" w:eastAsia="Arial" w:hAnsi="Arial"/>
                <w:sz w:val="20"/>
                <w:szCs w:val="20"/>
              </w:rPr>
              <w:t xml:space="preserve">Synchronized enforcement converts unilateral actions into coordinated pressure, shifting the cost-benefit calculation for Enablement-tier actors who cannot arbitrage through alternative jurisdictions.</w:t>
            </w:r>
          </w:p>
        </w:tc>
        <w:tc>
          <w:tcPr>
            <w:tcW w:type="dxa" w:w="4680"/>
            <w:tcBorders>
              <w:top w:val="single" w:color="AABBCC" w:sz="1"/>
              <w:left w:val="single" w:color="AABBCC" w:sz="1"/>
              <w:bottom w:val="single" w:color="AABBCC" w:sz="1"/>
              <w:right w:val="single" w:color="AABBCC" w:sz="1"/>
            </w:tcBorders>
            <w:shd w:fill="FEF2F2" w:val="clear"/>
            <w:tcMar>
              <w:top w:type="dxa" w:w="110"/>
              <w:left w:type="dxa" w:w="140"/>
              <w:bottom w:type="dxa" w:w="110"/>
              <w:right w:type="dxa" w:w="140"/>
            </w:tcMar>
          </w:tcPr>
          <w:p>
            <w:pPr>
              <w:spacing w:after="0" w:before="50"/>
            </w:pPr>
            <w:r>
              <w:rPr>
                <w:rFonts w:ascii="Arial" w:cs="Arial" w:eastAsia="Arial" w:hAnsi="Arial"/>
                <w:b/>
                <w:bCs/>
                <w:sz w:val="21"/>
                <w:szCs w:val="21"/>
              </w:rPr>
              <w:t xml:space="preserve">Immediate collapse of target networks</w:t>
            </w:r>
          </w:p>
          <w:p>
            <w:pPr>
              <w:spacing w:after="70" w:before="0"/>
              <w:ind w:left="180"/>
            </w:pPr>
            <w:r>
              <w:rPr>
                <w:rFonts w:ascii="Arial" w:cs="Arial" w:eastAsia="Arial" w:hAnsi="Arial"/>
                <w:sz w:val="20"/>
                <w:szCs w:val="20"/>
              </w:rPr>
              <w:t xml:space="preserve">Sophisticated networks have invested in resilience and redundancy through observed enforcement cycles. Collapse-speed expectations from 2018-2019 analysis are not supported by the 2020-2026 enforcement record. Network disruption and reliability degradation are achievable; collapse is not a planning baseline.</w:t>
            </w:r>
          </w:p>
          <w:p>
            <w:pPr>
              <w:spacing w:after="0" w:before="50"/>
            </w:pPr>
            <w:r>
              <w:rPr>
                <w:rFonts w:ascii="Arial" w:cs="Arial" w:eastAsia="Arial" w:hAnsi="Arial"/>
                <w:b/>
                <w:bCs/>
                <w:sz w:val="21"/>
                <w:szCs w:val="21"/>
              </w:rPr>
              <w:t xml:space="preserve">Total cutoff of PRC-linked market absorption</w:t>
            </w:r>
          </w:p>
          <w:p>
            <w:pPr>
              <w:spacing w:after="70" w:before="0"/>
              <w:ind w:left="180"/>
            </w:pPr>
            <w:r>
              <w:rPr>
                <w:rFonts w:ascii="Arial" w:cs="Arial" w:eastAsia="Arial" w:hAnsi="Arial"/>
                <w:sz w:val="20"/>
                <w:szCs w:val="20"/>
              </w:rPr>
              <w:t xml:space="preserve">PRC sovereign energy-security interests in discounted Iranian crude operate at the state level and will not be eliminated by enforcement actions directed at commercial intermediaries. The realistic target is the Enablement tier, not the underlying PRC state interest.</w:t>
            </w:r>
          </w:p>
          <w:p>
            <w:pPr>
              <w:spacing w:after="0" w:before="50"/>
            </w:pPr>
            <w:r>
              <w:rPr>
                <w:rFonts w:ascii="Arial" w:cs="Arial" w:eastAsia="Arial" w:hAnsi="Arial"/>
                <w:b/>
                <w:bCs/>
                <w:sz w:val="21"/>
                <w:szCs w:val="21"/>
              </w:rPr>
              <w:t xml:space="preserve">Permanent exclusion of sanctioned-origin crude</w:t>
            </w:r>
          </w:p>
          <w:p>
            <w:pPr>
              <w:spacing w:after="70" w:before="0"/>
              <w:ind w:left="180"/>
            </w:pPr>
            <w:r>
              <w:rPr>
                <w:rFonts w:ascii="Arial" w:cs="Arial" w:eastAsia="Arial" w:hAnsi="Arial"/>
                <w:sz w:val="20"/>
                <w:szCs w:val="20"/>
              </w:rPr>
              <w:t xml:space="preserve">Market absorption dynamics govern sanctioned-origin crude flows. Enforcement can raise the discount required and compress seller net revenue; it cannot eliminate the market incentive while sanctioned-state conventional access remains unavailable.</w:t>
            </w:r>
          </w:p>
          <w:p>
            <w:pPr>
              <w:spacing w:after="0" w:before="50"/>
            </w:pPr>
            <w:r>
              <w:rPr>
                <w:rFonts w:ascii="Arial" w:cs="Arial" w:eastAsia="Arial" w:hAnsi="Arial"/>
                <w:b/>
                <w:bCs/>
                <w:sz w:val="21"/>
                <w:szCs w:val="21"/>
              </w:rPr>
              <w:t xml:space="preserve">One-for-one causal linkage between action and behavior change</w:t>
            </w:r>
          </w:p>
          <w:p>
            <w:pPr>
              <w:spacing w:after="70" w:before="0"/>
              <w:ind w:left="180"/>
            </w:pPr>
            <w:r>
              <w:rPr>
                <w:rFonts w:ascii="Arial" w:cs="Arial" w:eastAsia="Arial" w:hAnsi="Arial"/>
                <w:sz w:val="20"/>
                <w:szCs w:val="20"/>
              </w:rPr>
              <w:t xml:space="preserve">Sanctioned-state strategic calculations involve multiple variables beyond economic pressure. Economic pressure is one input, not a deterministic lever. Assessments claiming direct behavioral causation from specific enforcement actions are analytically overconfident.</w:t>
            </w:r>
          </w:p>
          <w:p>
            <w:pPr>
              <w:spacing w:after="0" w:before="50"/>
            </w:pPr>
            <w:r>
              <w:rPr>
                <w:rFonts w:ascii="Arial" w:cs="Arial" w:eastAsia="Arial" w:hAnsi="Arial"/>
                <w:b/>
                <w:bCs/>
                <w:sz w:val="21"/>
                <w:szCs w:val="21"/>
              </w:rPr>
              <w:t xml:space="preserve">Durable effectiveness without coalition maintenance</w:t>
            </w:r>
          </w:p>
          <w:p>
            <w:pPr>
              <w:spacing w:after="70" w:before="0"/>
              <w:ind w:left="180"/>
            </w:pPr>
            <w:r>
              <w:rPr>
                <w:rFonts w:ascii="Arial" w:cs="Arial" w:eastAsia="Arial" w:hAnsi="Arial"/>
                <w:sz w:val="20"/>
                <w:szCs w:val="20"/>
              </w:rPr>
              <w:t xml:space="preserve">No enforcement architecture is durable without sustained coalition participation. Actions producing effects in Year 1 without coalition maintenance typically produce adaptation in Year 2 and enforcement normalization by Year 3.</w:t>
            </w:r>
          </w:p>
          <w:p>
            <w:pPr>
              <w:spacing w:after="0" w:before="50"/>
            </w:pPr>
            <w:r>
              <w:rPr>
                <w:rFonts w:ascii="Arial" w:cs="Arial" w:eastAsia="Arial" w:hAnsi="Arial"/>
                <w:b/>
                <w:bCs/>
                <w:sz w:val="21"/>
                <w:szCs w:val="21"/>
              </w:rPr>
              <w:t xml:space="preserve">Behavioral change from designation alone without published off-ramp</w:t>
            </w:r>
          </w:p>
          <w:p>
            <w:pPr>
              <w:spacing w:after="70" w:before="0"/>
              <w:ind w:left="180"/>
            </w:pPr>
            <w:r>
              <w:rPr>
                <w:rFonts w:ascii="Arial" w:cs="Arial" w:eastAsia="Arial" w:hAnsi="Arial"/>
                <w:sz w:val="20"/>
                <w:szCs w:val="20"/>
              </w:rPr>
              <w:t xml:space="preserve">Pressure without a specific, verifiable, pre-committed off-ramp produces entrenchment rather than compliance. Every enforcement action should be accompanied by a published statement of what verified conduct change would support suspension or reversal.</w:t>
            </w:r>
          </w:p>
        </w:tc>
      </w:tr>
    </w:tbl>
    <w:p>
      <w:pPr>
        <w:spacing w:after="40" w:before="40"/>
      </w:pPr>
      <w:r>
        <w:t xml:space="preserve"/>
      </w:r>
    </w:p>
    <w:p>
      <w:pPr>
        <w:pBdr>
          <w:bottom w:val="single" w:color="2E5F8A" w:sz="6" w:space="1"/>
        </w:pBdr>
        <w:spacing w:after="120" w:before="120"/>
      </w:pPr>
      <w:r>
        <w:t xml:space="preserve"/>
      </w:r>
    </w:p>
    <w:p>
      <w:pPr>
        <w:spacing w:after="60" w:before="60"/>
        <w:jc w:val="center"/>
      </w:pPr>
      <w:r>
        <w:rPr>
          <w:rFonts w:ascii="Arial" w:cs="Arial" w:eastAsia="Arial" w:hAnsi="Arial"/>
          <w:b w:val="false"/>
          <w:bCs w:val="false"/>
          <w:color w:val="555555"/>
          <w:sz w:val="19"/>
          <w:szCs w:val="19"/>
        </w:rPr>
        <w:t xml:space="preserve">For full instrument detail, metrics and observability, risk analysis, institutional illustrations, and off-ramp architecture, see WP-2026-SHIELD-01 (full paper).</w:t>
      </w:r>
    </w:p>
    <w:p>
      <w:pPr>
        <w:spacing w:after="60" w:before="60"/>
        <w:jc w:val="center"/>
      </w:pPr>
      <w:r>
        <w:rPr>
          <w:rFonts w:ascii="Arial" w:cs="Arial" w:eastAsia="Arial" w:hAnsi="Arial"/>
          <w:b w:val="false"/>
          <w:bCs w:val="false"/>
          <w:color w:val="888888"/>
          <w:sz w:val="18"/>
          <w:szCs w:val="18"/>
        </w:rPr>
        <w:t xml:space="preserve">UNCLASSIFIED // OPEN SOURCE POLICY ANALYSIS  |  WP-2026-SHIELD-01-EB  |  Independent Policy Research  |  March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tabs>
        <w:tab w:val="right" w:pos="9360"/>
      </w:tabs>
    </w:pPr>
    <w:r>
      <w:rPr>
        <w:rFonts w:ascii="Arial" w:cs="Arial" w:eastAsia="Arial" w:hAnsi="Arial"/>
        <w:color w:val="9F9F9F"/>
        <w:sz w:val="17"/>
        <w:szCs w:val="17"/>
      </w:rPr>
      <w:t xml:space="preserve">PRC-Supported Sanctions Resilience — Executive Brief</w:t>
    </w:r>
    <w:r>
      <w:rPr>
        <w:rFonts w:ascii="Arial" w:cs="Arial" w:eastAsia="Arial" w:hAnsi="Arial"/>
        <w:color w:val="9F9F9F"/>
        <w:sz w:val="17"/>
        <w:szCs w:val="17"/>
      </w:rPr>
      <w:t xml:space="preserve">	Page </w:t>
    </w:r>
    <w:r>
      <w:rPr>
        <w:rFonts w:ascii="Arial" w:cs="Arial" w:eastAsia="Arial" w:hAnsi="Arial"/>
        <w:color w:val="9F9F9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rFonts w:ascii="Arial" w:cs="Arial" w:eastAsia="Arial" w:hAnsi="Arial"/>
        <w:color w:val="2E5F8A"/>
        <w:sz w:val="17"/>
        <w:szCs w:val="17"/>
      </w:rPr>
      <w:t xml:space="preserve">WP-2026-SHIELD-01-EB  |  EXECUTIVE COMPANION BRIEF  |  UNCLASSIFIED // OPEN SOURCE POLICY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6" w:space="2"/>
      </w:pBdr>
      <w:spacing w:after="12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2026-03-10T20:17:38.429Z</dcterms:created>
  <dcterms:modified xsi:type="dcterms:W3CDTF">2026-03-10T20:17:38.430Z</dcterms:modified>
</cp:coreProperties>
</file>

<file path=docProps/custom.xml><?xml version="1.0" encoding="utf-8"?>
<Properties xmlns="http://schemas.openxmlformats.org/officeDocument/2006/custom-properties" xmlns:vt="http://schemas.openxmlformats.org/officeDocument/2006/docPropsVTypes"/>
</file>