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2B4A" w:val="clear"/>
        <w:spacing w:before="0" w:after="0"/>
        <w:jc w:val="center"/>
      </w:pPr>
      <w:r>
        <w:rPr>
          <w:rFonts w:ascii="Calibri" w:cs="Calibri" w:eastAsia="Calibri" w:hAnsi="Calibri"/>
          <w:b/>
          <w:bCs/>
          <w:color w:val="FFFFFF"/>
          <w:sz w:val="17"/>
          <w:szCs w:val="17"/>
        </w:rPr>
        <w:t xml:space="preserve">STRATEGIC ANALYSIS  •  SIMULATED  •  NOT CLASSIFIED  •  ACADEMIC AND POLICY RESEARCH PURPOSES ONLY</w:t>
      </w:r>
    </w:p>
    <w:p>
      <w:pPr>
        <w:spacing w:before="40" w:after="40"/>
      </w:pPr>
      <w:r>
        <w:rPr>
          <w:sz w:val="18"/>
          <w:szCs w:val="18"/>
        </w:rPr>
        <w:t xml:space="preserve"/>
      </w:r>
    </w:p>
    <w:p>
      <w:pPr>
        <w:spacing w:before="240" w:after="80"/>
      </w:pPr>
      <w:r>
        <w:rPr>
          <w:rFonts w:ascii="Calibri" w:cs="Calibri" w:eastAsia="Calibri" w:hAnsi="Calibri"/>
          <w:b/>
          <w:bCs/>
          <w:color w:val="1C2B4A"/>
          <w:sz w:val="48"/>
          <w:szCs w:val="48"/>
        </w:rPr>
        <w:t xml:space="preserve">RUSSIA–CHINA STRATEGIC NODE MASTER INDEX  v2</w:t>
      </w:r>
    </w:p>
    <w:p>
      <w:pPr>
        <w:spacing w:before="0" w:after="120"/>
      </w:pPr>
      <w:r>
        <w:rPr>
          <w:rFonts w:ascii="Calibri" w:cs="Calibri" w:eastAsia="Calibri" w:hAnsi="Calibri"/>
          <w:i/>
          <w:iCs/>
          <w:color w:val="4A6FA5"/>
          <w:sz w:val="24"/>
          <w:szCs w:val="24"/>
        </w:rPr>
        <w:t xml:space="preserve">Complete Intelligence Profile: All Layers — Infrastructure, Finance, Fleet, Personnel, Equity, Insurance, Supply Chain, Military, Central Asia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50"/>
        <w:gridCol w:w="1950"/>
        <w:gridCol w:w="1950"/>
        <w:gridCol w:w="1950"/>
        <w:gridCol w:w="1950"/>
        <w:gridCol w:w="1950"/>
        <w:gridCol w:w="1980"/>
      </w:tblGrid>
      <w:tr>
        <w:tc>
          <w:tcPr>
            <w:tcW w:type="dxa" w:w="1950"/>
            <w:tcBorders>
              <w:top w:val="single" w:color="D0D5DE" w:sz="1"/>
              <w:left w:val="single" w:color="D0D5DE" w:sz="1"/>
              <w:bottom w:val="single" w:color="D0D5DE" w:sz="1"/>
              <w:right w:val="single" w:color="D0D5DE" w:sz="1"/>
            </w:tcBorders>
            <w:shd w:fill="1C2B4A"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~109</w:t>
            </w:r>
          </w:p>
          <w:p>
            <w:pPr>
              <w:jc w:val="center"/>
            </w:pPr>
            <w:r>
              <w:rPr>
                <w:rFonts w:ascii="Calibri" w:cs="Calibri" w:eastAsia="Calibri" w:hAnsi="Calibri"/>
                <w:b/>
                <w:bCs/>
                <w:color w:val="FFFFFF"/>
                <w:sz w:val="16"/>
                <w:szCs w:val="16"/>
              </w:rPr>
              <w:t xml:space="preserve">TOTAL ENTRIES</w:t>
            </w:r>
          </w:p>
        </w:tc>
        <w:tc>
          <w:tcPr>
            <w:tcW w:type="dxa" w:w="1950"/>
            <w:tcBorders>
              <w:top w:val="single" w:color="D0D5DE" w:sz="1"/>
              <w:left w:val="single" w:color="D0D5DE" w:sz="1"/>
              <w:bottom w:val="single" w:color="D0D5DE" w:sz="1"/>
              <w:right w:val="single" w:color="D0D5DE" w:sz="1"/>
            </w:tcBorders>
            <w:shd w:fill="8B1A1A"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5</w:t>
            </w:r>
          </w:p>
          <w:p>
            <w:pPr>
              <w:jc w:val="center"/>
            </w:pPr>
            <w:r>
              <w:rPr>
                <w:rFonts w:ascii="Calibri" w:cs="Calibri" w:eastAsia="Calibri" w:hAnsi="Calibri"/>
                <w:b/>
                <w:bCs/>
                <w:color w:val="FFFFFF"/>
                <w:sz w:val="16"/>
                <w:szCs w:val="16"/>
              </w:rPr>
              <w:t xml:space="preserve">DESIGNATED</w:t>
            </w:r>
          </w:p>
        </w:tc>
        <w:tc>
          <w:tcPr>
            <w:tcW w:type="dxa" w:w="1950"/>
            <w:tcBorders>
              <w:top w:val="single" w:color="D0D5DE" w:sz="1"/>
              <w:left w:val="single" w:color="D0D5DE" w:sz="1"/>
              <w:bottom w:val="single" w:color="D0D5DE" w:sz="1"/>
              <w:right w:val="single" w:color="D0D5DE" w:sz="1"/>
            </w:tcBorders>
            <w:shd w:fill="7A5000"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25</w:t>
            </w:r>
          </w:p>
          <w:p>
            <w:pPr>
              <w:jc w:val="center"/>
            </w:pPr>
            <w:r>
              <w:rPr>
                <w:rFonts w:ascii="Calibri" w:cs="Calibri" w:eastAsia="Calibri" w:hAnsi="Calibri"/>
                <w:b/>
                <w:bCs/>
                <w:color w:val="FFFFFF"/>
                <w:sz w:val="16"/>
                <w:szCs w:val="16"/>
              </w:rPr>
              <w:t xml:space="preserve">TARGETABLE</w:t>
            </w:r>
          </w:p>
        </w:tc>
        <w:tc>
          <w:tcPr>
            <w:tcW w:type="dxa" w:w="1950"/>
            <w:tcBorders>
              <w:top w:val="single" w:color="D0D5DE" w:sz="1"/>
              <w:left w:val="single" w:color="D0D5DE" w:sz="1"/>
              <w:bottom w:val="single" w:color="D0D5DE" w:sz="1"/>
              <w:right w:val="single" w:color="D0D5DE" w:sz="1"/>
            </w:tcBorders>
            <w:shd w:fill="6A0D8E"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7</w:t>
            </w:r>
          </w:p>
          <w:p>
            <w:pPr>
              <w:jc w:val="center"/>
            </w:pPr>
            <w:r>
              <w:rPr>
                <w:rFonts w:ascii="Calibri" w:cs="Calibri" w:eastAsia="Calibri" w:hAnsi="Calibri"/>
                <w:b/>
                <w:bCs/>
                <w:color w:val="FFFFFF"/>
                <w:sz w:val="16"/>
                <w:szCs w:val="16"/>
              </w:rPr>
              <w:t xml:space="preserve">PARTIAL</w:t>
            </w:r>
          </w:p>
        </w:tc>
        <w:tc>
          <w:tcPr>
            <w:tcW w:type="dxa" w:w="1950"/>
            <w:tcBorders>
              <w:top w:val="single" w:color="D0D5DE" w:sz="1"/>
              <w:left w:val="single" w:color="D0D5DE" w:sz="1"/>
              <w:bottom w:val="single" w:color="D0D5DE" w:sz="1"/>
              <w:right w:val="single" w:color="D0D5DE" w:sz="1"/>
            </w:tcBorders>
            <w:shd w:fill="1A4A1A"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32</w:t>
            </w:r>
          </w:p>
          <w:p>
            <w:pPr>
              <w:jc w:val="center"/>
            </w:pPr>
            <w:r>
              <w:rPr>
                <w:rFonts w:ascii="Calibri" w:cs="Calibri" w:eastAsia="Calibri" w:hAnsi="Calibri"/>
                <w:b/>
                <w:bCs/>
                <w:color w:val="FFFFFF"/>
                <w:sz w:val="16"/>
                <w:szCs w:val="16"/>
              </w:rPr>
              <w:t xml:space="preserve">MONITOR</w:t>
            </w:r>
          </w:p>
        </w:tc>
        <w:tc>
          <w:tcPr>
            <w:tcW w:type="dxa" w:w="1950"/>
            <w:tcBorders>
              <w:top w:val="single" w:color="D0D5DE" w:sz="1"/>
              <w:left w:val="single" w:color="D0D5DE" w:sz="1"/>
              <w:bottom w:val="single" w:color="D0D5DE" w:sz="1"/>
              <w:right w:val="single" w:color="D0D5DE" w:sz="1"/>
            </w:tcBorders>
            <w:shd w:fill="1A2A5A"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13</w:t>
            </w:r>
          </w:p>
          <w:p>
            <w:pPr>
              <w:jc w:val="center"/>
            </w:pPr>
            <w:r>
              <w:rPr>
                <w:rFonts w:ascii="Calibri" w:cs="Calibri" w:eastAsia="Calibri" w:hAnsi="Calibri"/>
                <w:b/>
                <w:bCs/>
                <w:color w:val="FFFFFF"/>
                <w:sz w:val="16"/>
                <w:szCs w:val="16"/>
              </w:rPr>
              <w:t xml:space="preserve">OFF-LIMITS</w:t>
            </w:r>
          </w:p>
        </w:tc>
        <w:tc>
          <w:tcPr>
            <w:tcW w:type="dxa" w:w="1950"/>
            <w:tcBorders>
              <w:top w:val="single" w:color="D0D5DE" w:sz="1"/>
              <w:left w:val="single" w:color="D0D5DE" w:sz="1"/>
              <w:bottom w:val="single" w:color="D0D5DE" w:sz="1"/>
              <w:right w:val="single" w:color="D0D5DE" w:sz="1"/>
            </w:tcBorders>
            <w:shd w:fill="444444"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2</w:t>
            </w:r>
          </w:p>
          <w:p>
            <w:pPr>
              <w:jc w:val="center"/>
            </w:pPr>
            <w:r>
              <w:rPr>
                <w:rFonts w:ascii="Calibri" w:cs="Calibri" w:eastAsia="Calibri" w:hAnsi="Calibri"/>
                <w:b/>
                <w:bCs/>
                <w:color w:val="FFFFFF"/>
                <w:sz w:val="16"/>
                <w:szCs w:val="16"/>
              </w:rPr>
              <w:t xml:space="preserve">SEIZED</w:t>
            </w:r>
          </w:p>
        </w:tc>
      </w:tr>
    </w:tbl>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c>
          <w:tcPr>
            <w:tcW w:type="dxa" w:w="2280"/>
            <w:tcBorders>
              <w:top w:val="single" w:color="D0D5DE" w:sz="1"/>
              <w:left w:val="single" w:color="D0D5DE" w:sz="1"/>
              <w:bottom w:val="single" w:color="D0D5DE" w:sz="1"/>
              <w:right w:val="single" w:color="D0D5DE" w:sz="1"/>
            </w:tcBorders>
            <w:shd w:fill="C0392B" w:val="clear"/>
            <w:tcMar>
              <w:top w:type="dxa" w:w="80"/>
              <w:left w:type="dxa" w:w="120"/>
              <w:bottom w:type="dxa" w:w="80"/>
              <w:right w:type="dxa" w:w="120"/>
            </w:tcMar>
          </w:tcPr>
          <w:p>
            <w:r>
              <w:rPr>
                <w:rFonts w:ascii="Calibri" w:cs="Calibri" w:eastAsia="Calibri" w:hAnsi="Calibri"/>
                <w:b/>
                <w:bCs/>
                <w:color w:val="FFFFFF"/>
                <w:sz w:val="17"/>
                <w:szCs w:val="17"/>
              </w:rPr>
              <w:t xml:space="preserve">DESIGNATED</w:t>
            </w:r>
          </w:p>
          <w:p>
            <w:r>
              <w:rPr>
                <w:rFonts w:ascii="Calibri" w:cs="Calibri" w:eastAsia="Calibri" w:hAnsi="Calibri"/>
                <w:i/>
                <w:iCs/>
                <w:color w:val="FFFFFF"/>
                <w:sz w:val="15"/>
                <w:szCs w:val="15"/>
              </w:rPr>
              <w:t xml:space="preserve">Currently under US/allied sanctions</w:t>
            </w:r>
          </w:p>
        </w:tc>
        <w:tc>
          <w:tcPr>
            <w:tcW w:type="dxa" w:w="2280"/>
            <w:tcBorders>
              <w:top w:val="single" w:color="D0D5DE" w:sz="1"/>
              <w:left w:val="single" w:color="D0D5DE" w:sz="1"/>
              <w:bottom w:val="single" w:color="D0D5DE" w:sz="1"/>
              <w:right w:val="single" w:color="D0D5DE" w:sz="1"/>
            </w:tcBorders>
            <w:shd w:fill="D4880A" w:val="clear"/>
            <w:tcMar>
              <w:top w:type="dxa" w:w="80"/>
              <w:left w:type="dxa" w:w="120"/>
              <w:bottom w:type="dxa" w:w="80"/>
              <w:right w:type="dxa" w:w="120"/>
            </w:tcMar>
          </w:tcPr>
          <w:p>
            <w:r>
              <w:rPr>
                <w:rFonts w:ascii="Calibri" w:cs="Calibri" w:eastAsia="Calibri" w:hAnsi="Calibri"/>
                <w:b/>
                <w:bCs/>
                <w:color w:val="FFFFFF"/>
                <w:sz w:val="17"/>
                <w:szCs w:val="17"/>
              </w:rPr>
              <w:t xml:space="preserve">TARGETABLE</w:t>
            </w:r>
          </w:p>
          <w:p>
            <w:r>
              <w:rPr>
                <w:rFonts w:ascii="Calibri" w:cs="Calibri" w:eastAsia="Calibri" w:hAnsi="Calibri"/>
                <w:i/>
                <w:iCs/>
                <w:color w:val="FFFFFF"/>
                <w:sz w:val="15"/>
                <w:szCs w:val="15"/>
              </w:rPr>
              <w:t xml:space="preserve">Actionable under existing legal authorities</w:t>
            </w:r>
          </w:p>
        </w:tc>
        <w:tc>
          <w:tcPr>
            <w:tcW w:type="dxa" w:w="2280"/>
            <w:tcBorders>
              <w:top w:val="single" w:color="D0D5DE" w:sz="1"/>
              <w:left w:val="single" w:color="D0D5DE" w:sz="1"/>
              <w:bottom w:val="single" w:color="D0D5DE" w:sz="1"/>
              <w:right w:val="single" w:color="D0D5DE" w:sz="1"/>
            </w:tcBorders>
            <w:shd w:fill="8E44AD" w:val="clear"/>
            <w:tcMar>
              <w:top w:type="dxa" w:w="80"/>
              <w:left w:type="dxa" w:w="120"/>
              <w:bottom w:type="dxa" w:w="80"/>
              <w:right w:type="dxa" w:w="120"/>
            </w:tcMar>
          </w:tcPr>
          <w:p>
            <w:r>
              <w:rPr>
                <w:rFonts w:ascii="Calibri" w:cs="Calibri" w:eastAsia="Calibri" w:hAnsi="Calibri"/>
                <w:b/>
                <w:bCs/>
                <w:color w:val="FFFFFF"/>
                <w:sz w:val="17"/>
                <w:szCs w:val="17"/>
              </w:rPr>
              <w:t xml:space="preserve">PARTIAL</w:t>
            </w:r>
          </w:p>
          <w:p>
            <w:r>
              <w:rPr>
                <w:rFonts w:ascii="Calibri" w:cs="Calibri" w:eastAsia="Calibri" w:hAnsi="Calibri"/>
                <w:i/>
                <w:iCs/>
                <w:color w:val="FFFFFF"/>
                <w:sz w:val="15"/>
                <w:szCs w:val="15"/>
              </w:rPr>
              <w:t xml:space="preserve">Partially sanctioned; gaps remain</w:t>
            </w:r>
          </w:p>
        </w:tc>
        <w:tc>
          <w:tcPr>
            <w:tcW w:type="dxa" w:w="2280"/>
            <w:tcBorders>
              <w:top w:val="single" w:color="D0D5DE" w:sz="1"/>
              <w:left w:val="single" w:color="D0D5DE" w:sz="1"/>
              <w:bottom w:val="single" w:color="D0D5DE" w:sz="1"/>
              <w:right w:val="single" w:color="D0D5DE" w:sz="1"/>
            </w:tcBorders>
            <w:shd w:fill="27AE60" w:val="clear"/>
            <w:tcMar>
              <w:top w:type="dxa" w:w="80"/>
              <w:left w:type="dxa" w:w="120"/>
              <w:bottom w:type="dxa" w:w="80"/>
              <w:right w:type="dxa" w:w="120"/>
            </w:tcMar>
          </w:tcPr>
          <w:p>
            <w:r>
              <w:rPr>
                <w:rFonts w:ascii="Calibri" w:cs="Calibri" w:eastAsia="Calibri" w:hAnsi="Calibri"/>
                <w:b/>
                <w:bCs/>
                <w:color w:val="FFFFFF"/>
                <w:sz w:val="17"/>
                <w:szCs w:val="17"/>
              </w:rPr>
              <w:t xml:space="preserve">MONITOR</w:t>
            </w:r>
          </w:p>
          <w:p>
            <w:r>
              <w:rPr>
                <w:rFonts w:ascii="Calibri" w:cs="Calibri" w:eastAsia="Calibri" w:hAnsi="Calibri"/>
                <w:i/>
                <w:iCs/>
                <w:color w:val="FFFFFF"/>
                <w:sz w:val="15"/>
                <w:szCs w:val="15"/>
              </w:rPr>
              <w:t xml:space="preserve">Intelligence collection priority; no current action</w:t>
            </w:r>
          </w:p>
        </w:tc>
        <w:tc>
          <w:tcPr>
            <w:tcW w:type="dxa" w:w="2280"/>
            <w:tcBorders>
              <w:top w:val="single" w:color="D0D5DE" w:sz="1"/>
              <w:left w:val="single" w:color="D0D5DE" w:sz="1"/>
              <w:bottom w:val="single" w:color="D0D5DE" w:sz="1"/>
              <w:right w:val="single" w:color="D0D5DE" w:sz="1"/>
            </w:tcBorders>
            <w:shd w:fill="2471A3" w:val="clear"/>
            <w:tcMar>
              <w:top w:type="dxa" w:w="80"/>
              <w:left w:type="dxa" w:w="120"/>
              <w:bottom w:type="dxa" w:w="80"/>
              <w:right w:type="dxa" w:w="120"/>
            </w:tcMar>
          </w:tcPr>
          <w:p>
            <w:r>
              <w:rPr>
                <w:rFonts w:ascii="Calibri" w:cs="Calibri" w:eastAsia="Calibri" w:hAnsi="Calibri"/>
                <w:b/>
                <w:bCs/>
                <w:color w:val="FFFFFF"/>
                <w:sz w:val="17"/>
                <w:szCs w:val="17"/>
              </w:rPr>
              <w:t xml:space="preserve">OFF-LIMITS</w:t>
            </w:r>
          </w:p>
          <w:p>
            <w:r>
              <w:rPr>
                <w:rFonts w:ascii="Calibri" w:cs="Calibri" w:eastAsia="Calibri" w:hAnsi="Calibri"/>
                <w:i/>
                <w:iCs/>
                <w:color w:val="FFFFFF"/>
                <w:sz w:val="15"/>
                <w:szCs w:val="15"/>
              </w:rPr>
              <w:t xml:space="preserve">Chinese/third-sovereign; political constraints</w:t>
            </w:r>
          </w:p>
        </w:tc>
        <w:tc>
          <w:tcPr>
            <w:tcW w:type="dxa" w:w="2280"/>
            <w:tcBorders>
              <w:top w:val="single" w:color="D0D5DE" w:sz="1"/>
              <w:left w:val="single" w:color="D0D5DE" w:sz="1"/>
              <w:bottom w:val="single" w:color="D0D5DE" w:sz="1"/>
              <w:right w:val="single" w:color="D0D5DE" w:sz="1"/>
            </w:tcBorders>
            <w:shd w:fill="444444" w:val="clear"/>
            <w:tcMar>
              <w:top w:type="dxa" w:w="80"/>
              <w:left w:type="dxa" w:w="120"/>
              <w:bottom w:type="dxa" w:w="80"/>
              <w:right w:type="dxa" w:w="120"/>
            </w:tcMar>
          </w:tcPr>
          <w:p>
            <w:r>
              <w:rPr>
                <w:rFonts w:ascii="Calibri" w:cs="Calibri" w:eastAsia="Calibri" w:hAnsi="Calibri"/>
                <w:b/>
                <w:bCs/>
                <w:color w:val="FFFFFF"/>
                <w:sz w:val="17"/>
                <w:szCs w:val="17"/>
              </w:rPr>
              <w:t xml:space="preserve">SEIZED</w:t>
            </w:r>
          </w:p>
          <w:p>
            <w:r>
              <w:rPr>
                <w:rFonts w:ascii="Calibri" w:cs="Calibri" w:eastAsia="Calibri" w:hAnsi="Calibri"/>
                <w:i/>
                <w:iCs/>
                <w:color w:val="FFFFFF"/>
                <w:sz w:val="15"/>
                <w:szCs w:val="15"/>
              </w:rPr>
              <w:t xml:space="preserve">Physically captured by allied law enforcement</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I. Oil Infrastructure (ESPO Pipeline &amp; Kazakhstan Transit)</w:t>
      </w:r>
    </w:p>
    <w:p>
      <w:pPr>
        <w:spacing w:before="40" w:after="40"/>
        <w:jc w:val="both"/>
      </w:pPr>
      <w:r>
        <w:rPr>
          <w:rFonts w:ascii="Calibri" w:cs="Calibri" w:eastAsia="Calibri" w:hAnsi="Calibri"/>
          <w:color w:val="111111"/>
          <w:sz w:val="19"/>
          <w:szCs w:val="19"/>
        </w:rPr>
        <w:t xml:space="preserve">Primary oil corridor from Taishet to Chinese refineries via ESPO and Kazakhstan Atasu-Alashankou route. Combined throughput ~60-80M tons/year.</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Taishet Hub</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55.93°N, 97.98°E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Irkutsk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Transneft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Pipeline Origin</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§1(a)(i). ESPO system start point — disruption severs entire downstream chain. Multilateral designation required for full effect.</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Angarsk Refinery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52.53°N, 103.90°E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Angarsk, Irkutsk Oblast</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Rosneft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Major East Siberian refining hub. Designate Rosneft subsidiaries; requires EU/UK alignment for full effect.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Skovorodino Hub</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53.98°N, 123.95°E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Transneft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Pipeline Fork — TIER I</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HIGHEST PRIORITY. Single switch for all ESPO land oil to China (~30M tons/yr direct spur). EO 14024. Disruption severs China-bound land oil supply; Kozmino maritime exports (~40-45M tons/yr) remain intact. Not a total ESPO shutdown — correctly characterized as severing the China-bound spur specifically.</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Mohe / Lianyin Crossing</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53.48°N, 122.35°E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Heilongjiang,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Pipeline Border Crossing</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infrastructure. Monitor throughput via satellite imagery. No US designation path.</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Kozmino Bay Terminal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42.73°N, 133.00°E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Primorsky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Transneft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Maritime Oil Terminal</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Partially sanctioned via EU/UK tanker bans. Designate all shadow fleet tankers loading here under EO 14024.</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Nakhodka Port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42.82°N, 132.87°E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Primorsky Krai,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FESCO / state ports</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Maritime Hub / Shadow Fleet</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Shadow fleet staging. Designate port service providers under EO 14024. AIS gap tracking via Windward/Pole Star.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Komsomolsk Refinery</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50.53°N, 137.00°E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Khabarovsk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Rosneft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 — Far East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Coordinate designation with Angarsk for maximum refining disruption.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Daqing Petrochemical</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46.63°N, 125.13°E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Heilongjiang,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PetroChina / CNPC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 — ESPO Terminus</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Monitor ESPO Blend intake volumes via satellite thermal imaging.</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Zhanaarka / Atasu Node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48.68°N, 71.65°E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Karaganda, Kazakhstan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KazMunayGas / Transneft (mixed)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Pipeline Transit Node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Kazakhstan sovereign. Monitor Russian crude volumes transiting Atasu-Alashankou.</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Alashankou / Dzungarian Gate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45.21°N, 82.56°E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Xinjiang,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Pipeline/Rail Border Gate</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No US designation path. Monitor pipeline flow volumes.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Dushanzi Refinery</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44.32°N, 84.86°E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Karamay, Xinjiang,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PetroChina (Chinese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 — Western China</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Track throughput as Russia-Kazakhstan-China flow proxy.</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Lanzhou Refinery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36.10°N, 103.62°E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Lanzhou, Gansu,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PetroChina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 — Inland</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Monitor only.</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II. Natural Gas Infrastructure (Power of Siberia &amp; Future Routes)</w:t>
      </w:r>
    </w:p>
    <w:p>
      <w:pPr>
        <w:spacing w:before="40" w:after="40"/>
        <w:jc w:val="both"/>
      </w:pPr>
      <w:r>
        <w:rPr>
          <w:rFonts w:ascii="Calibri" w:cs="Calibri" w:eastAsia="Calibri" w:hAnsi="Calibri"/>
          <w:color w:val="111111"/>
          <w:sz w:val="19"/>
          <w:szCs w:val="19"/>
        </w:rPr>
        <w:t xml:space="preserve">PoS1 at full capacity (~38 BCM/yr) late 2025. PoS-2 via Mongolia planned, not operational. Dalnerechensk Far East route targeted Jan 2027.</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Chayanda Gas Field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63.00°N, 112.50°E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 Republic,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Field — PoS1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Primary PoS1 feeder. Designate Gazprom extraction subsidiaries to constrain future throughput.</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Kovykta Gas Field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54.30°N, 107.50°E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Irkutsk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Field — PoS1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Secondary PoS1 feeder. Coordinate with Chayanda for maximum supply disruption.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Heihe Border Crossing (PoS1)</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50.24°N, 127.49°E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Heihe, Heilongjiang,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 Gazprom JV</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Pipeline Border / Grid Node</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Chinese-Russian JV on Chinese territory. PoS1 entry and HVDC digital node. Monitor only.</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PoS-2 Planned Entry (Mongolia)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50.00°N, 106.00°E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Mongolia / Russia border corridor</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(planned)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Pipeline — Future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Not operational. Diplomatic pressure on Mongolia to delay transit rights would disrupt PoS-2 viability.</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Dalnerechensk Far East Route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45.88°N, 133.68°E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Primorsky Krai / China border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 CNPC (planned)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Pipeline — Future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Operational target Jan 2027. Pre-emptive designation of Gazprom construction entities could delay commissioning.</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Zhengzhou Gas Hub</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34.75°N, 113.62°E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Henan,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 PipeChina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Distribution Hub</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PoS1 inland distribution. Monitor only.</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III. LNG and Arctic Energy Infrastructure</w:t>
      </w:r>
    </w:p>
    <w:p>
      <w:pPr>
        <w:spacing w:before="40" w:after="40"/>
        <w:jc w:val="both"/>
      </w:pPr>
      <w:r>
        <w:rPr>
          <w:rFonts w:ascii="Calibri" w:cs="Calibri" w:eastAsia="Calibri" w:hAnsi="Calibri"/>
          <w:color w:val="111111"/>
          <w:sz w:val="19"/>
          <w:szCs w:val="19"/>
        </w:rPr>
        <w:t xml:space="preserve">Arctic LNG production chain including sanctioned facilities operating via shadow fleet. Sabetta-Kamchatka FSU-Beihai corridor is the primary active evasion route as of Q1 2026.</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Sabetta LNG Terminal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71.27°N, 72.07°E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Yamal-Nenets AO,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(majority); CNPC / CNOOC (Chinese equity ~20%)</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Export Terminal — Arctic</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PRIORITY. Partially sanctioned EU/UK. CNPC/CNOOC equity stakes create leverage point. Designate all Novatek operating subsidiaries and individual shadow fleet tankers loading here under EO 14024.</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Arctic LNG 2 Plant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71.15°N, 77.92°E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Gydan Peninsula,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(majority); Chinese/Japanese/French equity withdrawn</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Plant — Sanctioned</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Under US/EU/UK sanctions. Still shipping via shadow fleet to Beihai. Enforce tanker-level secondary sanctions — designate each vessel individually by IMO number.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Saam FSU (Murmansk)</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69.30°N, 33.50°E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Barents Sea, near Murmansk</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(operated)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Floating Storage — STS Transfer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Designated. Ship-to-ship transfer point. Monitor for replacement FSU deployment.</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Kamchatka FSU</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53.00°N, 160.00°E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Pacific, off Kamchatka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(operated)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Floating Storage — Pacific STS</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Far East LNG transshipment to standard tankers. Designate vessel; track replacement.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Beihai LNG Terminal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21.48°N, 109.12°E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Guangxi,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CNOOC (Chinese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Import Terminal — China</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Primary receiving terminal for sanctioned Arctic LNG 2. Off-limits for direct action. Indirect pressure via shipping insurance and flagging state designations on delivering vessels.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Murmansk Port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68.96°N, 33.07°E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Murmansk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FGUP Rosmorport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Arctic Port — NSR Western Gate</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NSR western terminus. Designate port service companies and Atomflot icebreakers supporting Arctic energy exports.</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IV. Critical Minerals, Mining, and Rail Chokepoints</w:t>
      </w:r>
    </w:p>
    <w:p>
      <w:pPr>
        <w:spacing w:before="40" w:after="40"/>
        <w:jc w:val="both"/>
      </w:pPr>
      <w:r>
        <w:rPr>
          <w:rFonts w:ascii="Calibri" w:cs="Calibri" w:eastAsia="Calibri" w:hAnsi="Calibri"/>
          <w:color w:val="111111"/>
          <w:sz w:val="19"/>
          <w:szCs w:val="19"/>
        </w:rPr>
        <w:t xml:space="preserve">Extraction, transport, and processing nodes for uranium, REEs, nickel, copper, palladium, and coal. Zabaykalsk remains the single most critical physical chokepoint for all solid material exports.</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Norilsk — Nornickel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69.33°N, 88.20°E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Krasnoyarsk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Nornickel (Vladimir Potanin, ~35% controlling stake)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Mining — Ni/Cu/Pd/Pt</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Potanin designated UK/Canada/Australia. US has NOT yet designated. OFAC should designate Nornickel under EO 14024. World primary palladium source — coordinate with allies before action to manage global PGM market disruption.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Tomtor REE Deposit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71.00°N, 116.50°E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 Republic,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Polymetal / Russian state development interest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Mining — Rare Earths / Niobium</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Currently undeveloped. Monitor Chinese investment structures. Pre-emptive designation of Chinese JV partners once investment formalized.</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Krasnokamensk Uranium Hub</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50.10°N, 118.03°E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Zabaykalsky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Rosatom / ARMZ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Mining — Uranium Processing</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13382. ARMZ is Rosatom subsidiary. Fuel supply for Tianwan and Xudapu NPPs. TVEL designation is the recommended instrument but is operationally constrained: designating fuel supply to two operating Chinese civilian reactors creates a genuine nuclear safety argument that Beijing would exploit internationally. The NNSA proliferation nexus determination requirement is not a procedural formality — it is politically difficult given reactor operational status. Coordinate with DOE/NNSA and allied nuclear regulators before proceeding.</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Ganzhou REE Hub</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25.85°N, 114.93°E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Jiangxi,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China Rare Earth Group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REE Processing — Global Monopoly</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Near-global monopoly on heavy REE. Off-limits. Long-term: build allied refining capacity (MP Materials, Lynas).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Zabaykalsk Gauge Switch / Grain Terminal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49.63°N, 117.32°E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Zabaykalsky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Railways / Zarubezhstroy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Chokepoint / Grain Terminal — TIER I</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TIER I. All Russian solid mineral and grain exports to China transit here. Secondary sanctions on Chinese logistics buyers (COFCO, Sinograin). Note: RZD itself has been under EU sanctions since 2022 and extensive US sectoral restrictions; subsidiary designation recommendations are sound but RZD’s well-documented evasion architecture through non-sanctioned subsidiaries makes this a recurring enforcement action rather than a decisive one. The terminal infrastructure and the Chinese buyer side are the higher-leverage targets.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Manzhouli Border Entry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49.58°N, 117.43°E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Inner Mongolia,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China Railway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Border Crossing</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rail. Monitor cargo volumes as Russia-China trade proxy.</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Tongjiang / Nizhneleninskoye Rail Bridge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47.70°N, 132.65°E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River — Russia/China border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RZD (Russia) / Heilongjiang Longjiang Rail (China)</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Bridge — Amur Crossing</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Opened 2022. Russian side targetable under EO 14024 (RZD). Chinese side off-limits. Monitor mineral throughput.</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V. Electrical Grid and Nuclear Power</w:t>
      </w:r>
    </w:p>
    <w:p>
      <w:pPr>
        <w:spacing w:before="40" w:after="40"/>
        <w:jc w:val="both"/>
      </w:pPr>
      <w:r>
        <w:rPr>
          <w:rFonts w:ascii="Calibri" w:cs="Calibri" w:eastAsia="Calibri" w:hAnsi="Calibri"/>
          <w:color w:val="111111"/>
          <w:sz w:val="19"/>
          <w:szCs w:val="19"/>
        </w:rPr>
        <w:t xml:space="preserve">Cross-border HVDC electrical exports via Amurskaya-Heihe and Chinese NPPs built and fueled by Rosatom. Amurskaya substation is the master switch; TVEL designation affects both Tianwan and Xudapu simultaneously.</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Zeya Hydroelectric Dam</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53.76°N, 127.25°E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RusHydro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Hydropower — Export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Designate RusHydro subsidiaries operating cross-border export functions.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Bureya Hydroelectric Dam</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50.27°N, 130.31°E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RusHydro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Hydropower — Export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Coordinate with Zeya designation to remove surplus power base underpinning cross-border exports.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Amurskaya Substation</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50.31°N, 127.51°E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FGC UES / Rosseti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HVDC Grid — Master Switch — TIER I</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TIER I. Master switch for all Russian power exports to China. Designate Rosseti subsidiaries. Physical disruption severs cross-border electrical supply entirely.</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Heihe HVDC Converter</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50.20°N, 127.48°E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Heihe, Heilongjiang,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State Grid Corporation of China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HVDC Converter — China Side</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grid. Russian side is actionable node. Monitor grid import volumes.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Tianwan NPP</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34.68°N, 119.46°E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Lianyungang, Jiangsu,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JNPC (China) / Rosatom tech+fuel (Russia)</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Nuclear Power — Russian-Built</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13382. TVEL designation would cut fuel supply from Krasnokamensk to operating Chinese civilian reactors. Highest-constraint action in the index: nuclear safety arguments are internationally exploitable and would complicate any allied coordination. Action requires DOE/NNSA proliferation nexus determination, allied nuclear regulator consultation, and pre-positioned alternative fuel supply pathway before execution.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Xudapu NPP</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40.11°N, 120.52°E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Huludao, Liaoning,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CNNC (China) / Rosatom tech+fuel (Russia)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Nuclear Power — Russian-Built</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13382. Coordinate TVEL designation with Tianwan action. Same nuclear safety constraint applies — see Tianwan entry. Do not execute without DOE/NNSA nexus determination and allied nuclear regulator coordination.</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VI. Polar Express Submarine Cable Corridor</w:t>
      </w:r>
    </w:p>
    <w:p>
      <w:pPr>
        <w:spacing w:before="40" w:after="40"/>
        <w:jc w:val="both"/>
      </w:pPr>
      <w:r>
        <w:rPr>
          <w:rFonts w:ascii="Calibri" w:cs="Calibri" w:eastAsia="Calibri" w:hAnsi="Calibri"/>
          <w:color w:val="111111"/>
          <w:sz w:val="19"/>
          <w:szCs w:val="19"/>
        </w:rPr>
        <w:t xml:space="preserve">12,650km Russian Arctic fiber cable (104 Tbps) running Teriberka to Vladivostok along NSR. Manufactured with Chinese optical fiber. Petropavlovsk-Kamchatsky node highest-priority due to Pacific Fleet colocation.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Polar Express: Teriberka</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69.19°N, 35.07°E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Murmansk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FSUE Morsvyazsputnik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Submarine Cable — Origin</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12,650km Russian Arctic cable manufactured with Chinese optical fiber. No current US designation authority over Russian domestic cable. NATO monitoring.</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Polar Express: Tiksi</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71.64°N, 128.86°E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 Republic,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FSUE Morsvyazsputnik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Submarine Cable — Dual-Use Node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DUAL-USE: cable landing AND nearest Arctic port to Tomtor REE deposit. Monitor.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Polar Express: Petropavlovsk-Kamchatsky</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53.01°N, 158.65°E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Kamchatka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FSUE Morsvyazsputnik / Pacific Fleet (dual)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Submarine Cable — Military Dual-Use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CRITICAL DUAL-USE: collocated with Pacific Fleet submarine base. Disruption affects civil comms AND naval C2. NATO/INDOPACOM monitoring priority.</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Polar Express: Vladivostok</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43.12°N, 131.89°E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Primorsky Krai,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FSUE Morsvyazsputnik / Eastern Military District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Submarine Cable — Eastern Terminus</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Eastern terminus. Planned connections to Chinese networks. Eastern Military District HQ. Monitor connection point designation.</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VII. Financial, CBDC, and Crypto Shadow Network</w:t>
      </w:r>
    </w:p>
    <w:p>
      <w:pPr>
        <w:spacing w:before="40" w:after="40"/>
        <w:jc w:val="both"/>
      </w:pPr>
      <w:r>
        <w:rPr>
          <w:rFonts w:ascii="Calibri" w:cs="Calibri" w:eastAsia="Calibri" w:hAnsi="Calibri"/>
          <w:color w:val="111111"/>
          <w:sz w:val="19"/>
          <w:szCs w:val="19"/>
        </w:rPr>
        <w:t xml:space="preserve">Sanctions-proofing architecture as of Q1 2026. 40%+ of bilateral trade settled in yuan via BRICS Bridge. A7A5 stablecoin provides crypto-native layer. Core enforcement problem: infrastructure substitutability requires simultaneous hosting embargo + Tether freeze, not sequential entity designation.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Moscow BRICS Bridge CBDC Node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37.61°E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Bank of Russia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CBDC — Sovereign Settlement</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Bank of Russia fully designated. BRICS Bridge bypasses SWIFT. No short-term US interdiction vs. central-bank CBDC. BIS multilateral audit demand is only near-term lever.</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Shanghai BRICS Bridge / Ag Hub</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31.23°N, 121.47°E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Shanghai,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People's Bank of China / COFCO</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CBDC / Agricultural Trade Hub</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Five Russian agricultural attachés. 1M+ tons/yr vegetable oil. Off-limits. Monitor flows as sanctions compliance indicator.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ABCeX Exchange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55.74°N, 37.53°E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Federation Tower, Moscow</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 Russian principals</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Crypto OTC Exchange</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GENIUS Act + EO 14024. $11B+ processed. DO NOT designate entity alone. Simultaneously de-peer Aeza Group / Media Land via IEEPA and execute Tether freeze.</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Garantex (Mirror Wallets)</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37.54°E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(distributed)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Garantex Europe OÜ (sanctioned)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Crypto Exchange — Designated</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OFAC-designated. Still processing ~$10B/yr via mirror wallets. Tether freeze on identified mirror wallet cluster.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Aifory Pro</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 Dubai / Turkey</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 — FEA Payment Agent</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USDT Virtual Card Agent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§1(a)(iii). CAATSA §226 on UAE/Turkish correspondent banks.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BitRiver (Bratsk)</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56.13°N, 101.60°E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Bratsk, Irkutsk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BitRiver AG (Swiss-registered, Russian-operated)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Crypto Mining / Dual-Use Compute — TIER I</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TIER I. EO 14024 §1(a)(i). Sole economically viable large-scale A7A5 compute in Russia. Collocated with Bratsk Dam. Replacement timeline is contested — Russian crypto mining infrastructure has demonstrated improvisation capacity. The 90-day estimate is a lower bound; equivalent-scale substitution is structurally constrained by power availability, not hardware alone.</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Grinex / Meer (A7A5 Issuer)</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42.87°N, 74.59°E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Bishkek, Kyrgyzstan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 Kyrgyz-registered principals</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Stablecoin Issuer — A7A5</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CAATSA §226. Target Keremet Bank and Capital Bank (Kyrgyzstan) as FFIs. Avoid sovereign action. FATF re-referral is a long-lead instrument (18-24 months minimum for compliance pressure to materialize) — not a near-term lever. Bilateral diplomatic engagement with Kyrgyz FIU under existing AML cooperation frameworks is the correct first-order action.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Hong Kong OTC Cluster</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22.31°N, 114.17°E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Hong Kong SAR,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Multiple shell-structured resellers</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Crypto OTC / Dual-Use Procurement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13382 + EO 14024 §1(a)(iii). Designate freight forwarders and resellers SIMULTANEOUSLY. TRM Labs exposure mapping required first.</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VIII. Arctic Military Infrastructure (Enforcement Context)</w:t>
      </w:r>
    </w:p>
    <w:p>
      <w:pPr>
        <w:spacing w:before="40" w:after="40"/>
        <w:jc w:val="both"/>
      </w:pPr>
      <w:r>
        <w:rPr>
          <w:rFonts w:ascii="Calibri" w:cs="Calibri" w:eastAsia="Calibri" w:hAnsi="Calibri"/>
          <w:color w:val="111111"/>
          <w:sz w:val="19"/>
          <w:szCs w:val="19"/>
        </w:rPr>
        <w:t xml:space="preserve">Russian Arctic military presence that determines feasibility of kinetic or covert interdiction operations along the Northern Sea Route and adjacent energy/cable corridors. These nodes are not sanction targets — they are the operational constraint envelope for all physical disruption options.</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Severomorsk — Northern Fleet HQ</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69.07°N, 33.42°E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Kola Peninsula, Murmansk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Navy / Ministry of Defence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Naval HQ</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Northern Fleet HQ. Six nuclear-armed submarines based here. Kola Peninsula hosts ~2/3 of Russia's second-strike nuclear capability. Key constraint on any Arctic interdiction operation.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Gadzhiyevo Submarine Base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69.26°N, 33.31°E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Kola Peninsula, Murmansk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Navy (Northern Fleet)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Submarine Base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Expanded post-2022. Hosts SSBN and SSN assets protecting Northern Sea Route. Constrains naval interdiction options in Barents/Kara Sea.</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Nagurskoye Air Base (Franz Josef Land)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80.80°N, 47.60°E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Alexandra Land, Franz Josef Land,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Aerospace Forces / FSB</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Arctic Air Base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Russia's northernmost military base. 3,500m runway (expanded 2020). Can stage MiG-31, Su-34. S-300/S-400/Pantsir-S1 deployed. Arctic Shamrock autonomous base collocated. Severely constrains NATO freedom of operation in High Arctic. Key enforcement context node.</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Rogachevo Air Base (Novaya Zemlya)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71.62°N, 52.48°E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Novaya Zemlya, Arkhangelsk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Aerospace Forces</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Arctic Air Base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S-400 SAM systems deployed. Protects Yamal/Sabetta LNG infrastructure from western approach. Also Novaya Zemlya nuclear test site (high readiness maintained). Constrains Western Arctic access.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Northern Clover Base (Kotelny Island)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75.90°N, 138.00°E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New Siberian Islands, Sakha Republic,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Armed Forces (99th Arctic Tactical Group)</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Arctic Autonomous Base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Laptev Sea. 250 troops. Regional air defense, radar, early warning. Covers central NSR corridor. Constrains Arctic mineral interdiction options between Tiksi and Pevek cable/logistics nodes.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Tiksi Military Airfield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71.70°N, 128.93°E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 Republic,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Aerospace Forces / Northern Fleet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Airfield (Collocated with Cable Node)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DUAL-USE colocation: military airfield and Polar Express cable landing station. Military presence constrains physical cable interdiction. Monitor for Arctic Tactical Group forward deployments.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Petropavlovsk-Kamchatsky — Pacific Fleet Sub Base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53.01°N, 158.65°E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Kamchatka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Navy (Pacific Fleet)</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Submarine Base (Collocated with Cable Node)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DUAL-USE: Polar Express cable landing and Pacific Fleet submarine base. SSBNs and SSNs based here. Physical cable interdiction at this node would require naval operation in contested waters.</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IX. Central Asian Transit Nodes</w:t>
      </w:r>
    </w:p>
    <w:p>
      <w:pPr>
        <w:spacing w:before="40" w:after="40"/>
        <w:jc w:val="both"/>
      </w:pPr>
      <w:r>
        <w:rPr>
          <w:rFonts w:ascii="Calibri" w:cs="Calibri" w:eastAsia="Calibri" w:hAnsi="Calibri"/>
          <w:color w:val="111111"/>
          <w:sz w:val="19"/>
          <w:szCs w:val="19"/>
        </w:rPr>
        <w:t xml:space="preserve">Kazakhstan, Uzbekistan, Turkmenistan, and Mongolia nodes relevant to Russian energy transit, PoS-2 corridor, and Atasu-Alashankou oil route. Diplomatic sensitivity high across all — CSTO/SCO membership limits direct sanction options.</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Pavlodar Refinery (Kazakhstan)</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52.28°N, 76.97°E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Pavlodar, Kazakhstan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KazMunayGas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 — Kazakhstan Transit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Entry point where Russian West Siberian crude enters Kazakhstan-China pipeline via Omsk-Pavlodar connection. Monitor Russian crude volumes. Diplomatic sensitivity high — Kazakhstan is CSTO member.</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Omsk Refinery (Russia)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54.99°N, 73.37°E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Omsk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Neft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 — Kazakhstan Transit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Feeds Russian crude into Omsk-Pavlodar-Atasu-Alashankou Kazakhstan transit route. Designate Gazprom Neft subsidiaries.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Uzbekistan Gas Transit Nodes</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41.30°N, 69.24°E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Tashkent, Uzbekistan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Uzbekneftegaz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Transit — Central Asian Pipeline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Uzbekistan feeds into China-Central Asia gas pipeline alongside Russian volumes. Monitor for Russian gas substitution volumes as direct PoS alternatives.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Turkmenistan — TAPI / CAGP Node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37.95°N, 58.38°E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Ashgabat, Turkmenistan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Turkmengaz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Transit — China-Central Asia</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World's 4th largest gas reserves. China-Central Asia gas pipeline carries Turkmen gas to China — reduces Chinese dependency on Russian gas. Actually strategic interest to encourage rather than disrupt.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Erenhot — Mongolia Rail Hub</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43.65°N, 111.97°E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Inner Mongolia,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China Railway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Hub — Mongolia Transit</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PoS-2 planned entry corridor. Diplomatic pressure on Mongolia is the indirect lever for constraining this corridor.</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Ulaanbaatar Rail Junction</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47.91°N, 106.88°E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Ulaanbaatar, Mongolia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UBTZ (Mongolian/Russian JV — RZD 50%)</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Junction — Mongolia Transit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RZD holds 50% of Ulaanbaatar Railway. RZD is designated — this JV is a secondary sanctions exposure point. Monitor for PoS-2 pipeline construction activity and Mongolian government negotiations.</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X. Shadow Fleet Vessel Registry</w:t>
      </w:r>
    </w:p>
    <w:p>
      <w:pPr>
        <w:spacing w:before="40" w:after="40"/>
        <w:jc w:val="both"/>
      </w:pPr>
      <w:r>
        <w:rPr>
          <w:rFonts w:ascii="Calibri" w:cs="Calibri" w:eastAsia="Calibri" w:hAnsi="Calibri"/>
          <w:color w:val="111111"/>
          <w:sz w:val="19"/>
          <w:szCs w:val="19"/>
        </w:rPr>
        <w:t xml:space="preserve">Individually identifiable vessels operating in support of sanctioned Russian energy exports as of Q1 2026. Total shadow fleet: ~1,337 vessels (Ukraine GUR catalog, Feb 2026); ~342 under Western sanctions (EU 17th package, May 2025); ~100 sanctioned vessels transited NSR in 2025 alone. This table covers highest-priority LNG and oil tankers with confirmed sanctioned cargo history, known IMO numbers, and/or enforcement precedent.</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800"/>
        <w:gridCol w:w="900"/>
        <w:gridCol w:w="700"/>
        <w:gridCol w:w="2200"/>
        <w:gridCol w:w="900"/>
        <w:gridCol w:w="3880"/>
      </w:tblGrid>
      <w:tr>
        <w:trPr>
          <w:tblHeader/>
        </w:trPr>
        <w:tc>
          <w:tcPr>
            <w:tcW w:type="dxa" w:w="15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VESSEL NAME</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IMO #</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FLAG</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REGISTERED OWNER</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TYPE</w:t>
            </w:r>
          </w:p>
        </w:tc>
        <w:tc>
          <w:tcPr>
            <w:tcW w:type="dxa" w:w="7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ICE CLASS</w:t>
            </w:r>
          </w:p>
        </w:tc>
        <w:tc>
          <w:tcPr>
            <w:tcW w:type="dxa" w:w="2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PRIMARY ROUTE</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38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INTERDICTION NOTES</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Christophe de Margerie</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9737187</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Sovcomflot / Novatek (operated)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Arc7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Arc7</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Sabetta → China/India (NSR year-round)</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Russia's first Arc7 LNG tanker. Has drifted in Kara Gate area. Individually designate under EO 14024 via SDN listing by IMO number.</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Alexey Kosygin</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Unconfirmed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 Zvezda (newly commissioned)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Arc7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Arc7</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Beihai (NSR winter)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Newly commissioned from Zvezda Shipyard. First domestically completed Arc7. Designate upon formal IMO registration. Cutting off further Arc7 deliveries from Zvezda is the upstream interdiction point.</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Buran (ex-North Air)</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9839613</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 (ex-Marshall Islands)</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company — 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Arc4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 LNG / Arctic LNG 2 → China (NSR summer)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Dec 2024. Previously named North Air. Changed flag to Russia 2025. NSR sailing permission granted 2025. Designate under EO 14024.</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Voskhod (ex-North Mountain, ex-Samsung 2580)</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9839625</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company — 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Arc4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Yamal/Arctic LNG 2 → China (NSR summer)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Dec 2024. Three name changes. Currently Russian flag. Drifting Barents Sea. EO 14024 designation.</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Iris (ex-North Sky, ex-North Star)</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9839637</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company — 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Arc4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Yamal/Arctic LNG 2 → China (NSR summer)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Dec 2024. Multiple name changes. EO 14024 designation.</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Zarya (ex-North Way, ex-North Wind)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9839649</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company — 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Arc4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Yamal/Arctic LNG 2 → China (NSR summer)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Dec 2024. Multiple name changes. EO 14024 designation.</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Valera (ex-Velikiy Novgorod)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9414699</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Sovcomflot-affiliated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Portovaya → Beihai (China) via NSR/Suez</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US/UK/EU/Canada/Switzerland sanctioned. AIS dark operations confirmed. Delivered cargo to Beihai Dec 2025. Diverted to Norway Feb 2026. Enforce port denial across allied jurisdictions.</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Pioneer</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9256602</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Palau (ex-Liberia)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entity — Dubai</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Asia (Suez/Cape)</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OFAC-designated Aug 2024. First shadow LNG tanker loading at Arctic LNG 2. AIS spoofing confirmed. 19-year-old vessel (built 2005).</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Asya Energy (ex-Trader IV)</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9216298</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Palau (ex-Liberia)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Same management as Pioneer and Everest Energy</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Asia (Red Sea/Suez)</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OFAC-designated Aug 2024. Flag-hopped Liberia→Palau May 2024. AIS spoofing and offshore bunkering confirmed. Built 2002.</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Everest Energy (ex-Metagas Everest)</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9243148</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Liberia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Same management as Pioneer / Asya Energy</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Asia (Red Sea/Suez)</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OFAC-designated Aug 2024. Built 2003. Red Sea crossing confirmed June 2024.</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Arctic Metagas</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9864837</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 (no ice class)</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China (attempted NSR)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May 2025 (17th package). Stuck in East Siberian Sea Aug 2025 — no icebreaker escort. Near-total navigation incompetence in Arctic conditions. Designate under EO 14024. High accident risk.</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La Perouse</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9838179</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China (NSR)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Sailed twice from Arctic LNG 2 to China through western NSR in 2025. EO 14024 designation.</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Perle</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9838181</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Dreamer Shipmanagement Ltd (Dubai)</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Portovaya → Malaysia (STS) → Asia</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AIS spoofing confirmed Oct 2025 during STS transfer off Malaysia. Managed by Dreamer Shipmanagement, Dubai. Designate Dreamer under CAATSA §226 as FFI-equivalent ship manager.</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Mires</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9299771</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Sierra Leone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NSR: China → St. Petersburg</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EU/US-sanctioned. No ice class, sailed NSR Sep 2025 WITHOUT icebreaker escort. 20-year-old vessel. Enforce port denial.</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Lynx</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9412347</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Oman</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Murmansk → China (NSR)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EU/US-sanctioned. Trapped in Arctic ice for days — loaded with 150,000 tons of oil. No icebreaker booked. Not in NSR Administration public records. 14-year-old vessel. Enforce port denial.</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Eagle S</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9449218</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Cook Islands (seized)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Products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Baltic/NSR routes</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SEIZED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Seized by Finnish Police/Coast Guard Dec 2024 after suspected deliberate cable damage (Elisa C-Lion1 cable). Under criminal investigation for sabotage. IMO 9449218. Key interdiction precedent.</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Fitburg</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St. Vincent &amp; Grenadines (seized)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Cargo Ship</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St. Petersburg → Haifa</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SEIZED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Captured by Finnish Coast Guard Dec 2024 carrying sanctioned structural steel. Suspected cable damage. Two crew arrested. Enforcement precedent.</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Seahorse</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Comoros</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Caribbean — Venezuela</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Intercepted by USS Stockdale Nov 2025. Forced to divert to Cuba. Demonstrates US Navy willingness to physically interdict. Enforcement model for Arctic shadow fleet operations.</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XI. Key Persons and Beneficial Ownership Layer</w:t>
      </w:r>
    </w:p>
    <w:p>
      <w:pPr>
        <w:spacing w:before="40" w:after="40"/>
        <w:jc w:val="both"/>
      </w:pPr>
      <w:r>
        <w:rPr>
          <w:rFonts w:ascii="Calibri" w:cs="Calibri" w:eastAsia="Calibri" w:hAnsi="Calibri"/>
          <w:color w:val="111111"/>
          <w:sz w:val="19"/>
          <w:szCs w:val="19"/>
        </w:rPr>
        <w:t xml:space="preserve">Individuals who control or directly benefit from the 60-node network. OFAC designations require a person or entity nexus — this layer converts the infrastructure register into a designation-ready targeting package. US/EU designation status shown. Green = designated. Amber = partial. Red = not yet designated (gap).</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900"/>
        <w:gridCol w:w="2800"/>
        <w:gridCol w:w="900"/>
        <w:gridCol w:w="900"/>
        <w:gridCol w:w="2080"/>
        <w:gridCol w:w="2500"/>
      </w:tblGrid>
      <w:tr>
        <w:trPr>
          <w:tblHeader/>
        </w:trPr>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NAME</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ROLE / ENTITY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NET WORTH</w:t>
            </w:r>
          </w:p>
        </w:tc>
        <w:tc>
          <w:tcPr>
            <w:tcW w:type="dxa" w:w="2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NODES CONTROLLED</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US SDN</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EU/UK</w:t>
            </w:r>
          </w:p>
        </w:tc>
        <w:tc>
          <w:tcPr>
            <w:tcW w:type="dxa" w:w="20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KNOWN OFFSHORE STRUCTURE</w:t>
            </w:r>
          </w:p>
        </w:tc>
        <w:tc>
          <w:tcPr>
            <w:tcW w:type="dxa" w:w="25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DESIGNATION NOTES</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Leonid Mikhelson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CEO &amp; Chairman, Novatek (24.8% stake); major shareholder Sibur (30.6%)</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~$21-28B</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Sabetta LNG, Arctic LNG 2, Portovaya, Yamal LNG, Saam FSU, Kamchatka FSU, entire shadow LNG fleet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UK/AUS/CA/NZ</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Cyprus holding company; transferred ~14% Novatek stake directly in 2022</w:t>
            </w:r>
          </w:p>
        </w:tc>
        <w:tc>
          <w:tcPr>
            <w:tcW w:type="dxa" w:w="2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US AND EU have not designated. Critical gap. Mikhelson is the operational controller of all Novatek Arctic LNG infrastructure. EO 14024 nexus is clear. Coordinate US/EU simultaneous designation.</w:t>
            </w:r>
          </w:p>
        </w:tc>
      </w:tr>
      <w:tr>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b/>
                <w:bCs/>
                <w:color w:val="1C2B4A"/>
                <w:sz w:val="17"/>
                <w:szCs w:val="17"/>
              </w:rPr>
              <w:t xml:space="preserve">Gennady Timchenko</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Co-owner Novatek (23.5% via Volga Resources); Novatek Board; founder Gunvor</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~$14B</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Sabetta LNG, Arctic LNG 2, Novatek supply chain; Sibur petrochemicals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20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Volga Resources (Luxembourg); White Seal Holdings (Cyprus); Vidrio Enterprises Ltd (Cyprus); Bodela Holdings (Cyprus). Pandora Papers: $572M in loans through anonymous Cyprus shells.</w:t>
            </w:r>
          </w:p>
        </w:tc>
        <w:tc>
          <w:tcPr>
            <w:tcW w:type="dxa" w:w="2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US-designated 2014 (EO 13661). EU/UK-designated. Volga Resources and White Seal Holdings designated 2015. Monitor for new holding structures.</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Vladimir Potanin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President/CEO Nornickel (~35% controlling stake); Interros holding; owner Rosbank</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~$31B (Russia's richest)</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Norilsk mining complex — palladium, nickel, copper, cobalt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UK/CA/AUS</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Interros Holding (relocated from Cyprus to Vladivostok FTZ 2022)</w:t>
            </w:r>
          </w:p>
        </w:tc>
        <w:tc>
          <w:tcPr>
            <w:tcW w:type="dxa" w:w="2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US has NOT designated. Nornickel produces ~40% of global palladium, ~20% refined nickel. Designation would cause significant global PGM market disruption. Requires coordinated allied approach and allied stockpile pre-positioning before action.</w:t>
            </w:r>
          </w:p>
        </w:tc>
      </w:tr>
      <w:tr>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b/>
                <w:bCs/>
                <w:color w:val="1C2B4A"/>
                <w:sz w:val="17"/>
                <w:szCs w:val="17"/>
              </w:rPr>
              <w:t xml:space="preserve">Igor Sechin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CEO Rosneft (since 2004); former Deputy Prime Minister</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~$800M (low vs. leverage)</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ESPO pipeline chain; Kozmino terminal; Angarsk/Komsomolsk refineries; Zvezda Shipyard (Rosneft interest)</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20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Crescent superyacht (135m, seized Spain). Rosneft has 632 subsidiaries identified vs. 22 disclosed; 71 in tax havens.</w:t>
            </w:r>
          </w:p>
        </w:tc>
        <w:tc>
          <w:tcPr>
            <w:tcW w:type="dxa" w:w="2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US/EU/UK-designated. Monitor for new Rosneft subsidiary structures moving assets. Rosneft's undisclosed subsidiary network (632 identified) provides continued evasion capacity.</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Alexei Miller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CEO Gazprom (since 2001)</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~$1B</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Chayanda/Kovykta gas fields, Power of Siberia 1/2, all Gazprom infrastructure</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Limited known offshore; Gazprom is majority state-owned</w:t>
            </w:r>
          </w:p>
        </w:tc>
        <w:tc>
          <w:tcPr>
            <w:tcW w:type="dxa" w:w="2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US/EU/UK-designated. Gazprom fully under sectoral sanctions. Monitor subsidiary proliferation and gas-for-yuan settlement structuring.</w:t>
            </w:r>
          </w:p>
        </w:tc>
      </w:tr>
      <w:tr>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b/>
                <w:bCs/>
                <w:color w:val="1C2B4A"/>
                <w:sz w:val="17"/>
                <w:szCs w:val="17"/>
              </w:rPr>
              <w:t xml:space="preserve">Nikolay Tokarev</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President Transneft (since 2007)</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~$500M</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ESPO pipeline (entire chain), Skovorodino fork, Kozmino terminal, all Russian oil pipeline infrastructure</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20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Limited public disclosure</w:t>
            </w:r>
          </w:p>
        </w:tc>
        <w:tc>
          <w:tcPr>
            <w:tcW w:type="dxa" w:w="2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US/EU/UK-designated. Transneft is Russian state pipeline monopoly. Pipeline infrastructure itself is the target; personal designation already executed.</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Andrei Akimov</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Chairman Gazprombank</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~$300M</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Zvezda Shipyard financing (Gazprombank is co-owner); Arctic project financing</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Gazprombank offshore subsidiaries (BVI, Cayman)</w:t>
            </w:r>
          </w:p>
        </w:tc>
        <w:tc>
          <w:tcPr>
            <w:tcW w:type="dxa" w:w="2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US/EU/UK-designated 2022. Gazprombank was last major Russian bank with partial Western access — now fully sanctioned. Monitor residual offshore subsidiary activity.</w:t>
            </w:r>
          </w:p>
        </w:tc>
      </w:tr>
      <w:tr>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b/>
                <w:bCs/>
                <w:color w:val="1C2B4A"/>
                <w:sz w:val="17"/>
                <w:szCs w:val="17"/>
              </w:rPr>
              <w:t xml:space="preserve">Undisclosed ABCeX Principals</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Beneficial owners, ABCeX Exchange (Federation Tower, Moscow)</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Unknown</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ABCeX exchange, $11B+ crypto settlement, connections to Aifory Pro</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20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Unknown — Federation Tower registered entities; likely UAE/BVI shells</w:t>
            </w:r>
          </w:p>
        </w:tc>
        <w:tc>
          <w:tcPr>
            <w:tcW w:type="dxa" w:w="2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OFAC investigation priority. Identity of ABCeX beneficial owners is the critical gap for entity-level EO 14024 designation. TRM Labs blockchain analytics should be tasked to trace wallet addresses to KYC-linked exchange registrations.</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Undisclosed Grinex/Meer Principals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Beneficial owners, A7A5 stablecoin issuance (Bishkek)</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Unknown</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Grinex/Meer, A7A5 stablecoin, Kyrgyz FFI network</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Kyrgyzstan-registered; likely Russian beneficial owners via CIS nominee structures</w:t>
            </w:r>
          </w:p>
        </w:tc>
        <w:tc>
          <w:tcPr>
            <w:tcW w:type="dxa" w:w="2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CAATSA §226 investigation. FinCEN should task Kyrgyz FIU (Financial Intelligence Unit) for beneficial ownership disclosure under bilateral AML cooperation framework.</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XII. Chinese Equity Stakes and Corporate Linkages</w:t>
      </w:r>
    </w:p>
    <w:p>
      <w:pPr>
        <w:spacing w:before="40" w:after="40"/>
        <w:jc w:val="both"/>
      </w:pPr>
      <w:r>
        <w:rPr>
          <w:rFonts w:ascii="Calibri" w:cs="Calibri" w:eastAsia="Calibri" w:hAnsi="Calibri"/>
          <w:color w:val="111111"/>
          <w:sz w:val="19"/>
          <w:szCs w:val="19"/>
        </w:rPr>
        <w:t xml:space="preserve">Chinese state entities holding equity positions in sanctioned or targetable Russian infrastructure. These equity positions are themselves secondary sanctions exposure points under EO 14024. CNPC/CNOOC stakes in Yamal LNG and Arctic LNG 2 are the primary leverage nodes.</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Yamal LNG — CNPC Stake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71.27°N, 72.07°E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Sabetta,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(20% equity stake in Yamal LNG)</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Equity — LNG</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holds 20% equity in Yamal LNG. This equity position is itself a US sanctions exposure under EO 14024 if Novatek is more broadly designated. CNPC equity stake is the leverage point for secondary sanctions pressure. Value: ~$3-4B at pre-sanctions valuation.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Arctic LNG 2 — CNOOC/CNOOC Gas Stake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71.15°N, 77.92°E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Gydan Peninsula,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CNOOC (10%) + CNOOC Gas (unconfirmed additional)</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Equity — LNG</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CNOOC holds equity in sanctioned facility. CNOOC has not formally withdrawn. US should formally require CNOOC equity divestiture as condition of avoiding secondary SDN designation. Leverage point.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Sakhalin-1 (CNPC via ONGC JV)</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51.00°N, 143.00°E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Sakhalin,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Rosneft (operator); ONGC (India, 20%); CNPC indirect exposure via downstream offtake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Equity — Oil</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Rosneft designated. Chinese downstream offtake contracts from Sakhalin-1 continue. Monitor contract structure for secondary sanctions exposure.</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ICBC — Russian Energy Financing</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39.91°N, 116.39°E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Beijing,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ICBC (Chinese state bank)</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Banking — Energy Finance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ICBC provided significant project financing for Arctic energy infrastructure pre-2022. Post-designation, ICBC has reduced direct exposure but indirect financing via Chinese subsidiaries continues. CAATSA §226 pressure point if specific transaction evidence obtained.</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Bank of China — Trade Finance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39.91°N, 116.40°E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Beijing,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Bank of China (Chinese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Banking — Trade Finance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Provides trade finance for Russia-China commodity flows. Has maintained USD-clearing exposure cautiously. Target of OFAC informal pressure. Secondary sanctions threat is the primary deterrent instrument.</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COSCO Shipping — Shadow Fleet Exposure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31.22°N, 121.48°E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Shanghai,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COSCO Shipping Group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Shipping — Potential Exposure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COSCO has publicly distanced from shadow fleet operations following US pressure. Monitor for subsidiary or affiliated vessel management companies providing services to sanctioned tankers. Any confirmed connection triggers EO 14024 secondary designation analysis.</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XIII. Shadow Fleet Insurance and Flag State Network</w:t>
      </w:r>
    </w:p>
    <w:p>
      <w:pPr>
        <w:spacing w:before="40" w:after="40"/>
        <w:jc w:val="both"/>
      </w:pPr>
      <w:r>
        <w:rPr>
          <w:rFonts w:ascii="Calibri" w:cs="Calibri" w:eastAsia="Calibri" w:hAnsi="Calibri"/>
          <w:color w:val="111111"/>
          <w:sz w:val="19"/>
          <w:szCs w:val="19"/>
        </w:rPr>
        <w:t xml:space="preserve">The shadow fleet operates because it can obtain hull insurance (primarily Ingosstrakh) and flag registration (Palau, Gabon, Cameroon, Sierra Leone, Comoros). Cutting insurance and flag state cooperation is operationally equivalent to grounding vessels without physical interdiction.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Ingosstrakh — Shadow Fleet Insurer</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55.76°N, 37.61°E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Ingosstrakh PJSC (partially state-linked via Rosneft/VTB exposure)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Insurance — Shadow Fleet Hull</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Primary hull insurer for Russian shadow fleet after P&amp;I clubs withdrew. EO 14024 §1(a)(i). Designate to remove insurance coverage from shadow fleet. Without Ingosstrakh coverage, many shadow vessels become uninsurable even in non-Western markets.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Russian National Reinsurance Company (RNRC)</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Bank of Russia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Insurance — State Reinsurer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RNRC is the state-owned reinsurer of last resort for sanctioned entities. Already under EU/UK sanctions. US should designate under EO 14024 to complete insurance chain disruption.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Palau Ship Registry</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7.51°N, 134.58°E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Palau (Pacific Islands)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Government of Palau / private registry management</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Flag State — Shadow Fleet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Favorite flag state for shadow LNG fleet (Pioneer, Asya Energy). US should apply diplomatic pressure for mandatory AIS compliance and port state control cooperation. Palau is a Compact of Free Association partner — leverage exists.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Gabon Ship Registry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0.39°N, 9.45°E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Libreville, Gabon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Government of Gabon / ANUTTC registry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Flag State — Shadow Fleet Oil</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Frequently used by shadow oil tankers. US should require flag state cooperation on AIS monitoring or risk Gabon vessels being treated as presumptively sanctioned.</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Cameroon Ship Registry</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3.85°N, 11.50°E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Yaoundé, Cameroon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Government of Cameroon</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Flag State — Shadow Fleet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Secondary flag state for shadow fleet. Diplomatic engagement required.</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Sierra Leone Ship Registry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8.49°N, -13.23°E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Freetown, Sierra Leone</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Government of Sierra Leone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Flag State — Shadow Fleet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Mires vessel (IMO 9299771) flies Sierra Leone flag. No-ice-class vessel in Arctic conditions. Diplomatic engagement; Paris MOU port state control pressure.</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Dreamer Shipmanagement (Dubai)</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25.20°N, 55.27°E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Dubai, UAE</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 — UAE-registered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Ship Manager — Shadow Fleet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Manages Perle LNG tanker. No proven compliance record. AIS spoofing confirmed. CAATSA §226 designation as FFI-equivalent ship manager. UAE correspondent bank pressure.</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XIV. Dual-Use Technology and Cyber Supply Chain</w:t>
      </w:r>
    </w:p>
    <w:p>
      <w:pPr>
        <w:spacing w:before="40" w:after="40"/>
        <w:jc w:val="both"/>
      </w:pPr>
      <w:r>
        <w:rPr>
          <w:rFonts w:ascii="Calibri" w:cs="Calibri" w:eastAsia="Calibri" w:hAnsi="Calibri"/>
          <w:color w:val="111111"/>
          <w:sz w:val="19"/>
          <w:szCs w:val="19"/>
        </w:rPr>
        <w:t xml:space="preserve">Physical and digital supply chain nodes enabling Zvezda Shipyard Arc7 production, ESPO pipeline ICS operations, LNG containment technology, and the crypto shadow exchange hosting infrastructure. These are the upstream interdiction points that prevent sanctions evasion infrastructure from being rebuilt after designation.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 / FACILITY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OWNER / OPERATOR</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VULNERABILITY &amp; RECOMMENDED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Zvezda Shipyard — Chinese Input Node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43.12°N, 132.48°E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Bolshoy Kamen, Primorsky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Rosneft / Gazprombank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Shipbuilding — Chinese Tech Input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TIER I. Chinese optical fiber, steel, navigation systems critical to Arc7 production. Designate Chinese component suppliers under EO 14024 §1(a)(iii). Without Chinese inputs, Arc7 production halts.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Wärtsilä Replacement — Russian ASKU-TP</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(distributed production)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state enterprises (after Western vendor withdrawal)</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Industrial Control Systems — Pipeline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ASKU-TP systems replaced Western (Emerson/Honeywell/Schneider) ICS on ESPO pipeline following vendor withdrawal. Monitor for vulnerability mapping of non-hardened domestic ICS. Potential cyber vector for pipeline disruption.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GTT Membrane License — Chinese Substitute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48.88°N, 2.33°E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France /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GTT (France) — license; Chinese shipyards attempting substitute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Tech — Membrane License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GTT (France) withdrew licensing for Arctic LNG 2 membrane containment systems. Russia/China attempting domestic GTT substitute. Monitor Chinese shipyard (Hudong-Zhonghua) membrane system development as potential sanctions gap.</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Samsung / Hyundai Arc7 Propulsion Gap</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37.56°N, 126.97°E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South Korea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Samsung Heavy Industries / HD Hyundai</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Shipbuilding — Azipod Propulsion</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Samsung Heavy Industries withdrew from Arc7 program under US/EU sanctions pressure. Russia/Zvezda attempting to produce Azipod-type thrusters domestically. Monitor Chinese propulsion system suppliers (CSSC) for potential substitute supply. Any Chinese Azipod-equivalent export to Zvezda is a secondary sanctions trigger.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Shenzhen Component Cluster — HK OTC Downstream</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22.54°N, 114.06°E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Shenzhen, Guangdong,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Multiple Chinese electronics manufacturers</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Dual-Use Tech — Missile/Navigation Components</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TRM Labs / Chainalysis graph tracing shows USDT flows from sanctioned Moscow wallets terminating at Shenzhen electronics firms after 8-12 layering hops via HK OTC cluster. Identify specific firms receiving &gt;90% of funds from single sanctioned source; designate under EO 14024 §1(a)(iii).</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Aeza Group — Bulletproof Hosting</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51.50°N, 31.28°E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Distributed (Russia/Netherlands/Germany ASNs)</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Aeza Group (Russian-operated, Netherlands-registered)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Cyber Infrastructure — Bulletproof Hosting</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IEEPA §1702. Hosts ABCeX and Aifory Pro exchange interfaces. Issue Tier 1 ISP de-peering directive simultaneously with Tether freeze. Target ASNs: AS210644, AS215902. Netherlands registration creates EU coordination requirement.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Media Land LLC — Bulletproof Hosting</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(distributed ASNs)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Media Land LLC (Russian-registered)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Cyber Infrastructure — Bulletproof Hosting</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IEEPA §1702. Primary bulletproof hoster for Russian cybercrime/sanctions evasion infrastructure. US and Australia began sanctioning in early 2026. Complete Tier 1 ISP de-peering to physically deplatform exchange interfaces.</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XV. Consolidated Tier I Priority Target Summary</w:t>
      </w:r>
    </w:p>
    <w:p>
      <w:pPr>
        <w:spacing w:before="40" w:after="40"/>
        <w:jc w:val="both"/>
      </w:pPr>
      <w:r>
        <w:rPr>
          <w:rFonts w:ascii="Calibri" w:cs="Calibri" w:eastAsia="Calibri" w:hAnsi="Calibri"/>
          <w:color w:val="111111"/>
          <w:sz w:val="19"/>
          <w:szCs w:val="19"/>
        </w:rPr>
        <w:t xml:space="preserve">Nodes assessed as irreplaceable AND high-throughput. Disruption produces systemic effects across multiple sectors. Highest-priority targets for coordinated multilateral action.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800"/>
        <w:gridCol w:w="77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COORDS</w:t>
            </w:r>
          </w:p>
        </w:tc>
        <w:tc>
          <w:tcPr>
            <w:tcW w:type="dxa" w:w="110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SECTOR</w:t>
            </w:r>
          </w:p>
        </w:tc>
        <w:tc>
          <w:tcPr>
            <w:tcW w:type="dxa" w:w="180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LEGAL AUTHORITY</w:t>
            </w:r>
          </w:p>
        </w:tc>
        <w:tc>
          <w:tcPr>
            <w:tcW w:type="dxa" w:w="778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RATIONALE FOR TIER I STATUS</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Skovorodino ESPO Fork</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53.98°N, 123.95°E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Oil</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Single switch for all ESPO land oil to China (~30M tons/yr). Cannot be rerouted within any operationally relevant timeframe.</w:t>
            </w:r>
          </w:p>
        </w:tc>
      </w:tr>
      <w:tr>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bCs/>
                <w:color w:val="1C2B4A"/>
                <w:sz w:val="17"/>
                <w:szCs w:val="17"/>
              </w:rPr>
              <w:t xml:space="preserve">Zabaykalsk Gauge Switch / Grain Terminal</w:t>
            </w:r>
          </w:p>
        </w:tc>
        <w:tc>
          <w:tcPr>
            <w:tcW w:type="dxa" w:w="12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49.63°N, 117.32°E</w:t>
            </w:r>
          </w:p>
        </w:tc>
        <w:tc>
          <w:tcPr>
            <w:tcW w:type="dxa" w:w="11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Minerals/Ag</w:t>
            </w:r>
          </w:p>
        </w:tc>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 Secondary</w:t>
            </w:r>
          </w:p>
        </w:tc>
        <w:tc>
          <w:tcPr>
            <w:tcW w:type="dxa" w:w="778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All Russian solid mineral exports and millions of tons of grain physically transit this single crossing. No alternative at comparable capacity.</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Zvezda Shipyard</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43.12°N, 132.48°E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Arctic LNG</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 Secondary</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Russia's ONLY Arc7 facility. Without Arc7 production, Arctic LNG is ice-locked in winter. Chinese component supply is the upstream interdiction point.</w:t>
            </w:r>
          </w:p>
        </w:tc>
      </w:tr>
      <w:tr>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bCs/>
                <w:color w:val="1C2B4A"/>
                <w:sz w:val="17"/>
                <w:szCs w:val="17"/>
              </w:rPr>
              <w:t xml:space="preserve">Amurskaya Substation</w:t>
            </w:r>
          </w:p>
        </w:tc>
        <w:tc>
          <w:tcPr>
            <w:tcW w:type="dxa" w:w="12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50.31°N, 127.51°E</w:t>
            </w:r>
          </w:p>
        </w:tc>
        <w:tc>
          <w:tcPr>
            <w:tcW w:type="dxa" w:w="11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Power Grid</w:t>
            </w:r>
          </w:p>
        </w:tc>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(Rosseti)</w:t>
            </w:r>
          </w:p>
        </w:tc>
        <w:tc>
          <w:tcPr>
            <w:tcW w:type="dxa" w:w="778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Master switch for all Russian power exports to China via 500kV HVDC. Single-node disruption severs entire cross-border electrical supply.</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BitRiver (Bratsk)</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56.13°N, 101.60°E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Crypto/Compute</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§1(a)(i)</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Sole economically viable large-scale A7A5 stablecoin compute in Russia. Collocated with Bratsk Dam power. Cannot be replicated at equivalent scale within 90 days.</w:t>
            </w:r>
          </w:p>
        </w:tc>
      </w:tr>
      <w:tr>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bCs/>
                <w:color w:val="1C2B4A"/>
                <w:sz w:val="17"/>
                <w:szCs w:val="17"/>
              </w:rPr>
              <w:t xml:space="preserve">Sabetta LNG Terminal</w:t>
            </w:r>
          </w:p>
        </w:tc>
        <w:tc>
          <w:tcPr>
            <w:tcW w:type="dxa" w:w="12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71.27°N, 72.07°E</w:t>
            </w:r>
          </w:p>
        </w:tc>
        <w:tc>
          <w:tcPr>
            <w:tcW w:type="dxa" w:w="11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Arctic LNG</w:t>
            </w:r>
          </w:p>
        </w:tc>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 Tanker SDN</w:t>
            </w:r>
          </w:p>
        </w:tc>
        <w:tc>
          <w:tcPr>
            <w:tcW w:type="dxa" w:w="778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Primary Arctic LNG export hub. Chinese equity. Shadow fleet operations originate here. CNPC/CNOOC equity stakes are secondary sanctions leverage.</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ABCeX (hosting + freeze simultaneously)</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55.74°N, 37.53°E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Crypto/Finance</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GENIUS Act + IEEPA</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$11B+ current settlement. MUST target via hosting embargo + Tether freeze simultaneously — entity designation alone repeats Garantex failure.</w:t>
            </w:r>
          </w:p>
        </w:tc>
      </w:tr>
      <w:tr>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bCs/>
                <w:color w:val="1C2B4A"/>
                <w:sz w:val="17"/>
                <w:szCs w:val="17"/>
              </w:rPr>
              <w:t xml:space="preserve">Leonid Mikhelson (personal designation)</w:t>
            </w:r>
          </w:p>
        </w:tc>
        <w:tc>
          <w:tcPr>
            <w:tcW w:type="dxa" w:w="12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N/A</w:t>
            </w:r>
          </w:p>
        </w:tc>
        <w:tc>
          <w:tcPr>
            <w:tcW w:type="dxa" w:w="11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LNG/Finance</w:t>
            </w:r>
          </w:p>
        </w:tc>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w:t>
            </w:r>
          </w:p>
        </w:tc>
        <w:tc>
          <w:tcPr>
            <w:tcW w:type="dxa" w:w="778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Controls entire Novatek Arctic LNG chain. Not yet designated by US or EU — single largest designation gap in the network. Requires coordinated US/EU simultaneous action.</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Ingosstrakh (shadow fleet insurance)</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55.76°N, 37.61°E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Finance/Maritime</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Primary hull insurer for Russian shadow fleet. Designation removes insurance coverage and effectively grounds vessels across non-Western markets.</w:t>
            </w:r>
          </w:p>
        </w:tc>
      </w:tr>
    </w:tbl>
    <w:p>
      <w:pPr>
        <w:spacing w:before="40" w:after="40"/>
      </w:pPr>
      <w:r>
        <w:rPr>
          <w:sz w:val="18"/>
          <w:szCs w:val="18"/>
        </w:rPr>
        <w:t xml:space="preserve"/>
      </w:r>
    </w:p>
    <w:p>
      <w:pPr>
        <w:spacing w:before="40" w:after="40"/>
      </w:pPr>
      <w:r>
        <w:rPr>
          <w:sz w:val="18"/>
          <w:szCs w:val="18"/>
        </w:rPr>
        <w:t xml:space="preserve"/>
      </w:r>
    </w:p>
    <w:p>
      <w:pPr>
        <w:shd w:fill="1C2B4A" w:val="clear"/>
        <w:spacing w:before="0" w:after="0"/>
        <w:jc w:val="center"/>
      </w:pPr>
      <w:r>
        <w:rPr>
          <w:rFonts w:ascii="Calibri" w:cs="Calibri" w:eastAsia="Calibri" w:hAnsi="Calibri"/>
          <w:b/>
          <w:bCs/>
          <w:color w:val="FFFFFF"/>
          <w:sz w:val="17"/>
          <w:szCs w:val="17"/>
        </w:rPr>
        <w:t xml:space="preserve">STRATEGIC ANALYSIS  •  SIMULATED  •  NOT CLASSIFIED  •  WP-2026 SERIES  •  C. GEORGE  •  MARCH 2026</w:t>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XVI. Post-Publication Status Corrections (Updated March 2026)</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The following nodes and persons have had material designation status changes since the initial v1 publication of this index. All corrections supersede the status shown in Sections I–XIV. The most significant change is the full blocking designation of Rosneft and Lukoil under EO 14024 (October 22, 2025), which converts those entries from TARGETABLE to DESIGNATED and eliminates the sectoral-only posture that previously applied.</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400"/>
        <w:gridCol w:w="4800"/>
      </w:tblGrid>
      <w:tr>
        <w:tc>
          <w:tcPr>
            <w:tcW w:type="dxa" w:w="2400"/>
            <w:shd w:val="clear" w:color="auto" w:fill="1C2B4A"/>
          </w:tcPr>
          <w:p>
            <w:pPr>
              <w:jc w:val="center"/>
            </w:pPr>
            <w:r>
              <w:rPr>
                <w:rFonts w:ascii="Calibri" w:cs="Calibri" w:eastAsia="Calibri" w:hAnsi="Calibri"/>
                <w:b/>
                <w:bCs/>
                <w:color w:val="FFFFFF"/>
                <w:sz w:val="16"/>
                <w:szCs w:val="16"/>
              </w:rPr>
              <w:t xml:space="preserve">ENTITY</w:t>
            </w:r>
          </w:p>
        </w:tc>
        <w:tc>
          <w:tcPr>
            <w:tcW w:type="dxa" w:w="1800"/>
            <w:shd w:val="clear" w:color="auto" w:fill="1C2B4A"/>
          </w:tcPr>
          <w:p>
            <w:pPr>
              <w:jc w:val="center"/>
            </w:pPr>
            <w:r>
              <w:rPr>
                <w:rFonts w:ascii="Calibri" w:cs="Calibri" w:eastAsia="Calibri" w:hAnsi="Calibri"/>
                <w:b/>
                <w:bCs/>
                <w:color w:val="FFFFFF"/>
                <w:sz w:val="16"/>
                <w:szCs w:val="16"/>
              </w:rPr>
              <w:t xml:space="preserve">PRIOR STATUS</w:t>
            </w:r>
          </w:p>
        </w:tc>
        <w:tc>
          <w:tcPr>
            <w:tcW w:type="dxa" w:w="1800"/>
            <w:shd w:val="clear" w:color="auto" w:fill="1C2B4A"/>
          </w:tcPr>
          <w:p>
            <w:pPr>
              <w:jc w:val="center"/>
            </w:pPr>
            <w:r>
              <w:rPr>
                <w:rFonts w:ascii="Calibri" w:cs="Calibri" w:eastAsia="Calibri" w:hAnsi="Calibri"/>
                <w:b/>
                <w:bCs/>
                <w:color w:val="FFFFFF"/>
                <w:sz w:val="16"/>
                <w:szCs w:val="16"/>
              </w:rPr>
              <w:t xml:space="preserve">CURRENT STATUS</w:t>
            </w:r>
          </w:p>
        </w:tc>
        <w:tc>
          <w:tcPr>
            <w:tcW w:type="dxa" w:w="2400"/>
            <w:shd w:val="clear" w:color="auto" w:fill="1C2B4A"/>
          </w:tcPr>
          <w:p>
            <w:pPr>
              <w:jc w:val="center"/>
            </w:pPr>
            <w:r>
              <w:rPr>
                <w:rFonts w:ascii="Calibri" w:cs="Calibri" w:eastAsia="Calibri" w:hAnsi="Calibri"/>
                <w:b/>
                <w:bCs/>
                <w:color w:val="FFFFFF"/>
                <w:sz w:val="16"/>
                <w:szCs w:val="16"/>
              </w:rPr>
              <w:t xml:space="preserve">AUTHORITY</w:t>
            </w:r>
          </w:p>
        </w:tc>
        <w:tc>
          <w:tcPr>
            <w:tcW w:type="dxa" w:w="4800"/>
            <w:shd w:val="clear" w:color="auto" w:fill="1C2B4A"/>
          </w:tcPr>
          <w:p>
            <w:pPr>
              <w:jc w:val="center"/>
            </w:pPr>
            <w:r>
              <w:rPr>
                <w:rFonts w:ascii="Calibri" w:cs="Calibri" w:eastAsia="Calibri" w:hAnsi="Calibri"/>
                <w:b/>
                <w:bCs/>
                <w:color w:val="FFFFFF"/>
                <w:sz w:val="16"/>
                <w:szCs w:val="16"/>
              </w:rPr>
              <w:t xml:space="preserve">NOTE</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Rosneft Oil Company (+ 34 subsidiaries)</w:t>
            </w:r>
          </w:p>
        </w:tc>
        <w:tc>
          <w:tcPr>
            <w:tcW w:type="dxa" w:w="1800"/>
            <w:shd w:val="clear" w:color="auto" w:fill="EEF2F8"/>
          </w:tcPr>
          <w:p>
            <w:pPr>
              <w:spacing w:before="40" w:after="40"/>
            </w:pPr>
            <w:r>
              <w:rPr>
                <w:rFonts w:ascii="Calibri" w:cs="Calibri" w:eastAsia="Calibri" w:hAnsi="Calibri"/>
                <w:color w:val="000000"/>
                <w:sz w:val="16"/>
                <w:szCs w:val="16"/>
              </w:rPr>
              <w:t xml:space="preserve">PARTIAL (Directive 4 / EO 13662)</w:t>
            </w:r>
          </w:p>
        </w:tc>
        <w:tc>
          <w:tcPr>
            <w:tcW w:type="dxa" w:w="1800"/>
            <w:shd w:val="clear" w:color="auto" w:fill="EEF2F8"/>
          </w:tcPr>
          <w:p>
            <w:pPr>
              <w:spacing w:before="40" w:after="40"/>
            </w:pPr>
            <w:r>
              <w:rPr>
                <w:rFonts w:ascii="Calibri" w:cs="Calibri" w:eastAsia="Calibri" w:hAnsi="Calibri"/>
                <w:b/>
                <w:bCs/>
                <w:color w:val="8B0000"/>
                <w:sz w:val="16"/>
                <w:szCs w:val="16"/>
              </w:rPr>
              <w:t xml:space="preserve">DESIGNATED</w:t>
            </w:r>
          </w:p>
        </w:tc>
        <w:tc>
          <w:tcPr>
            <w:tcW w:type="dxa" w:w="2400"/>
            <w:shd w:val="clear" w:color="auto" w:fill="EEF2F8"/>
          </w:tcPr>
          <w:p>
            <w:pPr>
              <w:spacing w:before="40" w:after="40"/>
            </w:pPr>
            <w:r>
              <w:rPr>
                <w:rFonts w:ascii="Calibri" w:cs="Calibri" w:eastAsia="Calibri" w:hAnsi="Calibri"/>
                <w:color w:val="000000"/>
                <w:sz w:val="16"/>
                <w:szCs w:val="16"/>
              </w:rPr>
              <w:t xml:space="preserve">EO 14024 §1(a)(i), Oct 22 2025</w:t>
            </w:r>
          </w:p>
        </w:tc>
        <w:tc>
          <w:tcPr>
            <w:tcW w:type="dxa" w:w="4800"/>
            <w:shd w:val="clear" w:color="auto" w:fill="EEF2F8"/>
          </w:tcPr>
          <w:p>
            <w:pPr>
              <w:spacing w:before="40" w:after="40"/>
            </w:pPr>
            <w:r>
              <w:rPr>
                <w:rFonts w:ascii="Calibri" w:cs="Calibri" w:eastAsia="Calibri" w:hAnsi="Calibri"/>
                <w:color w:val="000000"/>
                <w:sz w:val="16"/>
                <w:szCs w:val="16"/>
              </w:rPr>
              <w:t xml:space="preserve">Full blocking. GL 126/127 wind-down expired Nov 21 2025. GL 129 authorizes Rosneft Deutschland/RN Refining through Apr 29 2026.</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Lukoil OAO (+ subsidiaries)</w:t>
            </w:r>
          </w:p>
        </w:tc>
        <w:tc>
          <w:tcPr>
            <w:tcW w:type="dxa" w:w="1800"/>
            <w:shd w:val="clear" w:color="auto" w:fill="FFFFFF"/>
          </w:tcPr>
          <w:p>
            <w:pPr>
              <w:spacing w:before="40" w:after="40"/>
            </w:pPr>
            <w:r>
              <w:rPr>
                <w:rFonts w:ascii="Calibri" w:cs="Calibri" w:eastAsia="Calibri" w:hAnsi="Calibri"/>
                <w:color w:val="000000"/>
                <w:sz w:val="16"/>
                <w:szCs w:val="16"/>
              </w:rPr>
              <w:t xml:space="preserve">Not Designated (sectoral only)</w:t>
            </w:r>
          </w:p>
        </w:tc>
        <w:tc>
          <w:tcPr>
            <w:tcW w:type="dxa" w:w="1800"/>
            <w:shd w:val="clear" w:color="auto" w:fill="FFFFFF"/>
          </w:tcPr>
          <w:p>
            <w:pPr>
              <w:spacing w:before="40" w:after="40"/>
            </w:pPr>
            <w:r>
              <w:rPr>
                <w:rFonts w:ascii="Calibri" w:cs="Calibri" w:eastAsia="Calibri" w:hAnsi="Calibri"/>
                <w:b/>
                <w:bCs/>
                <w:color w:val="8B0000"/>
                <w:sz w:val="16"/>
                <w:szCs w:val="16"/>
              </w:rPr>
              <w:t xml:space="preserve">DESIGNATED</w:t>
            </w:r>
          </w:p>
        </w:tc>
        <w:tc>
          <w:tcPr>
            <w:tcW w:type="dxa" w:w="2400"/>
            <w:shd w:val="clear" w:color="auto" w:fill="FFFFFF"/>
          </w:tcPr>
          <w:p>
            <w:pPr>
              <w:spacing w:before="40" w:after="40"/>
            </w:pPr>
            <w:r>
              <w:rPr>
                <w:rFonts w:ascii="Calibri" w:cs="Calibri" w:eastAsia="Calibri" w:hAnsi="Calibri"/>
                <w:color w:val="000000"/>
                <w:sz w:val="16"/>
                <w:szCs w:val="16"/>
              </w:rPr>
              <w:t xml:space="preserve">EO 14024 §1(a)(i), Oct 22 2025</w:t>
            </w:r>
          </w:p>
        </w:tc>
        <w:tc>
          <w:tcPr>
            <w:tcW w:type="dxa" w:w="4800"/>
            <w:shd w:val="clear" w:color="auto" w:fill="FFFFFF"/>
          </w:tcPr>
          <w:p>
            <w:pPr>
              <w:spacing w:before="40" w:after="40"/>
            </w:pPr>
            <w:r>
              <w:rPr>
                <w:rFonts w:ascii="Calibri" w:cs="Calibri" w:eastAsia="Calibri" w:hAnsi="Calibri"/>
                <w:color w:val="000000"/>
                <w:sz w:val="16"/>
                <w:szCs w:val="16"/>
              </w:rPr>
              <w:t xml:space="preserve">Full blocking. GL 126/127/128 wind-down expired Nov 21 2025. GL 124A carve-out for Caspian Pipeline Consortium and Tengizchevroil project transactions only.</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Gazprom Neft</w:t>
            </w:r>
          </w:p>
        </w:tc>
        <w:tc>
          <w:tcPr>
            <w:tcW w:type="dxa" w:w="1800"/>
            <w:shd w:val="clear" w:color="auto" w:fill="EEF2F8"/>
          </w:tcPr>
          <w:p>
            <w:pPr>
              <w:spacing w:before="40" w:after="40"/>
            </w:pPr>
            <w:r>
              <w:rPr>
                <w:rFonts w:ascii="Calibri" w:cs="Calibri" w:eastAsia="Calibri" w:hAnsi="Calibri"/>
                <w:color w:val="000000"/>
                <w:sz w:val="16"/>
                <w:szCs w:val="16"/>
              </w:rPr>
              <w:t xml:space="preserve">PARTIAL</w:t>
            </w:r>
          </w:p>
        </w:tc>
        <w:tc>
          <w:tcPr>
            <w:tcW w:type="dxa" w:w="1800"/>
            <w:shd w:val="clear" w:color="auto" w:fill="EEF2F8"/>
          </w:tcPr>
          <w:p>
            <w:pPr>
              <w:spacing w:before="40" w:after="40"/>
            </w:pPr>
            <w:r>
              <w:rPr>
                <w:rFonts w:ascii="Calibri" w:cs="Calibri" w:eastAsia="Calibri" w:hAnsi="Calibri"/>
                <w:b/>
                <w:bCs/>
                <w:color w:val="8B0000"/>
                <w:sz w:val="16"/>
                <w:szCs w:val="16"/>
              </w:rPr>
              <w:t xml:space="preserve">DESIGNATED</w:t>
            </w:r>
          </w:p>
        </w:tc>
        <w:tc>
          <w:tcPr>
            <w:tcW w:type="dxa" w:w="2400"/>
            <w:shd w:val="clear" w:color="auto" w:fill="EEF2F8"/>
          </w:tcPr>
          <w:p>
            <w:pPr>
              <w:spacing w:before="40" w:after="40"/>
            </w:pPr>
            <w:r>
              <w:rPr>
                <w:rFonts w:ascii="Calibri" w:cs="Calibri" w:eastAsia="Calibri" w:hAnsi="Calibri"/>
                <w:color w:val="000000"/>
                <w:sz w:val="16"/>
                <w:szCs w:val="16"/>
              </w:rPr>
              <w:t xml:space="preserve">EO 14024, Jan 10 2025; EU 19th package Art. 5aa</w:t>
            </w:r>
          </w:p>
        </w:tc>
        <w:tc>
          <w:tcPr>
            <w:tcW w:type="dxa" w:w="4800"/>
            <w:shd w:val="clear" w:color="auto" w:fill="EEF2F8"/>
          </w:tcPr>
          <w:p>
            <w:pPr>
              <w:spacing w:before="40" w:after="40"/>
            </w:pPr>
            <w:r>
              <w:rPr>
                <w:rFonts w:ascii="Calibri" w:cs="Calibri" w:eastAsia="Calibri" w:hAnsi="Calibri"/>
                <w:color w:val="000000"/>
                <w:sz w:val="16"/>
                <w:szCs w:val="16"/>
              </w:rPr>
              <w:t xml:space="preserve">Jan 2025 Biden designation. EU 19th package removed remaining exemptions for Gazprom Neft oil/gas imports into EU.</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Shadow Fleet (EU-listed)</w:t>
            </w:r>
          </w:p>
        </w:tc>
        <w:tc>
          <w:tcPr>
            <w:tcW w:type="dxa" w:w="1800"/>
            <w:shd w:val="clear" w:color="auto" w:fill="FFFFFF"/>
          </w:tcPr>
          <w:p>
            <w:pPr>
              <w:spacing w:before="40" w:after="40"/>
            </w:pPr>
            <w:r>
              <w:rPr>
                <w:rFonts w:ascii="Calibri" w:cs="Calibri" w:eastAsia="Calibri" w:hAnsi="Calibri"/>
                <w:color w:val="000000"/>
                <w:sz w:val="16"/>
                <w:szCs w:val="16"/>
              </w:rPr>
              <w:t xml:space="preserve">342 vessels (EU 17th package)</w:t>
            </w:r>
          </w:p>
        </w:tc>
        <w:tc>
          <w:tcPr>
            <w:tcW w:type="dxa" w:w="1800"/>
            <w:shd w:val="clear" w:color="auto" w:fill="FFFFFF"/>
          </w:tcPr>
          <w:p>
            <w:pPr>
              <w:spacing w:before="40" w:after="40"/>
            </w:pPr>
            <w:r>
              <w:rPr>
                <w:rFonts w:ascii="Calibri" w:cs="Calibri" w:eastAsia="Calibri" w:hAnsi="Calibri"/>
                <w:b/>
                <w:bCs/>
                <w:color w:val="000000"/>
                <w:sz w:val="16"/>
                <w:szCs w:val="16"/>
              </w:rPr>
              <w:t xml:space="preserve">557 vessels</w:t>
            </w:r>
          </w:p>
        </w:tc>
        <w:tc>
          <w:tcPr>
            <w:tcW w:type="dxa" w:w="2400"/>
            <w:shd w:val="clear" w:color="auto" w:fill="FFFFFF"/>
          </w:tcPr>
          <w:p>
            <w:pPr>
              <w:spacing w:before="40" w:after="40"/>
            </w:pPr>
            <w:r>
              <w:rPr>
                <w:rFonts w:ascii="Calibri" w:cs="Calibri" w:eastAsia="Calibri" w:hAnsi="Calibri"/>
                <w:color w:val="000000"/>
                <w:sz w:val="16"/>
                <w:szCs w:val="16"/>
              </w:rPr>
              <w:t xml:space="preserve">EU Reg. 833/2014, Annex XLII; 19th package Oct 2025</w:t>
            </w:r>
          </w:p>
        </w:tc>
        <w:tc>
          <w:tcPr>
            <w:tcW w:type="dxa" w:w="4800"/>
            <w:shd w:val="clear" w:color="auto" w:fill="FFFFFF"/>
          </w:tcPr>
          <w:p>
            <w:pPr>
              <w:spacing w:before="40" w:after="40"/>
            </w:pPr>
            <w:r>
              <w:rPr>
                <w:rFonts w:ascii="Calibri" w:cs="Calibri" w:eastAsia="Calibri" w:hAnsi="Calibri"/>
                <w:color w:val="000000"/>
                <w:sz w:val="16"/>
                <w:szCs w:val="16"/>
              </w:rPr>
              <w:t xml:space="preserve">117 vessels added in 19th package. Reinsurance now explicitly prohibited. Litasco Middle East DMCC (Lukoil shadow fleet enabler, UAE) designated.</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Russian LNG — EU import ban</w:t>
            </w:r>
          </w:p>
        </w:tc>
        <w:tc>
          <w:tcPr>
            <w:tcW w:type="dxa" w:w="1800"/>
            <w:shd w:val="clear" w:color="auto" w:fill="EEF2F8"/>
          </w:tcPr>
          <w:p>
            <w:pPr>
              <w:spacing w:before="40" w:after="40"/>
            </w:pPr>
            <w:r>
              <w:rPr>
                <w:rFonts w:ascii="Calibri" w:cs="Calibri" w:eastAsia="Calibri" w:hAnsi="Calibri"/>
                <w:color w:val="000000"/>
                <w:sz w:val="16"/>
                <w:szCs w:val="16"/>
              </w:rPr>
              <w:t xml:space="preserve">No direct ban</w:t>
            </w:r>
          </w:p>
        </w:tc>
        <w:tc>
          <w:tcPr>
            <w:tcW w:type="dxa" w:w="1800"/>
            <w:shd w:val="clear" w:color="auto" w:fill="EEF2F8"/>
          </w:tcPr>
          <w:p>
            <w:pPr>
              <w:spacing w:before="40" w:after="40"/>
            </w:pPr>
            <w:r>
              <w:rPr>
                <w:rFonts w:ascii="Calibri" w:cs="Calibri" w:eastAsia="Calibri" w:hAnsi="Calibri"/>
                <w:b/>
                <w:bCs/>
                <w:color w:val="8B0000"/>
                <w:sz w:val="16"/>
                <w:szCs w:val="16"/>
              </w:rPr>
              <w:t xml:space="preserve">IMMINENT BAN</w:t>
            </w:r>
          </w:p>
        </w:tc>
        <w:tc>
          <w:tcPr>
            <w:tcW w:type="dxa" w:w="2400"/>
            <w:shd w:val="clear" w:color="auto" w:fill="EEF2F8"/>
          </w:tcPr>
          <w:p>
            <w:pPr>
              <w:spacing w:before="40" w:after="40"/>
            </w:pPr>
            <w:r>
              <w:rPr>
                <w:rFonts w:ascii="Calibri" w:cs="Calibri" w:eastAsia="Calibri" w:hAnsi="Calibri"/>
                <w:color w:val="000000"/>
                <w:sz w:val="16"/>
                <w:szCs w:val="16"/>
              </w:rPr>
              <w:t xml:space="preserve">EU 19th package, Reg. 833/2014 Art. 3m</w:t>
            </w:r>
          </w:p>
        </w:tc>
        <w:tc>
          <w:tcPr>
            <w:tcW w:type="dxa" w:w="4800"/>
            <w:shd w:val="clear" w:color="auto" w:fill="EEF2F8"/>
          </w:tcPr>
          <w:p>
            <w:pPr>
              <w:spacing w:before="40" w:after="40"/>
            </w:pPr>
            <w:r>
              <w:rPr>
                <w:rFonts w:ascii="Calibri" w:cs="Calibri" w:eastAsia="Calibri" w:hAnsi="Calibri"/>
                <w:color w:val="000000"/>
                <w:sz w:val="16"/>
                <w:szCs w:val="16"/>
              </w:rPr>
              <w:t xml:space="preserve">Short-term contracts: ban effective April 25 2026. Long-term contracts (pre-June 17 2025): ban effective Jan 1 2027. GL 55E (Sakhalin-2) still in force.</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SPFS / Mir / SBP payment systems</w:t>
            </w:r>
          </w:p>
        </w:tc>
        <w:tc>
          <w:tcPr>
            <w:tcW w:type="dxa" w:w="1800"/>
            <w:shd w:val="clear" w:color="auto" w:fill="FFFFFF"/>
          </w:tcPr>
          <w:p>
            <w:pPr>
              <w:spacing w:before="40" w:after="40"/>
            </w:pPr>
            <w:r>
              <w:rPr>
                <w:rFonts w:ascii="Calibri" w:cs="Calibri" w:eastAsia="Calibri" w:hAnsi="Calibri"/>
                <w:color w:val="000000"/>
                <w:sz w:val="16"/>
                <w:szCs w:val="16"/>
              </w:rPr>
              <w:t xml:space="preserve">SPFS banned for EU banks</w:t>
            </w:r>
          </w:p>
        </w:tc>
        <w:tc>
          <w:tcPr>
            <w:tcW w:type="dxa" w:w="1800"/>
            <w:shd w:val="clear" w:color="auto" w:fill="FFFFFF"/>
          </w:tcPr>
          <w:p>
            <w:pPr>
              <w:spacing w:before="40" w:after="40"/>
            </w:pPr>
            <w:r>
              <w:rPr>
                <w:rFonts w:ascii="Calibri" w:cs="Calibri" w:eastAsia="Calibri" w:hAnsi="Calibri"/>
                <w:b/>
                <w:bCs/>
                <w:color w:val="8B0000"/>
                <w:sz w:val="16"/>
                <w:szCs w:val="16"/>
              </w:rPr>
              <w:t xml:space="preserve">EXPANDED BAN</w:t>
            </w:r>
          </w:p>
        </w:tc>
        <w:tc>
          <w:tcPr>
            <w:tcW w:type="dxa" w:w="2400"/>
            <w:shd w:val="clear" w:color="auto" w:fill="FFFFFF"/>
          </w:tcPr>
          <w:p>
            <w:pPr>
              <w:spacing w:before="40" w:after="40"/>
            </w:pPr>
            <w:r>
              <w:rPr>
                <w:rFonts w:ascii="Calibri" w:cs="Calibri" w:eastAsia="Calibri" w:hAnsi="Calibri"/>
                <w:color w:val="000000"/>
                <w:sz w:val="16"/>
                <w:szCs w:val="16"/>
              </w:rPr>
              <w:t xml:space="preserve">EU Reg. 833/2014 Art. 5af (new); effective Jan 25 2026</w:t>
            </w:r>
          </w:p>
        </w:tc>
        <w:tc>
          <w:tcPr>
            <w:tcW w:type="dxa" w:w="4800"/>
            <w:shd w:val="clear" w:color="auto" w:fill="FFFFFF"/>
          </w:tcPr>
          <w:p>
            <w:pPr>
              <w:spacing w:before="40" w:after="40"/>
            </w:pPr>
            <w:r>
              <w:rPr>
                <w:rFonts w:ascii="Calibri" w:cs="Calibri" w:eastAsia="Calibri" w:hAnsi="Calibri"/>
                <w:color w:val="000000"/>
                <w:sz w:val="16"/>
                <w:szCs w:val="16"/>
              </w:rPr>
              <w:t xml:space="preserve">19th package extended SPFS ban to cover Mir (National Payment Card System) and SBP (Fast Payments System). Operationally material for any bank with residual Russian payment rails.</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Leonid Mikhelson (Novatek)</w:t>
            </w:r>
          </w:p>
        </w:tc>
        <w:tc>
          <w:tcPr>
            <w:tcW w:type="dxa" w:w="1800"/>
            <w:shd w:val="clear" w:color="auto" w:fill="EEF2F8"/>
          </w:tcPr>
          <w:p>
            <w:pPr>
              <w:spacing w:before="40" w:after="40"/>
            </w:pPr>
            <w:r>
              <w:rPr>
                <w:rFonts w:ascii="Calibri" w:cs="Calibri" w:eastAsia="Calibri" w:hAnsi="Calibri"/>
                <w:color w:val="000000"/>
                <w:sz w:val="16"/>
                <w:szCs w:val="16"/>
              </w:rPr>
              <w:t xml:space="preserve">NOT DESIGNATED (US/EU)</w:t>
            </w:r>
          </w:p>
        </w:tc>
        <w:tc>
          <w:tcPr>
            <w:tcW w:type="dxa" w:w="1800"/>
            <w:shd w:val="clear" w:color="auto" w:fill="EEF2F8"/>
          </w:tcPr>
          <w:p>
            <w:pPr>
              <w:spacing w:before="40" w:after="40"/>
            </w:pPr>
            <w:r>
              <w:rPr>
                <w:rFonts w:ascii="Calibri" w:cs="Calibri" w:eastAsia="Calibri" w:hAnsi="Calibri"/>
                <w:b/>
                <w:bCs/>
                <w:color w:val="8B4500"/>
                <w:sz w:val="16"/>
                <w:szCs w:val="16"/>
              </w:rPr>
              <w:t xml:space="preserve">NOT DESIGNATED (US/EU)</w:t>
            </w:r>
          </w:p>
        </w:tc>
        <w:tc>
          <w:tcPr>
            <w:tcW w:type="dxa" w:w="2400"/>
            <w:shd w:val="clear" w:color="auto" w:fill="EEF2F8"/>
          </w:tcPr>
          <w:p>
            <w:pPr>
              <w:spacing w:before="40" w:after="40"/>
            </w:pPr>
            <w:r>
              <w:rPr>
                <w:rFonts w:ascii="Calibri" w:cs="Calibri" w:eastAsia="Calibri" w:hAnsi="Calibri"/>
                <w:color w:val="000000"/>
                <w:sz w:val="16"/>
                <w:szCs w:val="16"/>
              </w:rPr>
              <w:t xml:space="preserve">Gap — EO 14024 nexus exists</w:t>
            </w:r>
          </w:p>
        </w:tc>
        <w:tc>
          <w:tcPr>
            <w:tcW w:type="dxa" w:w="4800"/>
            <w:shd w:val="clear" w:color="auto" w:fill="EEF2F8"/>
          </w:tcPr>
          <w:p>
            <w:pPr>
              <w:spacing w:before="40" w:after="40"/>
            </w:pPr>
            <w:r>
              <w:rPr>
                <w:rFonts w:ascii="Calibri" w:cs="Calibri" w:eastAsia="Calibri" w:hAnsi="Calibri"/>
                <w:color w:val="000000"/>
                <w:sz w:val="16"/>
                <w:szCs w:val="16"/>
              </w:rPr>
              <w:t xml:space="preserve">Still undesignated as of March 2026. ACF War Enablers list (July 2025) documents Putin family financial linkages via Novatek subsidiary. UK/CA/AU/NZ-designated. Coordinated US/EU simultaneous action remains the recommended approach.</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ABCeX / Aeza Group / Media Land</w:t>
            </w:r>
          </w:p>
        </w:tc>
        <w:tc>
          <w:tcPr>
            <w:tcW w:type="dxa" w:w="1800"/>
            <w:shd w:val="clear" w:color="auto" w:fill="FFFFFF"/>
          </w:tcPr>
          <w:p>
            <w:pPr>
              <w:spacing w:before="40" w:after="40"/>
            </w:pPr>
            <w:r>
              <w:rPr>
                <w:rFonts w:ascii="Calibri" w:cs="Calibri" w:eastAsia="Calibri" w:hAnsi="Calibri"/>
                <w:color w:val="000000"/>
                <w:sz w:val="16"/>
                <w:szCs w:val="16"/>
              </w:rPr>
              <w:t xml:space="preserve">TARGETABLE</w:t>
            </w:r>
          </w:p>
        </w:tc>
        <w:tc>
          <w:tcPr>
            <w:tcW w:type="dxa" w:w="1800"/>
            <w:shd w:val="clear" w:color="auto" w:fill="FFFFFF"/>
          </w:tcPr>
          <w:p>
            <w:pPr>
              <w:spacing w:before="40" w:after="40"/>
            </w:pPr>
            <w:r>
              <w:rPr>
                <w:rFonts w:ascii="Calibri" w:cs="Calibri" w:eastAsia="Calibri" w:hAnsi="Calibri"/>
                <w:b/>
                <w:bCs/>
                <w:color w:val="1C2B4A"/>
                <w:sz w:val="16"/>
                <w:szCs w:val="16"/>
              </w:rPr>
              <w:t xml:space="preserve">TARGETABLE</w:t>
            </w:r>
          </w:p>
        </w:tc>
        <w:tc>
          <w:tcPr>
            <w:tcW w:type="dxa" w:w="2400"/>
            <w:shd w:val="clear" w:color="auto" w:fill="FFFFFF"/>
          </w:tcPr>
          <w:p>
            <w:pPr>
              <w:spacing w:before="40" w:after="40"/>
            </w:pPr>
            <w:r>
              <w:rPr>
                <w:rFonts w:ascii="Calibri" w:cs="Calibri" w:eastAsia="Calibri" w:hAnsi="Calibri"/>
                <w:color w:val="000000"/>
                <w:sz w:val="16"/>
                <w:szCs w:val="16"/>
              </w:rPr>
              <w:t xml:space="preserve">GENIUS Act (S.1582, enacted July 18 2025) + IEEPA</w:t>
            </w:r>
          </w:p>
        </w:tc>
        <w:tc>
          <w:tcPr>
            <w:tcW w:type="dxa" w:w="4800"/>
            <w:shd w:val="clear" w:color="auto" w:fill="FFFFFF"/>
          </w:tcPr>
          <w:p>
            <w:pPr>
              <w:spacing w:before="40" w:after="40"/>
            </w:pPr>
            <w:r>
              <w:rPr>
                <w:rFonts w:ascii="Calibri" w:cs="Calibri" w:eastAsia="Calibri" w:hAnsi="Calibri"/>
                <w:color w:val="000000"/>
                <w:sz w:val="16"/>
                <w:szCs w:val="16"/>
              </w:rPr>
              <w:t xml:space="preserve">GENIUS Act is now enacted law. §4(a)(5)(A) mandates BSA treatment for all permitted stablecoin issuers, including mandatory freeze/burn/seize capability. ABCeX principals remain unidentified — OFAC investigation priority unchanged.</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XVII. Enforcement Calendar — Forward-Looking Effective Dates</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The following table consolidates all known statutory and regulatory effective dates relevant to this target network as of March 2026. Dates are drawn from enacted legislation (GENIUS Act, S.1582), OFAC General Licenses, EU Regulation 833/2014 as amended by the 19th package, and EO 14024 as amended by EO 14114. This calendar is the operational planning horizon for enforcement and compliance teams.</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800"/>
        <w:gridCol w:w="4400"/>
      </w:tblGrid>
      <w:tr>
        <w:tc>
          <w:tcPr>
            <w:tcW w:type="dxa" w:w="1800"/>
            <w:shd w:val="clear" w:color="auto" w:fill="1C2B4A"/>
          </w:tcPr>
          <w:p>
            <w:pPr>
              <w:jc w:val="center"/>
            </w:pPr>
            <w:r>
              <w:rPr>
                <w:rFonts w:ascii="Calibri" w:cs="Calibri" w:eastAsia="Calibri" w:hAnsi="Calibri"/>
                <w:b/>
                <w:bCs/>
                <w:color w:val="FFFFFF"/>
                <w:sz w:val="16"/>
                <w:szCs w:val="16"/>
              </w:rPr>
              <w:t xml:space="preserve">EFFECTIVE DATE</w:t>
            </w:r>
          </w:p>
        </w:tc>
        <w:tc>
          <w:tcPr>
            <w:tcW w:type="dxa" w:w="4200"/>
            <w:shd w:val="clear" w:color="auto" w:fill="1C2B4A"/>
          </w:tcPr>
          <w:p>
            <w:pPr>
              <w:jc w:val="center"/>
            </w:pPr>
            <w:r>
              <w:rPr>
                <w:rFonts w:ascii="Calibri" w:cs="Calibri" w:eastAsia="Calibri" w:hAnsi="Calibri"/>
                <w:b/>
                <w:bCs/>
                <w:color w:val="FFFFFF"/>
                <w:sz w:val="16"/>
                <w:szCs w:val="16"/>
              </w:rPr>
              <w:t xml:space="preserve">EVENT</w:t>
            </w:r>
          </w:p>
        </w:tc>
        <w:tc>
          <w:tcPr>
            <w:tcW w:type="dxa" w:w="2800"/>
            <w:shd w:val="clear" w:color="auto" w:fill="1C2B4A"/>
          </w:tcPr>
          <w:p>
            <w:pPr>
              <w:jc w:val="center"/>
            </w:pPr>
            <w:r>
              <w:rPr>
                <w:rFonts w:ascii="Calibri" w:cs="Calibri" w:eastAsia="Calibri" w:hAnsi="Calibri"/>
                <w:b/>
                <w:bCs/>
                <w:color w:val="FFFFFF"/>
                <w:sz w:val="16"/>
                <w:szCs w:val="16"/>
              </w:rPr>
              <w:t xml:space="preserve">LEGAL AUTHORITY</w:t>
            </w:r>
          </w:p>
        </w:tc>
        <w:tc>
          <w:tcPr>
            <w:tcW w:type="dxa" w:w="4400"/>
            <w:shd w:val="clear" w:color="auto" w:fill="1C2B4A"/>
          </w:tcPr>
          <w:p>
            <w:pPr>
              <w:jc w:val="center"/>
            </w:pPr>
            <w:r>
              <w:rPr>
                <w:rFonts w:ascii="Calibri" w:cs="Calibri" w:eastAsia="Calibri" w:hAnsi="Calibri"/>
                <w:b/>
                <w:bCs/>
                <w:color w:val="FFFFFF"/>
                <w:sz w:val="16"/>
                <w:szCs w:val="16"/>
              </w:rPr>
              <w:t xml:space="preserve">ACTION REQUIRED / ENFORCEMENT IMPLICATION</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Nov 21 2025
[ELAPSED]</w:t>
            </w:r>
          </w:p>
        </w:tc>
        <w:tc>
          <w:tcPr>
            <w:tcW w:type="dxa" w:w="4200"/>
            <w:shd w:val="clear" w:color="auto" w:fill="EEF2F8"/>
          </w:tcPr>
          <w:p>
            <w:pPr>
              <w:spacing w:before="40" w:after="40"/>
            </w:pPr>
            <w:r>
              <w:rPr>
                <w:rFonts w:ascii="Calibri" w:cs="Calibri" w:eastAsia="Calibri" w:hAnsi="Calibri"/>
                <w:color w:val="000000"/>
                <w:sz w:val="16"/>
                <w:szCs w:val="16"/>
              </w:rPr>
              <w:t xml:space="preserve">GL 126/127/128 wind-down expired — Rosneft, Lukoil full blocking now in effect. No further authorized transactions.</w:t>
            </w:r>
          </w:p>
        </w:tc>
        <w:tc>
          <w:tcPr>
            <w:tcW w:type="dxa" w:w="2800"/>
            <w:shd w:val="clear" w:color="auto" w:fill="EEF2F8"/>
          </w:tcPr>
          <w:p>
            <w:pPr>
              <w:spacing w:before="40" w:after="40"/>
            </w:pPr>
            <w:r>
              <w:rPr>
                <w:rFonts w:ascii="Calibri" w:cs="Calibri" w:eastAsia="Calibri" w:hAnsi="Calibri"/>
                <w:color w:val="000000"/>
                <w:sz w:val="16"/>
                <w:szCs w:val="16"/>
              </w:rPr>
              <w:t xml:space="preserve">GLs 126/127/128 under EO 14024</w:t>
            </w:r>
          </w:p>
        </w:tc>
        <w:tc>
          <w:tcPr>
            <w:tcW w:type="dxa" w:w="4400"/>
            <w:shd w:val="clear" w:color="auto" w:fill="EEF2F8"/>
          </w:tcPr>
          <w:p>
            <w:pPr>
              <w:spacing w:before="40" w:after="40"/>
            </w:pPr>
            <w:r>
              <w:rPr>
                <w:rFonts w:ascii="Calibri" w:cs="Calibri" w:eastAsia="Calibri" w:hAnsi="Calibri"/>
                <w:color w:val="000000"/>
                <w:sz w:val="16"/>
                <w:szCs w:val="16"/>
              </w:rPr>
              <w:t xml:space="preserve">All US person and FFI exposure to Rosneft/Lukoil must be terminated. GL 129 carve-out for Rosneft Deutschland only, through Apr 29 2026.</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Jan 1 2026</w:t>
            </w:r>
          </w:p>
        </w:tc>
        <w:tc>
          <w:tcPr>
            <w:tcW w:type="dxa" w:w="4200"/>
            <w:shd w:val="clear" w:color="auto" w:fill="FFFFFF"/>
          </w:tcPr>
          <w:p>
            <w:pPr>
              <w:spacing w:before="40" w:after="40"/>
            </w:pPr>
            <w:r>
              <w:rPr>
                <w:rFonts w:ascii="Calibri" w:cs="Calibri" w:eastAsia="Calibri" w:hAnsi="Calibri"/>
                <w:color w:val="000000"/>
                <w:sz w:val="16"/>
                <w:szCs w:val="16"/>
              </w:rPr>
              <w:t xml:space="preserve">Full ban on new Russian gas import contracts (pipeline and LNG) for EU operators. No contract volume increases permitted.</w:t>
            </w:r>
          </w:p>
        </w:tc>
        <w:tc>
          <w:tcPr>
            <w:tcW w:type="dxa" w:w="2800"/>
            <w:shd w:val="clear" w:color="auto" w:fill="FFFFFF"/>
          </w:tcPr>
          <w:p>
            <w:pPr>
              <w:spacing w:before="40" w:after="40"/>
            </w:pPr>
            <w:r>
              <w:rPr>
                <w:rFonts w:ascii="Calibri" w:cs="Calibri" w:eastAsia="Calibri" w:hAnsi="Calibri"/>
                <w:color w:val="000000"/>
                <w:sz w:val="16"/>
                <w:szCs w:val="16"/>
              </w:rPr>
              <w:t xml:space="preserve">EU 19th package, Reg. 833/2014</w:t>
            </w:r>
          </w:p>
        </w:tc>
        <w:tc>
          <w:tcPr>
            <w:tcW w:type="dxa" w:w="4400"/>
            <w:shd w:val="clear" w:color="auto" w:fill="FFFFFF"/>
          </w:tcPr>
          <w:p>
            <w:pPr>
              <w:spacing w:before="40" w:after="40"/>
            </w:pPr>
            <w:r>
              <w:rPr>
                <w:rFonts w:ascii="Calibri" w:cs="Calibri" w:eastAsia="Calibri" w:hAnsi="Calibri"/>
                <w:color w:val="000000"/>
                <w:sz w:val="16"/>
                <w:szCs w:val="16"/>
              </w:rPr>
              <w:t xml:space="preserve">EU energy procurement teams: no new or amended contracts. Russian gas substitution planning required.</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Jan 25 2026</w:t>
            </w:r>
          </w:p>
        </w:tc>
        <w:tc>
          <w:tcPr>
            <w:tcW w:type="dxa" w:w="4200"/>
            <w:shd w:val="clear" w:color="auto" w:fill="EEF2F8"/>
          </w:tcPr>
          <w:p>
            <w:pPr>
              <w:spacing w:before="40" w:after="40"/>
            </w:pPr>
            <w:r>
              <w:rPr>
                <w:rFonts w:ascii="Calibri" w:cs="Calibri" w:eastAsia="Calibri" w:hAnsi="Calibri"/>
                <w:color w:val="000000"/>
                <w:sz w:val="16"/>
                <w:szCs w:val="16"/>
              </w:rPr>
              <w:t xml:space="preserve">SPFS ban extended to Mir and SBP payment systems. Ban on maintaining investment/operations in Alabuga and Technopolis Moscow SEZs (Annex LII, Part A).</w:t>
            </w:r>
          </w:p>
        </w:tc>
        <w:tc>
          <w:tcPr>
            <w:tcW w:type="dxa" w:w="2800"/>
            <w:shd w:val="clear" w:color="auto" w:fill="EEF2F8"/>
          </w:tcPr>
          <w:p>
            <w:pPr>
              <w:spacing w:before="40" w:after="40"/>
            </w:pPr>
            <w:r>
              <w:rPr>
                <w:rFonts w:ascii="Calibri" w:cs="Calibri" w:eastAsia="Calibri" w:hAnsi="Calibri"/>
                <w:color w:val="000000"/>
                <w:sz w:val="16"/>
                <w:szCs w:val="16"/>
              </w:rPr>
              <w:t xml:space="preserve">EU Reg. 833/2014 Art. 5af; Art. 5ah (new)</w:t>
            </w:r>
          </w:p>
        </w:tc>
        <w:tc>
          <w:tcPr>
            <w:tcW w:type="dxa" w:w="4400"/>
            <w:shd w:val="clear" w:color="auto" w:fill="EEF2F8"/>
          </w:tcPr>
          <w:p>
            <w:pPr>
              <w:spacing w:before="40" w:after="40"/>
            </w:pPr>
            <w:r>
              <w:rPr>
                <w:rFonts w:ascii="Calibri" w:cs="Calibri" w:eastAsia="Calibri" w:hAnsi="Calibri"/>
                <w:color w:val="000000"/>
                <w:sz w:val="16"/>
                <w:szCs w:val="16"/>
              </w:rPr>
              <w:t xml:space="preserve">Bank compliance: purge Mir/SBP payment rails. Any remaining investment exposure in Alabuga or Technopolis Moscow must be divested.</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Apr 25 2026</w:t>
            </w:r>
          </w:p>
        </w:tc>
        <w:tc>
          <w:tcPr>
            <w:tcW w:type="dxa" w:w="4200"/>
            <w:shd w:val="clear" w:color="auto" w:fill="FFFFFF"/>
          </w:tcPr>
          <w:p>
            <w:pPr>
              <w:spacing w:before="40" w:after="40"/>
            </w:pPr>
            <w:r>
              <w:rPr>
                <w:rFonts w:ascii="Calibri" w:cs="Calibri" w:eastAsia="Calibri" w:hAnsi="Calibri"/>
                <w:color w:val="000000"/>
                <w:sz w:val="16"/>
                <w:szCs w:val="16"/>
              </w:rPr>
              <w:t xml:space="preserve">EU ban on import of Russian LNG (short-term contracts, under 1 year). Also: ceramic goods (HS 6909.19) export wind-down expires.</w:t>
            </w:r>
          </w:p>
        </w:tc>
        <w:tc>
          <w:tcPr>
            <w:tcW w:type="dxa" w:w="2800"/>
            <w:shd w:val="clear" w:color="auto" w:fill="FFFFFF"/>
          </w:tcPr>
          <w:p>
            <w:pPr>
              <w:spacing w:before="40" w:after="40"/>
            </w:pPr>
            <w:r>
              <w:rPr>
                <w:rFonts w:ascii="Calibri" w:cs="Calibri" w:eastAsia="Calibri" w:hAnsi="Calibri"/>
                <w:color w:val="000000"/>
                <w:sz w:val="16"/>
                <w:szCs w:val="16"/>
              </w:rPr>
              <w:t xml:space="preserve">EU 19th package, Reg. 833/2014 Art. 3m</w:t>
            </w:r>
          </w:p>
        </w:tc>
        <w:tc>
          <w:tcPr>
            <w:tcW w:type="dxa" w:w="4400"/>
            <w:shd w:val="clear" w:color="auto" w:fill="FFFFFF"/>
          </w:tcPr>
          <w:p>
            <w:pPr>
              <w:spacing w:before="40" w:after="40"/>
            </w:pPr>
            <w:r>
              <w:rPr>
                <w:rFonts w:ascii="Calibri" w:cs="Calibri" w:eastAsia="Calibri" w:hAnsi="Calibri"/>
                <w:color w:val="000000"/>
                <w:sz w:val="16"/>
                <w:szCs w:val="16"/>
              </w:rPr>
              <w:t xml:space="preserve">EU LNG importers: terminate short-term Russian LNG contracts. Sabetta/Arctic LNG 2 cargo deliveries to EU ports illegal after this date for affected contracts.</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Apr 29 2026</w:t>
            </w:r>
          </w:p>
        </w:tc>
        <w:tc>
          <w:tcPr>
            <w:tcW w:type="dxa" w:w="4200"/>
            <w:shd w:val="clear" w:color="auto" w:fill="EEF2F8"/>
          </w:tcPr>
          <w:p>
            <w:pPr>
              <w:spacing w:before="40" w:after="40"/>
            </w:pPr>
            <w:r>
              <w:rPr>
                <w:rFonts w:ascii="Calibri" w:cs="Calibri" w:eastAsia="Calibri" w:hAnsi="Calibri"/>
                <w:color w:val="000000"/>
                <w:sz w:val="16"/>
                <w:szCs w:val="16"/>
              </w:rPr>
              <w:t xml:space="preserve">GL 129 expires — authorized transactions involving Rosneft Deutschland GmbH and RN Refining &amp; Marketing GmbH terminate.</w:t>
            </w:r>
          </w:p>
        </w:tc>
        <w:tc>
          <w:tcPr>
            <w:tcW w:type="dxa" w:w="2800"/>
            <w:shd w:val="clear" w:color="auto" w:fill="EEF2F8"/>
          </w:tcPr>
          <w:p>
            <w:pPr>
              <w:spacing w:before="40" w:after="40"/>
            </w:pPr>
            <w:r>
              <w:rPr>
                <w:rFonts w:ascii="Calibri" w:cs="Calibri" w:eastAsia="Calibri" w:hAnsi="Calibri"/>
                <w:color w:val="000000"/>
                <w:sz w:val="16"/>
                <w:szCs w:val="16"/>
              </w:rPr>
              <w:t xml:space="preserve">GL 129 under EO 14024</w:t>
            </w:r>
          </w:p>
        </w:tc>
        <w:tc>
          <w:tcPr>
            <w:tcW w:type="dxa" w:w="4400"/>
            <w:shd w:val="clear" w:color="auto" w:fill="EEF2F8"/>
          </w:tcPr>
          <w:p>
            <w:pPr>
              <w:spacing w:before="40" w:after="40"/>
            </w:pPr>
            <w:r>
              <w:rPr>
                <w:rFonts w:ascii="Calibri" w:cs="Calibri" w:eastAsia="Calibri" w:hAnsi="Calibri"/>
                <w:color w:val="000000"/>
                <w:sz w:val="16"/>
                <w:szCs w:val="16"/>
              </w:rPr>
              <w:t xml:space="preserve">Wind down all remaining Rosneft Deutschland/RN Refining transactions. No extension expected given enforcement trajectory.</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Jan 1 2027</w:t>
            </w:r>
          </w:p>
        </w:tc>
        <w:tc>
          <w:tcPr>
            <w:tcW w:type="dxa" w:w="4200"/>
            <w:shd w:val="clear" w:color="auto" w:fill="FFFFFF"/>
          </w:tcPr>
          <w:p>
            <w:pPr>
              <w:spacing w:before="40" w:after="40"/>
            </w:pPr>
            <w:r>
              <w:rPr>
                <w:rFonts w:ascii="Calibri" w:cs="Calibri" w:eastAsia="Calibri" w:hAnsi="Calibri"/>
                <w:color w:val="000000"/>
                <w:sz w:val="16"/>
                <w:szCs w:val="16"/>
              </w:rPr>
              <w:t xml:space="preserve">EU ban on import of Russian LNG (long-term contracts over 1 year, pre-June 17 2025, not materially amended). Effectively closes all remaining EU LNG import pathways from Russia.</w:t>
            </w:r>
          </w:p>
        </w:tc>
        <w:tc>
          <w:tcPr>
            <w:tcW w:type="dxa" w:w="2800"/>
            <w:shd w:val="clear" w:color="auto" w:fill="FFFFFF"/>
          </w:tcPr>
          <w:p>
            <w:pPr>
              <w:spacing w:before="40" w:after="40"/>
            </w:pPr>
            <w:r>
              <w:rPr>
                <w:rFonts w:ascii="Calibri" w:cs="Calibri" w:eastAsia="Calibri" w:hAnsi="Calibri"/>
                <w:color w:val="000000"/>
                <w:sz w:val="16"/>
                <w:szCs w:val="16"/>
              </w:rPr>
              <w:t xml:space="preserve">EU 19th package, Reg. 833/2014 Art. 3m</w:t>
            </w:r>
          </w:p>
        </w:tc>
        <w:tc>
          <w:tcPr>
            <w:tcW w:type="dxa" w:w="4400"/>
            <w:shd w:val="clear" w:color="auto" w:fill="FFFFFF"/>
          </w:tcPr>
          <w:p>
            <w:pPr>
              <w:spacing w:before="40" w:after="40"/>
            </w:pPr>
            <w:r>
              <w:rPr>
                <w:rFonts w:ascii="Calibri" w:cs="Calibri" w:eastAsia="Calibri" w:hAnsi="Calibri"/>
                <w:color w:val="000000"/>
                <w:sz w:val="16"/>
                <w:szCs w:val="16"/>
              </w:rPr>
              <w:t xml:space="preserve">Full EU-Russia LNG severance. Arctic LNG 2 and Yamal LNG EU-bound cargo deliveries prohibited. Beihai (China) becomes primary remaining offtake destination.</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Dec 31 2026</w:t>
            </w:r>
          </w:p>
        </w:tc>
        <w:tc>
          <w:tcPr>
            <w:tcW w:type="dxa" w:w="4200"/>
            <w:shd w:val="clear" w:color="auto" w:fill="EEF2F8"/>
          </w:tcPr>
          <w:p>
            <w:pPr>
              <w:spacing w:before="40" w:after="40"/>
            </w:pPr>
            <w:r>
              <w:rPr>
                <w:rFonts w:ascii="Calibri" w:cs="Calibri" w:eastAsia="Calibri" w:hAnsi="Calibri"/>
                <w:color w:val="000000"/>
                <w:sz w:val="16"/>
                <w:szCs w:val="16"/>
              </w:rPr>
              <w:t xml:space="preserve">EU exit transaction derogation deadline. All EU persons must have completed wind-down of Russia operations under sale/supply/transfer derogations.</w:t>
            </w:r>
          </w:p>
        </w:tc>
        <w:tc>
          <w:tcPr>
            <w:tcW w:type="dxa" w:w="2800"/>
            <w:shd w:val="clear" w:color="auto" w:fill="EEF2F8"/>
          </w:tcPr>
          <w:p>
            <w:pPr>
              <w:spacing w:before="40" w:after="40"/>
            </w:pPr>
            <w:r>
              <w:rPr>
                <w:rFonts w:ascii="Calibri" w:cs="Calibri" w:eastAsia="Calibri" w:hAnsi="Calibri"/>
                <w:color w:val="000000"/>
                <w:sz w:val="16"/>
                <w:szCs w:val="16"/>
              </w:rPr>
              <w:t xml:space="preserve">EU Reg. 833/2014 Art. 5aa(3)(d)</w:t>
            </w:r>
          </w:p>
        </w:tc>
        <w:tc>
          <w:tcPr>
            <w:tcW w:type="dxa" w:w="4400"/>
            <w:shd w:val="clear" w:color="auto" w:fill="EEF2F8"/>
          </w:tcPr>
          <w:p>
            <w:pPr>
              <w:spacing w:before="40" w:after="40"/>
            </w:pPr>
            <w:r>
              <w:rPr>
                <w:rFonts w:ascii="Calibri" w:cs="Calibri" w:eastAsia="Calibri" w:hAnsi="Calibri"/>
                <w:color w:val="000000"/>
                <w:sz w:val="16"/>
                <w:szCs w:val="16"/>
              </w:rPr>
              <w:t xml:space="preserve">Final deadline for orderly exit from Russia operations for EU entities. Acceleration of divestments recommended to avoid last-minute OFAC/EU enforcement risk.</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~Jan 2027</w:t>
            </w:r>
          </w:p>
        </w:tc>
        <w:tc>
          <w:tcPr>
            <w:tcW w:type="dxa" w:w="4200"/>
            <w:shd w:val="clear" w:color="auto" w:fill="FFFFFF"/>
          </w:tcPr>
          <w:p>
            <w:pPr>
              <w:spacing w:before="40" w:after="40"/>
            </w:pPr>
            <w:r>
              <w:rPr>
                <w:rFonts w:ascii="Calibri" w:cs="Calibri" w:eastAsia="Calibri" w:hAnsi="Calibri"/>
                <w:color w:val="000000"/>
                <w:sz w:val="16"/>
                <w:szCs w:val="16"/>
              </w:rPr>
              <w:t xml:space="preserve">PoS-1 designed capacity (~38 BCM/yr) reached; Dalnerechensk Far East gas route operational (Jan 2027 target). Russia-China gas interdependence deepens.</w:t>
            </w:r>
          </w:p>
        </w:tc>
        <w:tc>
          <w:tcPr>
            <w:tcW w:type="dxa" w:w="2800"/>
            <w:shd w:val="clear" w:color="auto" w:fill="FFFFFF"/>
          </w:tcPr>
          <w:p>
            <w:pPr>
              <w:spacing w:before="40" w:after="40"/>
            </w:pPr>
            <w:r>
              <w:rPr>
                <w:rFonts w:ascii="Calibri" w:cs="Calibri" w:eastAsia="Calibri" w:hAnsi="Calibri"/>
                <w:color w:val="000000"/>
                <w:sz w:val="16"/>
                <w:szCs w:val="16"/>
              </w:rPr>
              <w:t xml:space="preserve">Monitor — not a sanctions deadline</w:t>
            </w:r>
          </w:p>
        </w:tc>
        <w:tc>
          <w:tcPr>
            <w:tcW w:type="dxa" w:w="4400"/>
            <w:shd w:val="clear" w:color="auto" w:fill="FFFFFF"/>
          </w:tcPr>
          <w:p>
            <w:pPr>
              <w:spacing w:before="40" w:after="40"/>
            </w:pPr>
            <w:r>
              <w:rPr>
                <w:rFonts w:ascii="Calibri" w:cs="Calibri" w:eastAsia="Calibri" w:hAnsi="Calibri"/>
                <w:color w:val="000000"/>
                <w:sz w:val="16"/>
                <w:szCs w:val="16"/>
              </w:rPr>
              <w:t xml:space="preserve">Pre-emptive designation of Gazprom construction entities for Dalnerechensk recommended before operational milestone. Window is closing.</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18 mo. from Jul 18 2025
(~Jan 2027)</w:t>
            </w:r>
          </w:p>
        </w:tc>
        <w:tc>
          <w:tcPr>
            <w:tcW w:type="dxa" w:w="4200"/>
            <w:shd w:val="clear" w:color="auto" w:fill="EEF2F8"/>
          </w:tcPr>
          <w:p>
            <w:pPr>
              <w:spacing w:before="40" w:after="40"/>
            </w:pPr>
            <w:r>
              <w:rPr>
                <w:rFonts w:ascii="Calibri" w:cs="Calibri" w:eastAsia="Calibri" w:hAnsi="Calibri"/>
                <w:color w:val="000000"/>
                <w:sz w:val="16"/>
                <w:szCs w:val="16"/>
              </w:rPr>
              <w:t xml:space="preserve">GENIUS Act (S.1582) full implementation deadline. All permitted payment stablecoin issuers must have BSA/AML programs, sanctions screening, and freeze/burn/seize capability operational.</w:t>
            </w:r>
          </w:p>
        </w:tc>
        <w:tc>
          <w:tcPr>
            <w:tcW w:type="dxa" w:w="2800"/>
            <w:shd w:val="clear" w:color="auto" w:fill="EEF2F8"/>
          </w:tcPr>
          <w:p>
            <w:pPr>
              <w:spacing w:before="40" w:after="40"/>
            </w:pPr>
            <w:r>
              <w:rPr>
                <w:rFonts w:ascii="Calibri" w:cs="Calibri" w:eastAsia="Calibri" w:hAnsi="Calibri"/>
                <w:color w:val="000000"/>
                <w:sz w:val="16"/>
                <w:szCs w:val="16"/>
              </w:rPr>
              <w:t xml:space="preserve">GENIUS Act §4(a)(5)(A); Bank Secrecy Act</w:t>
            </w:r>
          </w:p>
        </w:tc>
        <w:tc>
          <w:tcPr>
            <w:tcW w:type="dxa" w:w="4400"/>
            <w:shd w:val="clear" w:color="auto" w:fill="EEF2F8"/>
          </w:tcPr>
          <w:p>
            <w:pPr>
              <w:spacing w:before="40" w:after="40"/>
            </w:pPr>
            <w:r>
              <w:rPr>
                <w:rFonts w:ascii="Calibri" w:cs="Calibri" w:eastAsia="Calibri" w:hAnsi="Calibri"/>
                <w:color w:val="000000"/>
                <w:sz w:val="16"/>
                <w:szCs w:val="16"/>
              </w:rPr>
              <w:t xml:space="preserve">A7A5 (Grinex/Meer, Kyrgyzstan) and any USD-denominated stablecoin used for Russia sanctions evasion becomes directly subject to Treasury enforcement once framework is effective. Task FinCEN to designate non-compliant foreign issuers.</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Anticipated 2026</w:t>
            </w:r>
          </w:p>
        </w:tc>
        <w:tc>
          <w:tcPr>
            <w:tcW w:type="dxa" w:w="4200"/>
            <w:shd w:val="clear" w:color="auto" w:fill="FFFFFF"/>
          </w:tcPr>
          <w:p>
            <w:pPr>
              <w:spacing w:before="40" w:after="40"/>
            </w:pPr>
            <w:r>
              <w:rPr>
                <w:rFonts w:ascii="Calibri" w:cs="Calibri" w:eastAsia="Calibri" w:hAnsi="Calibri"/>
                <w:color w:val="000000"/>
                <w:sz w:val="16"/>
                <w:szCs w:val="16"/>
              </w:rPr>
              <w:t xml:space="preserve">EU 20th sanctions package — preparations underway; speculation that Russian oil price cap enforcement and additional Chinese entity designations are primary targets.</w:t>
            </w:r>
          </w:p>
        </w:tc>
        <w:tc>
          <w:tcPr>
            <w:tcW w:type="dxa" w:w="2800"/>
            <w:shd w:val="clear" w:color="auto" w:fill="FFFFFF"/>
          </w:tcPr>
          <w:p>
            <w:pPr>
              <w:spacing w:before="40" w:after="40"/>
            </w:pPr>
            <w:r>
              <w:rPr>
                <w:rFonts w:ascii="Calibri" w:cs="Calibri" w:eastAsia="Calibri" w:hAnsi="Calibri"/>
                <w:color w:val="000000"/>
                <w:sz w:val="16"/>
                <w:szCs w:val="16"/>
              </w:rPr>
              <w:t xml:space="preserve">EU Council — anticipated</w:t>
            </w:r>
          </w:p>
        </w:tc>
        <w:tc>
          <w:tcPr>
            <w:tcW w:type="dxa" w:w="4400"/>
            <w:shd w:val="clear" w:color="auto" w:fill="FFFFFF"/>
          </w:tcPr>
          <w:p>
            <w:pPr>
              <w:spacing w:before="40" w:after="40"/>
            </w:pPr>
            <w:r>
              <w:rPr>
                <w:rFonts w:ascii="Calibri" w:cs="Calibri" w:eastAsia="Calibri" w:hAnsi="Calibri"/>
                <w:color w:val="000000"/>
                <w:sz w:val="16"/>
                <w:szCs w:val="16"/>
              </w:rPr>
              <w:t xml:space="preserve">Monitor for CNPC/CNOOC secondary exposure triggers and expansion of Article 5aa transaction bans to additional state-owned energy companies.</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XVIII. General License Risk Matrix and Wind-Down Exposure</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This section catalogs the OFAC General Licenses most relevant to parties with residual Russia/China exposure in this network. GL status is as of March 2026. Wind-down licenses with elapsed deadlines are noted; continued reliance on elapsed GLs constitutes a sanctions violation. EO 14024 §11 secondary sanctions risk attaches to all blocked persons listed below.</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400"/>
        <w:gridCol w:w="1800"/>
        <w:gridCol w:w="5200"/>
      </w:tblGrid>
      <w:tr>
        <w:tc>
          <w:tcPr>
            <w:tcW w:type="dxa" w:w="1200"/>
            <w:shd w:val="clear" w:color="auto" w:fill="1C2B4A"/>
          </w:tcPr>
          <w:p>
            <w:pPr>
              <w:jc w:val="center"/>
            </w:pPr>
            <w:r>
              <w:rPr>
                <w:rFonts w:ascii="Calibri" w:cs="Calibri" w:eastAsia="Calibri" w:hAnsi="Calibri"/>
                <w:b/>
                <w:bCs/>
                <w:color w:val="FFFFFF"/>
                <w:sz w:val="16"/>
                <w:szCs w:val="16"/>
              </w:rPr>
              <w:t xml:space="preserve">GL / AUTHORITY</w:t>
            </w:r>
          </w:p>
        </w:tc>
        <w:tc>
          <w:tcPr>
            <w:tcW w:type="dxa" w:w="3600"/>
            <w:shd w:val="clear" w:color="auto" w:fill="1C2B4A"/>
          </w:tcPr>
          <w:p>
            <w:pPr>
              <w:jc w:val="center"/>
            </w:pPr>
            <w:r>
              <w:rPr>
                <w:rFonts w:ascii="Calibri" w:cs="Calibri" w:eastAsia="Calibri" w:hAnsi="Calibri"/>
                <w:b/>
                <w:bCs/>
                <w:color w:val="FFFFFF"/>
                <w:sz w:val="16"/>
                <w:szCs w:val="16"/>
              </w:rPr>
              <w:t xml:space="preserve">SCOPE</w:t>
            </w:r>
          </w:p>
        </w:tc>
        <w:tc>
          <w:tcPr>
            <w:tcW w:type="dxa" w:w="1400"/>
            <w:shd w:val="clear" w:color="auto" w:fill="1C2B4A"/>
          </w:tcPr>
          <w:p>
            <w:pPr>
              <w:jc w:val="center"/>
            </w:pPr>
            <w:r>
              <w:rPr>
                <w:rFonts w:ascii="Calibri" w:cs="Calibri" w:eastAsia="Calibri" w:hAnsi="Calibri"/>
                <w:b/>
                <w:bCs/>
                <w:color w:val="FFFFFF"/>
                <w:sz w:val="16"/>
                <w:szCs w:val="16"/>
              </w:rPr>
              <w:t xml:space="preserve">STATUS</w:t>
            </w:r>
          </w:p>
        </w:tc>
        <w:tc>
          <w:tcPr>
            <w:tcW w:type="dxa" w:w="1800"/>
            <w:shd w:val="clear" w:color="auto" w:fill="1C2B4A"/>
          </w:tcPr>
          <w:p>
            <w:pPr>
              <w:jc w:val="center"/>
            </w:pPr>
            <w:r>
              <w:rPr>
                <w:rFonts w:ascii="Calibri" w:cs="Calibri" w:eastAsia="Calibri" w:hAnsi="Calibri"/>
                <w:b/>
                <w:bCs/>
                <w:color w:val="FFFFFF"/>
                <w:sz w:val="16"/>
                <w:szCs w:val="16"/>
              </w:rPr>
              <w:t xml:space="preserve">DEADLINE</w:t>
            </w:r>
          </w:p>
        </w:tc>
        <w:tc>
          <w:tcPr>
            <w:tcW w:type="dxa" w:w="5200"/>
            <w:shd w:val="clear" w:color="auto" w:fill="1C2B4A"/>
          </w:tcPr>
          <w:p>
            <w:pPr>
              <w:jc w:val="center"/>
            </w:pPr>
            <w:r>
              <w:rPr>
                <w:rFonts w:ascii="Calibri" w:cs="Calibri" w:eastAsia="Calibri" w:hAnsi="Calibri"/>
                <w:b/>
                <w:bCs/>
                <w:color w:val="FFFFFF"/>
                <w:sz w:val="16"/>
                <w:szCs w:val="16"/>
              </w:rPr>
              <w:t xml:space="preserve">NOTES</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GL 126</w:t>
            </w:r>
          </w:p>
        </w:tc>
        <w:tc>
          <w:tcPr>
            <w:tcW w:type="dxa" w:w="3600"/>
            <w:shd w:val="clear" w:color="auto" w:fill="EEF2F8"/>
          </w:tcPr>
          <w:p>
            <w:pPr>
              <w:spacing w:before="40" w:after="40"/>
            </w:pPr>
            <w:r>
              <w:rPr>
                <w:rFonts w:ascii="Calibri" w:cs="Calibri" w:eastAsia="Calibri" w:hAnsi="Calibri"/>
                <w:color w:val="000000"/>
                <w:sz w:val="16"/>
                <w:szCs w:val="16"/>
              </w:rPr>
              <w:t xml:space="preserve">Wind-down of transactions involving Rosneft, Lukoil and their majority-owned subsidiaries</w:t>
            </w:r>
          </w:p>
        </w:tc>
        <w:tc>
          <w:tcPr>
            <w:tcW w:type="dxa" w:w="1400"/>
            <w:shd w:val="clear" w:color="auto" w:fill="EEF2F8"/>
          </w:tcPr>
          <w:p>
            <w:pPr>
              <w:spacing w:before="40" w:after="40"/>
            </w:pPr>
            <w:r>
              <w:rPr>
                <w:rFonts w:ascii="Calibri" w:cs="Calibri" w:eastAsia="Calibri" w:hAnsi="Calibri"/>
                <w:b/>
                <w:bCs/>
                <w:color w:val="8B0000"/>
                <w:sz w:val="16"/>
                <w:szCs w:val="16"/>
              </w:rPr>
              <w:t xml:space="preserve">EXPIRED</w:t>
            </w:r>
          </w:p>
        </w:tc>
        <w:tc>
          <w:tcPr>
            <w:tcW w:type="dxa" w:w="1800"/>
            <w:shd w:val="clear" w:color="auto" w:fill="EEF2F8"/>
          </w:tcPr>
          <w:p>
            <w:pPr>
              <w:spacing w:before="40" w:after="40"/>
            </w:pPr>
            <w:r>
              <w:rPr>
                <w:rFonts w:ascii="Calibri" w:cs="Calibri" w:eastAsia="Calibri" w:hAnsi="Calibri"/>
                <w:color w:val="000000"/>
                <w:sz w:val="16"/>
                <w:szCs w:val="16"/>
              </w:rPr>
              <w:t xml:space="preserve">Nov 21 2025</w:t>
            </w:r>
          </w:p>
        </w:tc>
        <w:tc>
          <w:tcPr>
            <w:tcW w:type="dxa" w:w="5200"/>
            <w:shd w:val="clear" w:color="auto" w:fill="EEF2F8"/>
          </w:tcPr>
          <w:p>
            <w:pPr>
              <w:spacing w:before="40" w:after="40"/>
            </w:pPr>
            <w:r>
              <w:rPr>
                <w:rFonts w:ascii="Calibri" w:cs="Calibri" w:eastAsia="Calibri" w:hAnsi="Calibri"/>
                <w:color w:val="000000"/>
                <w:sz w:val="16"/>
                <w:szCs w:val="16"/>
              </w:rPr>
              <w:t xml:space="preserve">Expired. No extension issued. Full blocking now effective. Any post-expiry transactions require specific OFAC license.</w:t>
            </w:r>
          </w:p>
        </w:tc>
      </w:tr>
      <w:tr>
        <w:tc>
          <w:tcPr>
            <w:tcW w:type="dxa" w:w="1200"/>
            <w:shd w:val="clear" w:color="auto" w:fill="FFFFFF"/>
          </w:tcPr>
          <w:p>
            <w:pPr>
              <w:spacing w:before="40" w:after="40"/>
            </w:pPr>
            <w:r>
              <w:rPr>
                <w:rFonts w:ascii="Calibri" w:cs="Calibri" w:eastAsia="Calibri" w:hAnsi="Calibri"/>
                <w:b/>
                <w:bCs/>
                <w:color w:val="000000"/>
                <w:sz w:val="16"/>
                <w:szCs w:val="16"/>
              </w:rPr>
              <w:t xml:space="preserve">GL 127</w:t>
            </w:r>
          </w:p>
        </w:tc>
        <w:tc>
          <w:tcPr>
            <w:tcW w:type="dxa" w:w="3600"/>
            <w:shd w:val="clear" w:color="auto" w:fill="FFFFFF"/>
          </w:tcPr>
          <w:p>
            <w:pPr>
              <w:spacing w:before="40" w:after="40"/>
            </w:pPr>
            <w:r>
              <w:rPr>
                <w:rFonts w:ascii="Calibri" w:cs="Calibri" w:eastAsia="Calibri" w:hAnsi="Calibri"/>
                <w:color w:val="000000"/>
                <w:sz w:val="16"/>
                <w:szCs w:val="16"/>
              </w:rPr>
              <w:t xml:space="preserve">Divestment/transfer of debt or equity issued by Rosneft, Lukoil and subsidiaries</w:t>
            </w:r>
          </w:p>
        </w:tc>
        <w:tc>
          <w:tcPr>
            <w:tcW w:type="dxa" w:w="1400"/>
            <w:shd w:val="clear" w:color="auto" w:fill="FFFFFF"/>
          </w:tcPr>
          <w:p>
            <w:pPr>
              <w:spacing w:before="40" w:after="40"/>
            </w:pPr>
            <w:r>
              <w:rPr>
                <w:rFonts w:ascii="Calibri" w:cs="Calibri" w:eastAsia="Calibri" w:hAnsi="Calibri"/>
                <w:b/>
                <w:bCs/>
                <w:color w:val="8B0000"/>
                <w:sz w:val="16"/>
                <w:szCs w:val="16"/>
              </w:rPr>
              <w:t xml:space="preserve">EXPIRED</w:t>
            </w:r>
          </w:p>
        </w:tc>
        <w:tc>
          <w:tcPr>
            <w:tcW w:type="dxa" w:w="1800"/>
            <w:shd w:val="clear" w:color="auto" w:fill="FFFFFF"/>
          </w:tcPr>
          <w:p>
            <w:pPr>
              <w:spacing w:before="40" w:after="40"/>
            </w:pPr>
            <w:r>
              <w:rPr>
                <w:rFonts w:ascii="Calibri" w:cs="Calibri" w:eastAsia="Calibri" w:hAnsi="Calibri"/>
                <w:color w:val="000000"/>
                <w:sz w:val="16"/>
                <w:szCs w:val="16"/>
              </w:rPr>
              <w:t xml:space="preserve">Nov 21 2025</w:t>
            </w:r>
          </w:p>
        </w:tc>
        <w:tc>
          <w:tcPr>
            <w:tcW w:type="dxa" w:w="5200"/>
            <w:shd w:val="clear" w:color="auto" w:fill="FFFFFF"/>
          </w:tcPr>
          <w:p>
            <w:pPr>
              <w:spacing w:before="40" w:after="40"/>
            </w:pPr>
            <w:r>
              <w:rPr>
                <w:rFonts w:ascii="Calibri" w:cs="Calibri" w:eastAsia="Calibri" w:hAnsi="Calibri"/>
                <w:color w:val="000000"/>
                <w:sz w:val="16"/>
                <w:szCs w:val="16"/>
              </w:rPr>
              <w:t xml:space="preserve">Expired. Debt/equity positions in Rosneft or Lukoil must have been unwound or transferred to blocked accounts.</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GL 128</w:t>
            </w:r>
          </w:p>
        </w:tc>
        <w:tc>
          <w:tcPr>
            <w:tcW w:type="dxa" w:w="3600"/>
            <w:shd w:val="clear" w:color="auto" w:fill="EEF2F8"/>
          </w:tcPr>
          <w:p>
            <w:pPr>
              <w:spacing w:before="40" w:after="40"/>
            </w:pPr>
            <w:r>
              <w:rPr>
                <w:rFonts w:ascii="Calibri" w:cs="Calibri" w:eastAsia="Calibri" w:hAnsi="Calibri"/>
                <w:color w:val="000000"/>
                <w:sz w:val="16"/>
                <w:szCs w:val="16"/>
              </w:rPr>
              <w:t xml:space="preserve">Transactions involving Lukoil Retail service stations outside Russia</w:t>
            </w:r>
          </w:p>
        </w:tc>
        <w:tc>
          <w:tcPr>
            <w:tcW w:type="dxa" w:w="1400"/>
            <w:shd w:val="clear" w:color="auto" w:fill="EEF2F8"/>
          </w:tcPr>
          <w:p>
            <w:pPr>
              <w:spacing w:before="40" w:after="40"/>
            </w:pPr>
            <w:r>
              <w:rPr>
                <w:rFonts w:ascii="Calibri" w:cs="Calibri" w:eastAsia="Calibri" w:hAnsi="Calibri"/>
                <w:b/>
                <w:bCs/>
                <w:color w:val="8B0000"/>
                <w:sz w:val="16"/>
                <w:szCs w:val="16"/>
              </w:rPr>
              <w:t xml:space="preserve">EXPIRED</w:t>
            </w:r>
          </w:p>
        </w:tc>
        <w:tc>
          <w:tcPr>
            <w:tcW w:type="dxa" w:w="1800"/>
            <w:shd w:val="clear" w:color="auto" w:fill="EEF2F8"/>
          </w:tcPr>
          <w:p>
            <w:pPr>
              <w:spacing w:before="40" w:after="40"/>
            </w:pPr>
            <w:r>
              <w:rPr>
                <w:rFonts w:ascii="Calibri" w:cs="Calibri" w:eastAsia="Calibri" w:hAnsi="Calibri"/>
                <w:color w:val="000000"/>
                <w:sz w:val="16"/>
                <w:szCs w:val="16"/>
              </w:rPr>
              <w:t xml:space="preserve">Nov 21 2025</w:t>
            </w:r>
          </w:p>
        </w:tc>
        <w:tc>
          <w:tcPr>
            <w:tcW w:type="dxa" w:w="5200"/>
            <w:shd w:val="clear" w:color="auto" w:fill="EEF2F8"/>
          </w:tcPr>
          <w:p>
            <w:pPr>
              <w:spacing w:before="40" w:after="40"/>
            </w:pPr>
            <w:r>
              <w:rPr>
                <w:rFonts w:ascii="Calibri" w:cs="Calibri" w:eastAsia="Calibri" w:hAnsi="Calibri"/>
                <w:color w:val="000000"/>
                <w:sz w:val="16"/>
                <w:szCs w:val="16"/>
              </w:rPr>
              <w:t xml:space="preserve">Expired. Payments to Lukoil Retail stations were required to go into blocked accounts during wind-down.</w:t>
            </w:r>
          </w:p>
        </w:tc>
      </w:tr>
      <w:tr>
        <w:tc>
          <w:tcPr>
            <w:tcW w:type="dxa" w:w="1200"/>
            <w:shd w:val="clear" w:color="auto" w:fill="FFFFFF"/>
          </w:tcPr>
          <w:p>
            <w:pPr>
              <w:spacing w:before="40" w:after="40"/>
            </w:pPr>
            <w:r>
              <w:rPr>
                <w:rFonts w:ascii="Calibri" w:cs="Calibri" w:eastAsia="Calibri" w:hAnsi="Calibri"/>
                <w:b/>
                <w:bCs/>
                <w:color w:val="000000"/>
                <w:sz w:val="16"/>
                <w:szCs w:val="16"/>
              </w:rPr>
              <w:t xml:space="preserve">GL 129</w:t>
            </w:r>
          </w:p>
        </w:tc>
        <w:tc>
          <w:tcPr>
            <w:tcW w:type="dxa" w:w="3600"/>
            <w:shd w:val="clear" w:color="auto" w:fill="FFFFFF"/>
          </w:tcPr>
          <w:p>
            <w:pPr>
              <w:spacing w:before="40" w:after="40"/>
            </w:pPr>
            <w:r>
              <w:rPr>
                <w:rFonts w:ascii="Calibri" w:cs="Calibri" w:eastAsia="Calibri" w:hAnsi="Calibri"/>
                <w:color w:val="000000"/>
                <w:sz w:val="16"/>
                <w:szCs w:val="16"/>
              </w:rPr>
              <w:t xml:space="preserve">Transactions involving Rosneft Deutschland GmbH and RN Refining &amp; Marketing GmbH</w:t>
            </w:r>
          </w:p>
        </w:tc>
        <w:tc>
          <w:tcPr>
            <w:tcW w:type="dxa" w:w="1400"/>
            <w:shd w:val="clear" w:color="auto" w:fill="FFFFFF"/>
          </w:tcPr>
          <w:p>
            <w:pPr>
              <w:spacing w:before="40" w:after="40"/>
            </w:pPr>
            <w:r>
              <w:rPr>
                <w:rFonts w:ascii="Calibri" w:cs="Calibri" w:eastAsia="Calibri" w:hAnsi="Calibri"/>
                <w:b/>
                <w:bCs/>
                <w:color w:val="006400"/>
                <w:sz w:val="16"/>
                <w:szCs w:val="16"/>
              </w:rPr>
              <w:t xml:space="preserve">ACTIVE</w:t>
            </w:r>
          </w:p>
        </w:tc>
        <w:tc>
          <w:tcPr>
            <w:tcW w:type="dxa" w:w="1800"/>
            <w:shd w:val="clear" w:color="auto" w:fill="FFFFFF"/>
          </w:tcPr>
          <w:p>
            <w:pPr>
              <w:spacing w:before="40" w:after="40"/>
            </w:pPr>
            <w:r>
              <w:rPr>
                <w:rFonts w:ascii="Calibri" w:cs="Calibri" w:eastAsia="Calibri" w:hAnsi="Calibri"/>
                <w:color w:val="000000"/>
                <w:sz w:val="16"/>
                <w:szCs w:val="16"/>
              </w:rPr>
              <w:t xml:space="preserve">Apr 29 2026</w:t>
            </w:r>
          </w:p>
        </w:tc>
        <w:tc>
          <w:tcPr>
            <w:tcW w:type="dxa" w:w="5200"/>
            <w:shd w:val="clear" w:color="auto" w:fill="FFFFFF"/>
          </w:tcPr>
          <w:p>
            <w:pPr>
              <w:spacing w:before="40" w:after="40"/>
            </w:pPr>
            <w:r>
              <w:rPr>
                <w:rFonts w:ascii="Calibri" w:cs="Calibri" w:eastAsia="Calibri" w:hAnsi="Calibri"/>
                <w:color w:val="000000"/>
                <w:sz w:val="16"/>
                <w:szCs w:val="16"/>
              </w:rPr>
              <w:t xml:space="preserve">Narrowly scoped. Authorizes transactions necessary to maintain operations of these two German subsidiaries only. Does NOT extend to other Rosneft entities.</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GL 124A</w:t>
            </w:r>
          </w:p>
        </w:tc>
        <w:tc>
          <w:tcPr>
            <w:tcW w:type="dxa" w:w="3600"/>
            <w:shd w:val="clear" w:color="auto" w:fill="EEF2F8"/>
          </w:tcPr>
          <w:p>
            <w:pPr>
              <w:spacing w:before="40" w:after="40"/>
            </w:pPr>
            <w:r>
              <w:rPr>
                <w:rFonts w:ascii="Calibri" w:cs="Calibri" w:eastAsia="Calibri" w:hAnsi="Calibri"/>
                <w:color w:val="000000"/>
                <w:sz w:val="16"/>
                <w:szCs w:val="16"/>
              </w:rPr>
              <w:t xml:space="preserve">Petroleum services and transactions involving Rosneft/Lukoil for Caspian Pipeline Consortium (CPC) and Tengizchevroil (TCO) projects</w:t>
            </w:r>
          </w:p>
        </w:tc>
        <w:tc>
          <w:tcPr>
            <w:tcW w:type="dxa" w:w="1400"/>
            <w:shd w:val="clear" w:color="auto" w:fill="EEF2F8"/>
          </w:tcPr>
          <w:p>
            <w:pPr>
              <w:spacing w:before="40" w:after="40"/>
            </w:pPr>
            <w:r>
              <w:rPr>
                <w:rFonts w:ascii="Calibri" w:cs="Calibri" w:eastAsia="Calibri" w:hAnsi="Calibri"/>
                <w:b/>
                <w:bCs/>
                <w:color w:val="006400"/>
                <w:sz w:val="16"/>
                <w:szCs w:val="16"/>
              </w:rPr>
              <w:t xml:space="preserve">ACTIVE</w:t>
            </w:r>
          </w:p>
        </w:tc>
        <w:tc>
          <w:tcPr>
            <w:tcW w:type="dxa" w:w="1800"/>
            <w:shd w:val="clear" w:color="auto" w:fill="EEF2F8"/>
          </w:tcPr>
          <w:p>
            <w:pPr>
              <w:spacing w:before="40" w:after="40"/>
            </w:pPr>
            <w:r>
              <w:rPr>
                <w:rFonts w:ascii="Calibri" w:cs="Calibri" w:eastAsia="Calibri" w:hAnsi="Calibri"/>
                <w:color w:val="000000"/>
                <w:sz w:val="16"/>
                <w:szCs w:val="16"/>
              </w:rPr>
              <w:t xml:space="preserve">No stated expiry</w:t>
            </w:r>
          </w:p>
        </w:tc>
        <w:tc>
          <w:tcPr>
            <w:tcW w:type="dxa" w:w="5200"/>
            <w:shd w:val="clear" w:color="auto" w:fill="EEF2F8"/>
          </w:tcPr>
          <w:p>
            <w:pPr>
              <w:spacing w:before="40" w:after="40"/>
            </w:pPr>
            <w:r>
              <w:rPr>
                <w:rFonts w:ascii="Calibri" w:cs="Calibri" w:eastAsia="Calibri" w:hAnsi="Calibri"/>
                <w:color w:val="000000"/>
                <w:sz w:val="16"/>
                <w:szCs w:val="16"/>
              </w:rPr>
              <w:t xml:space="preserve">Critical carve-out for CPC and TCO. US and allied (Chevron, Shell legacy) interests in these projects depend on this license. Monitor for amendment/expiry as Ukraine negotiations evolve.</w:t>
            </w:r>
          </w:p>
        </w:tc>
      </w:tr>
      <w:tr>
        <w:tc>
          <w:tcPr>
            <w:tcW w:type="dxa" w:w="1200"/>
            <w:shd w:val="clear" w:color="auto" w:fill="FFFFFF"/>
          </w:tcPr>
          <w:p>
            <w:pPr>
              <w:spacing w:before="40" w:after="40"/>
            </w:pPr>
            <w:r>
              <w:rPr>
                <w:rFonts w:ascii="Calibri" w:cs="Calibri" w:eastAsia="Calibri" w:hAnsi="Calibri"/>
                <w:b/>
                <w:bCs/>
                <w:color w:val="000000"/>
                <w:sz w:val="16"/>
                <w:szCs w:val="16"/>
              </w:rPr>
              <w:t xml:space="preserve">GL 8L</w:t>
            </w:r>
          </w:p>
        </w:tc>
        <w:tc>
          <w:tcPr>
            <w:tcW w:type="dxa" w:w="3600"/>
            <w:shd w:val="clear" w:color="auto" w:fill="FFFFFF"/>
          </w:tcPr>
          <w:p>
            <w:pPr>
              <w:spacing w:before="40" w:after="40"/>
            </w:pPr>
            <w:r>
              <w:rPr>
                <w:rFonts w:ascii="Calibri" w:cs="Calibri" w:eastAsia="Calibri" w:hAnsi="Calibri"/>
                <w:color w:val="000000"/>
                <w:sz w:val="16"/>
                <w:szCs w:val="16"/>
              </w:rPr>
              <w:t xml:space="preserve">Energy-related transactions with certain blocked Russian financial institutions</w:t>
            </w:r>
          </w:p>
        </w:tc>
        <w:tc>
          <w:tcPr>
            <w:tcW w:type="dxa" w:w="1400"/>
            <w:shd w:val="clear" w:color="auto" w:fill="FFFFFF"/>
          </w:tcPr>
          <w:p>
            <w:pPr>
              <w:spacing w:before="40" w:after="40"/>
            </w:pPr>
            <w:r>
              <w:rPr>
                <w:rFonts w:ascii="Calibri" w:cs="Calibri" w:eastAsia="Calibri" w:hAnsi="Calibri"/>
                <w:b/>
                <w:bCs/>
                <w:color w:val="8B0000"/>
                <w:sz w:val="16"/>
                <w:szCs w:val="16"/>
              </w:rPr>
              <w:t xml:space="preserve">EXPIRED</w:t>
            </w:r>
          </w:p>
        </w:tc>
        <w:tc>
          <w:tcPr>
            <w:tcW w:type="dxa" w:w="1800"/>
            <w:shd w:val="clear" w:color="auto" w:fill="FFFFFF"/>
          </w:tcPr>
          <w:p>
            <w:pPr>
              <w:spacing w:before="40" w:after="40"/>
            </w:pPr>
            <w:r>
              <w:rPr>
                <w:rFonts w:ascii="Calibri" w:cs="Calibri" w:eastAsia="Calibri" w:hAnsi="Calibri"/>
                <w:color w:val="000000"/>
                <w:sz w:val="16"/>
                <w:szCs w:val="16"/>
              </w:rPr>
              <w:t xml:space="preserve">Mar 12 2025</w:t>
            </w:r>
          </w:p>
        </w:tc>
        <w:tc>
          <w:tcPr>
            <w:tcW w:type="dxa" w:w="5200"/>
            <w:shd w:val="clear" w:color="auto" w:fill="FFFFFF"/>
          </w:tcPr>
          <w:p>
            <w:pPr>
              <w:spacing w:before="40" w:after="40"/>
            </w:pPr>
            <w:r>
              <w:rPr>
                <w:rFonts w:ascii="Calibri" w:cs="Calibri" w:eastAsia="Calibri" w:hAnsi="Calibri"/>
                <w:color w:val="000000"/>
                <w:sz w:val="16"/>
                <w:szCs w:val="16"/>
              </w:rPr>
              <w:t xml:space="preserve">Converted to wind-down license Jan 10 2025; expired Mar 12 2025. Any entity that relied on GL 8L for energy transactions must have fully wound down by expiry.</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GL 55E</w:t>
            </w:r>
          </w:p>
        </w:tc>
        <w:tc>
          <w:tcPr>
            <w:tcW w:type="dxa" w:w="3600"/>
            <w:shd w:val="clear" w:color="auto" w:fill="EEF2F8"/>
          </w:tcPr>
          <w:p>
            <w:pPr>
              <w:spacing w:before="40" w:after="40"/>
            </w:pPr>
            <w:r>
              <w:rPr>
                <w:rFonts w:ascii="Calibri" w:cs="Calibri" w:eastAsia="Calibri" w:hAnsi="Calibri"/>
                <w:color w:val="000000"/>
                <w:sz w:val="16"/>
                <w:szCs w:val="16"/>
              </w:rPr>
              <w:t xml:space="preserve">Certain services related to Sakhalin-2 LNG project</w:t>
            </w:r>
          </w:p>
        </w:tc>
        <w:tc>
          <w:tcPr>
            <w:tcW w:type="dxa" w:w="1400"/>
            <w:shd w:val="clear" w:color="auto" w:fill="EEF2F8"/>
          </w:tcPr>
          <w:p>
            <w:pPr>
              <w:spacing w:before="40" w:after="40"/>
            </w:pPr>
            <w:r>
              <w:rPr>
                <w:rFonts w:ascii="Calibri" w:cs="Calibri" w:eastAsia="Calibri" w:hAnsi="Calibri"/>
                <w:b/>
                <w:bCs/>
                <w:color w:val="006400"/>
                <w:sz w:val="16"/>
                <w:szCs w:val="16"/>
              </w:rPr>
              <w:t xml:space="preserve">ACTIVE</w:t>
            </w:r>
          </w:p>
        </w:tc>
        <w:tc>
          <w:tcPr>
            <w:tcW w:type="dxa" w:w="1800"/>
            <w:shd w:val="clear" w:color="auto" w:fill="EEF2F8"/>
          </w:tcPr>
          <w:p>
            <w:pPr>
              <w:spacing w:before="40" w:after="40"/>
            </w:pPr>
            <w:r>
              <w:rPr>
                <w:rFonts w:ascii="Calibri" w:cs="Calibri" w:eastAsia="Calibri" w:hAnsi="Calibri"/>
                <w:color w:val="000000"/>
                <w:sz w:val="16"/>
                <w:szCs w:val="16"/>
              </w:rPr>
              <w:t xml:space="preserve">Dec 17 2025 (issued); check OFAC for current revision</w:t>
            </w:r>
          </w:p>
        </w:tc>
        <w:tc>
          <w:tcPr>
            <w:tcW w:type="dxa" w:w="5200"/>
            <w:shd w:val="clear" w:color="auto" w:fill="EEF2F8"/>
          </w:tcPr>
          <w:p>
            <w:pPr>
              <w:spacing w:before="40" w:after="40"/>
            </w:pPr>
            <w:r>
              <w:rPr>
                <w:rFonts w:ascii="Calibri" w:cs="Calibri" w:eastAsia="Calibri" w:hAnsi="Calibri"/>
                <w:color w:val="000000"/>
                <w:sz w:val="16"/>
                <w:szCs w:val="16"/>
              </w:rPr>
              <w:t xml:space="preserve">Allows limited services for Sakhalin-2 LNG. Shell departed; Mitsui and Mitsubishi retained minority stakes. Monitor for revision as EU LNG ban approaches.</w:t>
            </w:r>
          </w:p>
        </w:tc>
      </w:tr>
      <w:tr>
        <w:tc>
          <w:tcPr>
            <w:tcW w:type="dxa" w:w="1200"/>
            <w:shd w:val="clear" w:color="auto" w:fill="FFFFFF"/>
          </w:tcPr>
          <w:p>
            <w:pPr>
              <w:spacing w:before="40" w:after="40"/>
            </w:pPr>
            <w:r>
              <w:rPr>
                <w:rFonts w:ascii="Calibri" w:cs="Calibri" w:eastAsia="Calibri" w:hAnsi="Calibri"/>
                <w:b/>
                <w:bCs/>
                <w:color w:val="000000"/>
                <w:sz w:val="16"/>
                <w:szCs w:val="16"/>
              </w:rPr>
              <w:t xml:space="preserve">GL 13P</w:t>
            </w:r>
          </w:p>
        </w:tc>
        <w:tc>
          <w:tcPr>
            <w:tcW w:type="dxa" w:w="3600"/>
            <w:shd w:val="clear" w:color="auto" w:fill="FFFFFF"/>
          </w:tcPr>
          <w:p>
            <w:pPr>
              <w:spacing w:before="40" w:after="40"/>
            </w:pPr>
            <w:r>
              <w:rPr>
                <w:rFonts w:ascii="Calibri" w:cs="Calibri" w:eastAsia="Calibri" w:hAnsi="Calibri"/>
                <w:color w:val="000000"/>
                <w:sz w:val="16"/>
                <w:szCs w:val="16"/>
              </w:rPr>
              <w:t xml:space="preserve">Certain administrative transactions prohibited by Directive 4 under EO 14024</w:t>
            </w:r>
          </w:p>
        </w:tc>
        <w:tc>
          <w:tcPr>
            <w:tcW w:type="dxa" w:w="1400"/>
            <w:shd w:val="clear" w:color="auto" w:fill="FFFFFF"/>
          </w:tcPr>
          <w:p>
            <w:pPr>
              <w:spacing w:before="40" w:after="40"/>
            </w:pPr>
            <w:r>
              <w:rPr>
                <w:rFonts w:ascii="Calibri" w:cs="Calibri" w:eastAsia="Calibri" w:hAnsi="Calibri"/>
                <w:b/>
                <w:bCs/>
                <w:color w:val="006400"/>
                <w:sz w:val="16"/>
                <w:szCs w:val="16"/>
              </w:rPr>
              <w:t xml:space="preserve">ACTIVE</w:t>
            </w:r>
          </w:p>
        </w:tc>
        <w:tc>
          <w:tcPr>
            <w:tcW w:type="dxa" w:w="1800"/>
            <w:shd w:val="clear" w:color="auto" w:fill="FFFFFF"/>
          </w:tcPr>
          <w:p>
            <w:pPr>
              <w:spacing w:before="40" w:after="40"/>
            </w:pPr>
            <w:r>
              <w:rPr>
                <w:rFonts w:ascii="Calibri" w:cs="Calibri" w:eastAsia="Calibri" w:hAnsi="Calibri"/>
                <w:color w:val="000000"/>
                <w:sz w:val="16"/>
                <w:szCs w:val="16"/>
              </w:rPr>
              <w:t xml:space="preserve">Issued Jan 6 2026</w:t>
            </w:r>
          </w:p>
        </w:tc>
        <w:tc>
          <w:tcPr>
            <w:tcW w:type="dxa" w:w="5200"/>
            <w:shd w:val="clear" w:color="auto" w:fill="FFFFFF"/>
          </w:tcPr>
          <w:p>
            <w:pPr>
              <w:spacing w:before="40" w:after="40"/>
            </w:pPr>
            <w:r>
              <w:rPr>
                <w:rFonts w:ascii="Calibri" w:cs="Calibri" w:eastAsia="Calibri" w:hAnsi="Calibri"/>
                <w:color w:val="000000"/>
                <w:sz w:val="16"/>
                <w:szCs w:val="16"/>
              </w:rPr>
              <w:t xml:space="preserve">Latest revision. Covers narrow administrative carve-outs for Directive 4 blocked entities. Financial institutions: review for compliance with updated scope.</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EO 14114 §11</w:t>
            </w:r>
          </w:p>
        </w:tc>
        <w:tc>
          <w:tcPr>
            <w:tcW w:type="dxa" w:w="3600"/>
            <w:shd w:val="clear" w:color="auto" w:fill="EEF2F8"/>
          </w:tcPr>
          <w:p>
            <w:pPr>
              <w:spacing w:before="40" w:after="40"/>
            </w:pPr>
            <w:r>
              <w:rPr>
                <w:rFonts w:ascii="Calibri" w:cs="Calibri" w:eastAsia="Calibri" w:hAnsi="Calibri"/>
                <w:color w:val="000000"/>
                <w:sz w:val="16"/>
                <w:szCs w:val="16"/>
              </w:rPr>
              <w:t xml:space="preserve">Secondary sanctions authority for FFIs facilitating significant transactions with any EO 14024-blocked person</w:t>
            </w:r>
          </w:p>
        </w:tc>
        <w:tc>
          <w:tcPr>
            <w:tcW w:type="dxa" w:w="1400"/>
            <w:shd w:val="clear" w:color="auto" w:fill="EEF2F8"/>
          </w:tcPr>
          <w:p>
            <w:pPr>
              <w:spacing w:before="40" w:after="40"/>
            </w:pPr>
            <w:r>
              <w:rPr>
                <w:rFonts w:ascii="Calibri" w:cs="Calibri" w:eastAsia="Calibri" w:hAnsi="Calibri"/>
                <w:b/>
                <w:bCs/>
                <w:color w:val="1C2B4A"/>
                <w:sz w:val="16"/>
                <w:szCs w:val="16"/>
              </w:rPr>
              <w:t xml:space="preserve">PERMANENT</w:t>
            </w:r>
          </w:p>
        </w:tc>
        <w:tc>
          <w:tcPr>
            <w:tcW w:type="dxa" w:w="1800"/>
            <w:shd w:val="clear" w:color="auto" w:fill="EEF2F8"/>
          </w:tcPr>
          <w:p>
            <w:pPr>
              <w:spacing w:before="40" w:after="40"/>
            </w:pPr>
            <w:r>
              <w:rPr>
                <w:rFonts w:ascii="Calibri" w:cs="Calibri" w:eastAsia="Calibri" w:hAnsi="Calibri"/>
                <w:color w:val="000000"/>
                <w:sz w:val="16"/>
                <w:szCs w:val="16"/>
              </w:rPr>
              <w:t xml:space="preserve">N/A — standing authority</w:t>
            </w:r>
          </w:p>
        </w:tc>
        <w:tc>
          <w:tcPr>
            <w:tcW w:type="dxa" w:w="5200"/>
            <w:shd w:val="clear" w:color="auto" w:fill="EEF2F8"/>
          </w:tcPr>
          <w:p>
            <w:pPr>
              <w:spacing w:before="40" w:after="40"/>
            </w:pPr>
            <w:r>
              <w:rPr>
                <w:rFonts w:ascii="Calibri" w:cs="Calibri" w:eastAsia="Calibri" w:hAnsi="Calibri"/>
                <w:color w:val="000000"/>
                <w:sz w:val="16"/>
                <w:szCs w:val="16"/>
              </w:rPr>
              <w:t xml:space="preserve">Not a GL — a standing sanctions authority. Any foreign financial institution (including Chinese, Turkish, UAE, Indian banks) that conducts or facilitates significant transactions involving Rosneft, Lukoil, Gazprom Neft, or any other blocked EO 14024 person runs risk of US SDN designation. This is the primary lever for Chinese bank deterrence.</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XIX. Legal Authority Reference — Complete Statutory and Regulatory Index</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This section provides a consolidated reference index of all legal authorities cited in this document, including enacted legislation, executive orders, EU regulations, and FATF/IMO frameworks. Intended as a quick-reference for legal review, designation package preparation, and secondary sanctions analysis. Authorities are current as of March 2026.</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400"/>
        <w:gridCol w:w="6000"/>
      </w:tblGrid>
      <w:tr>
        <w:tc>
          <w:tcPr>
            <w:tcW w:type="dxa" w:w="2400"/>
            <w:shd w:val="clear" w:color="auto" w:fill="1C2B4A"/>
          </w:tcPr>
          <w:p>
            <w:pPr>
              <w:jc w:val="center"/>
            </w:pPr>
            <w:r>
              <w:rPr>
                <w:rFonts w:ascii="Calibri" w:cs="Calibri" w:eastAsia="Calibri" w:hAnsi="Calibri"/>
                <w:b/>
                <w:bCs/>
                <w:color w:val="FFFFFF"/>
                <w:sz w:val="16"/>
                <w:szCs w:val="16"/>
              </w:rPr>
              <w:t xml:space="preserve">AUTHORITY</w:t>
            </w:r>
          </w:p>
        </w:tc>
        <w:tc>
          <w:tcPr>
            <w:tcW w:type="dxa" w:w="1400"/>
            <w:shd w:val="clear" w:color="auto" w:fill="1C2B4A"/>
          </w:tcPr>
          <w:p>
            <w:pPr>
              <w:jc w:val="center"/>
            </w:pPr>
            <w:r>
              <w:rPr>
                <w:rFonts w:ascii="Calibri" w:cs="Calibri" w:eastAsia="Calibri" w:hAnsi="Calibri"/>
                <w:b/>
                <w:bCs/>
                <w:color w:val="FFFFFF"/>
                <w:sz w:val="16"/>
                <w:szCs w:val="16"/>
              </w:rPr>
              <w:t xml:space="preserve">TYPE</w:t>
            </w:r>
          </w:p>
        </w:tc>
        <w:tc>
          <w:tcPr>
            <w:tcW w:type="dxa" w:w="3400"/>
            <w:shd w:val="clear" w:color="auto" w:fill="1C2B4A"/>
          </w:tcPr>
          <w:p>
            <w:pPr>
              <w:jc w:val="center"/>
            </w:pPr>
            <w:r>
              <w:rPr>
                <w:rFonts w:ascii="Calibri" w:cs="Calibri" w:eastAsia="Calibri" w:hAnsi="Calibri"/>
                <w:b/>
                <w:bCs/>
                <w:color w:val="FFFFFF"/>
                <w:sz w:val="16"/>
                <w:szCs w:val="16"/>
              </w:rPr>
              <w:t xml:space="preserve">SCOPE</w:t>
            </w:r>
          </w:p>
        </w:tc>
        <w:tc>
          <w:tcPr>
            <w:tcW w:type="dxa" w:w="6000"/>
            <w:shd w:val="clear" w:color="auto" w:fill="1C2B4A"/>
          </w:tcPr>
          <w:p>
            <w:pPr>
              <w:jc w:val="center"/>
            </w:pPr>
            <w:r>
              <w:rPr>
                <w:rFonts w:ascii="Calibri" w:cs="Calibri" w:eastAsia="Calibri" w:hAnsi="Calibri"/>
                <w:b/>
                <w:bCs/>
                <w:color w:val="FFFFFF"/>
                <w:sz w:val="16"/>
                <w:szCs w:val="16"/>
              </w:rPr>
              <w:t xml:space="preserve">KEY PROVISIONS FOR THIS NETWORK</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EO 14024 (Apr 15 2021, as amended by EO 14114 Dec 22 2023)</w:t>
            </w:r>
          </w:p>
        </w:tc>
        <w:tc>
          <w:tcPr>
            <w:tcW w:type="dxa" w:w="1400"/>
            <w:shd w:val="clear" w:color="auto" w:fill="EEF2F8"/>
          </w:tcPr>
          <w:p>
            <w:pPr>
              <w:spacing w:before="40" w:after="40"/>
            </w:pPr>
            <w:r>
              <w:rPr>
                <w:rFonts w:ascii="Calibri" w:cs="Calibri" w:eastAsia="Calibri" w:hAnsi="Calibri"/>
                <w:color w:val="000000"/>
                <w:sz w:val="16"/>
                <w:szCs w:val="16"/>
              </w:rPr>
              <w:t xml:space="preserve">US Executive Order</w:t>
            </w:r>
          </w:p>
        </w:tc>
        <w:tc>
          <w:tcPr>
            <w:tcW w:type="dxa" w:w="3400"/>
            <w:shd w:val="clear" w:color="auto" w:fill="EEF2F8"/>
          </w:tcPr>
          <w:p>
            <w:pPr>
              <w:spacing w:before="40" w:after="40"/>
            </w:pPr>
            <w:r>
              <w:rPr>
                <w:rFonts w:ascii="Calibri" w:cs="Calibri" w:eastAsia="Calibri" w:hAnsi="Calibri"/>
                <w:color w:val="000000"/>
                <w:sz w:val="16"/>
                <w:szCs w:val="16"/>
              </w:rPr>
              <w:t xml:space="preserve">Blocking sanctions against persons engaged in harmful foreign activities of Russian Federation. Broadest Russia sanctions authority.</w:t>
            </w:r>
          </w:p>
        </w:tc>
        <w:tc>
          <w:tcPr>
            <w:tcW w:type="dxa" w:w="6000"/>
            <w:shd w:val="clear" w:color="auto" w:fill="EEF2F8"/>
          </w:tcPr>
          <w:p>
            <w:pPr>
              <w:spacing w:before="40" w:after="40"/>
            </w:pPr>
            <w:r>
              <w:rPr>
                <w:rFonts w:ascii="Calibri" w:cs="Calibri" w:eastAsia="Calibri" w:hAnsi="Calibri"/>
                <w:color w:val="000000"/>
                <w:sz w:val="16"/>
                <w:szCs w:val="16"/>
              </w:rPr>
              <w:t xml:space="preserve">§1(a)(i): operates in Russian economy sector. §1(a)(iii): materially assists/provides support to designated persons. §11 (via EO 14114): secondary sanctions on FFIs for significant transactions with any blocked person. Energy sector determination (Jan 10 2025) expanded scope to all energy activities.</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EO 14114 (Dec 22 2023)</w:t>
            </w:r>
          </w:p>
        </w:tc>
        <w:tc>
          <w:tcPr>
            <w:tcW w:type="dxa" w:w="1400"/>
            <w:shd w:val="clear" w:color="auto" w:fill="FFFFFF"/>
          </w:tcPr>
          <w:p>
            <w:pPr>
              <w:spacing w:before="40" w:after="40"/>
            </w:pPr>
            <w:r>
              <w:rPr>
                <w:rFonts w:ascii="Calibri" w:cs="Calibri" w:eastAsia="Calibri" w:hAnsi="Calibri"/>
                <w:color w:val="000000"/>
                <w:sz w:val="16"/>
                <w:szCs w:val="16"/>
              </w:rPr>
              <w:t xml:space="preserve">US Executive Order</w:t>
            </w:r>
          </w:p>
        </w:tc>
        <w:tc>
          <w:tcPr>
            <w:tcW w:type="dxa" w:w="3400"/>
            <w:shd w:val="clear" w:color="auto" w:fill="FFFFFF"/>
          </w:tcPr>
          <w:p>
            <w:pPr>
              <w:spacing w:before="40" w:after="40"/>
            </w:pPr>
            <w:r>
              <w:rPr>
                <w:rFonts w:ascii="Calibri" w:cs="Calibri" w:eastAsia="Calibri" w:hAnsi="Calibri"/>
                <w:color w:val="000000"/>
                <w:sz w:val="16"/>
                <w:szCs w:val="16"/>
              </w:rPr>
              <w:t xml:space="preserve">Amends EO 14024 to add §11 FFI secondary sanctions authority.</w:t>
            </w:r>
          </w:p>
        </w:tc>
        <w:tc>
          <w:tcPr>
            <w:tcW w:type="dxa" w:w="6000"/>
            <w:shd w:val="clear" w:color="auto" w:fill="FFFFFF"/>
          </w:tcPr>
          <w:p>
            <w:pPr>
              <w:spacing w:before="40" w:after="40"/>
            </w:pPr>
            <w:r>
              <w:rPr>
                <w:rFonts w:ascii="Calibri" w:cs="Calibri" w:eastAsia="Calibri" w:hAnsi="Calibri"/>
                <w:color w:val="000000"/>
                <w:sz w:val="16"/>
                <w:szCs w:val="16"/>
              </w:rPr>
              <w:t xml:space="preserve">Authorizes OFAC to sanction foreign financial institutions (including Chinese, Turkish, Indian, UAE banks) that conduct or facilitate significant transactions involving Russia's military-industrial base — defined as all EO 14024-blocked persons. This is the primary deterrence instrument for Chinese bank pressure.</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EO 13662 / Directives 1–4</w:t>
            </w:r>
          </w:p>
        </w:tc>
        <w:tc>
          <w:tcPr>
            <w:tcW w:type="dxa" w:w="1400"/>
            <w:shd w:val="clear" w:color="auto" w:fill="EEF2F8"/>
          </w:tcPr>
          <w:p>
            <w:pPr>
              <w:spacing w:before="40" w:after="40"/>
            </w:pPr>
            <w:r>
              <w:rPr>
                <w:rFonts w:ascii="Calibri" w:cs="Calibri" w:eastAsia="Calibri" w:hAnsi="Calibri"/>
                <w:color w:val="000000"/>
                <w:sz w:val="16"/>
                <w:szCs w:val="16"/>
              </w:rPr>
              <w:t xml:space="preserve">US Executive Order + Directives</w:t>
            </w:r>
          </w:p>
        </w:tc>
        <w:tc>
          <w:tcPr>
            <w:tcW w:type="dxa" w:w="3400"/>
            <w:shd w:val="clear" w:color="auto" w:fill="EEF2F8"/>
          </w:tcPr>
          <w:p>
            <w:pPr>
              <w:spacing w:before="40" w:after="40"/>
            </w:pPr>
            <w:r>
              <w:rPr>
                <w:rFonts w:ascii="Calibri" w:cs="Calibri" w:eastAsia="Calibri" w:hAnsi="Calibri"/>
                <w:color w:val="000000"/>
                <w:sz w:val="16"/>
                <w:szCs w:val="16"/>
              </w:rPr>
              <w:t xml:space="preserve">Sectoral sanctions targeting specific Russian industries. Predates EO 14024.</w:t>
            </w:r>
          </w:p>
        </w:tc>
        <w:tc>
          <w:tcPr>
            <w:tcW w:type="dxa" w:w="6000"/>
            <w:shd w:val="clear" w:color="auto" w:fill="EEF2F8"/>
          </w:tcPr>
          <w:p>
            <w:pPr>
              <w:spacing w:before="40" w:after="40"/>
            </w:pPr>
            <w:r>
              <w:rPr>
                <w:rFonts w:ascii="Calibri" w:cs="Calibri" w:eastAsia="Calibri" w:hAnsi="Calibri"/>
                <w:color w:val="000000"/>
                <w:sz w:val="16"/>
                <w:szCs w:val="16"/>
              </w:rPr>
              <w:t xml:space="preserve">Directive 2: debt/equity restrictions (now largely superseded by full blocking of Rosneft/Lukoil). Directive 4: prohibits US persons from providing goods/services/technology to deepwater, Arctic offshore, or shale projects with specific Russian entities. Rosneft Deutschland still covered by Directive 4 exception under GL 129.</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EO 13382 (Jun 28 2005)</w:t>
            </w:r>
          </w:p>
        </w:tc>
        <w:tc>
          <w:tcPr>
            <w:tcW w:type="dxa" w:w="1400"/>
            <w:shd w:val="clear" w:color="auto" w:fill="FFFFFF"/>
          </w:tcPr>
          <w:p>
            <w:pPr>
              <w:spacing w:before="40" w:after="40"/>
            </w:pPr>
            <w:r>
              <w:rPr>
                <w:rFonts w:ascii="Calibri" w:cs="Calibri" w:eastAsia="Calibri" w:hAnsi="Calibri"/>
                <w:color w:val="000000"/>
                <w:sz w:val="16"/>
                <w:szCs w:val="16"/>
              </w:rPr>
              <w:t xml:space="preserve">US Executive Order</w:t>
            </w:r>
          </w:p>
        </w:tc>
        <w:tc>
          <w:tcPr>
            <w:tcW w:type="dxa" w:w="3400"/>
            <w:shd w:val="clear" w:color="auto" w:fill="FFFFFF"/>
          </w:tcPr>
          <w:p>
            <w:pPr>
              <w:spacing w:before="40" w:after="40"/>
            </w:pPr>
            <w:r>
              <w:rPr>
                <w:rFonts w:ascii="Calibri" w:cs="Calibri" w:eastAsia="Calibri" w:hAnsi="Calibri"/>
                <w:color w:val="000000"/>
                <w:sz w:val="16"/>
                <w:szCs w:val="16"/>
              </w:rPr>
              <w:t xml:space="preserve">WMD proliferators and their supporters.</w:t>
            </w:r>
          </w:p>
        </w:tc>
        <w:tc>
          <w:tcPr>
            <w:tcW w:type="dxa" w:w="6000"/>
            <w:shd w:val="clear" w:color="auto" w:fill="FFFFFF"/>
          </w:tcPr>
          <w:p>
            <w:pPr>
              <w:spacing w:before="40" w:after="40"/>
            </w:pPr>
            <w:r>
              <w:rPr>
                <w:rFonts w:ascii="Calibri" w:cs="Calibri" w:eastAsia="Calibri" w:hAnsi="Calibri"/>
                <w:color w:val="000000"/>
                <w:sz w:val="16"/>
                <w:szCs w:val="16"/>
              </w:rPr>
              <w:t xml:space="preserve">Primary authority for targeting Rosatom/TVEL (nuclear fuel supply chain for Tianwan/Xudapu NPPs). Requires NNSA proliferation nexus determination for TVEL designation. Independent of EO 14024 Ukraine/Russia nexus.</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EO 13694 as amended (Apr 1 2015; further amended EO 14306 Jun 6 2025)</w:t>
            </w:r>
          </w:p>
        </w:tc>
        <w:tc>
          <w:tcPr>
            <w:tcW w:type="dxa" w:w="1400"/>
            <w:shd w:val="clear" w:color="auto" w:fill="EEF2F8"/>
          </w:tcPr>
          <w:p>
            <w:pPr>
              <w:spacing w:before="40" w:after="40"/>
            </w:pPr>
            <w:r>
              <w:rPr>
                <w:rFonts w:ascii="Calibri" w:cs="Calibri" w:eastAsia="Calibri" w:hAnsi="Calibri"/>
                <w:color w:val="000000"/>
                <w:sz w:val="16"/>
                <w:szCs w:val="16"/>
              </w:rPr>
              <w:t xml:space="preserve">US Executive Order</w:t>
            </w:r>
          </w:p>
        </w:tc>
        <w:tc>
          <w:tcPr>
            <w:tcW w:type="dxa" w:w="3400"/>
            <w:shd w:val="clear" w:color="auto" w:fill="EEF2F8"/>
          </w:tcPr>
          <w:p>
            <w:pPr>
              <w:spacing w:before="40" w:after="40"/>
            </w:pPr>
            <w:r>
              <w:rPr>
                <w:rFonts w:ascii="Calibri" w:cs="Calibri" w:eastAsia="Calibri" w:hAnsi="Calibri"/>
                <w:color w:val="000000"/>
                <w:sz w:val="16"/>
                <w:szCs w:val="16"/>
              </w:rPr>
              <w:t xml:space="preserve">Cyber-enabled malicious activities sanctions authority.</w:t>
            </w:r>
          </w:p>
        </w:tc>
        <w:tc>
          <w:tcPr>
            <w:tcW w:type="dxa" w:w="6000"/>
            <w:shd w:val="clear" w:color="auto" w:fill="EEF2F8"/>
          </w:tcPr>
          <w:p>
            <w:pPr>
              <w:spacing w:before="40" w:after="40"/>
            </w:pPr>
            <w:r>
              <w:rPr>
                <w:rFonts w:ascii="Calibri" w:cs="Calibri" w:eastAsia="Calibri" w:hAnsi="Calibri"/>
                <w:color w:val="000000"/>
                <w:sz w:val="16"/>
                <w:szCs w:val="16"/>
              </w:rPr>
              <w:t xml:space="preserve">Relevant for Aeza Group / Media Land bulletproof hosting infrastructure. §1(a)(iii)(F): leaders/officials of designated cyber entities. EO 14306 (Jun 6 2025) is the current operative amendment — note this is post-publication for this index.</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EO 14071 (Apr 6 2022)</w:t>
            </w:r>
          </w:p>
        </w:tc>
        <w:tc>
          <w:tcPr>
            <w:tcW w:type="dxa" w:w="1400"/>
            <w:shd w:val="clear" w:color="auto" w:fill="FFFFFF"/>
          </w:tcPr>
          <w:p>
            <w:pPr>
              <w:spacing w:before="40" w:after="40"/>
            </w:pPr>
            <w:r>
              <w:rPr>
                <w:rFonts w:ascii="Calibri" w:cs="Calibri" w:eastAsia="Calibri" w:hAnsi="Calibri"/>
                <w:color w:val="000000"/>
                <w:sz w:val="16"/>
                <w:szCs w:val="16"/>
              </w:rPr>
              <w:t xml:space="preserve">US Executive Order</w:t>
            </w:r>
          </w:p>
        </w:tc>
        <w:tc>
          <w:tcPr>
            <w:tcW w:type="dxa" w:w="3400"/>
            <w:shd w:val="clear" w:color="auto" w:fill="FFFFFF"/>
          </w:tcPr>
          <w:p>
            <w:pPr>
              <w:spacing w:before="40" w:after="40"/>
            </w:pPr>
            <w:r>
              <w:rPr>
                <w:rFonts w:ascii="Calibri" w:cs="Calibri" w:eastAsia="Calibri" w:hAnsi="Calibri"/>
                <w:color w:val="000000"/>
                <w:sz w:val="16"/>
                <w:szCs w:val="16"/>
              </w:rPr>
              <w:t xml:space="preserve">Prohibits new investment in and certain services to the Russian Federation.</w:t>
            </w:r>
          </w:p>
        </w:tc>
        <w:tc>
          <w:tcPr>
            <w:tcW w:type="dxa" w:w="6000"/>
            <w:shd w:val="clear" w:color="auto" w:fill="FFFFFF"/>
          </w:tcPr>
          <w:p>
            <w:pPr>
              <w:spacing w:before="40" w:after="40"/>
            </w:pPr>
            <w:r>
              <w:rPr>
                <w:rFonts w:ascii="Calibri" w:cs="Calibri" w:eastAsia="Calibri" w:hAnsi="Calibri"/>
                <w:color w:val="000000"/>
                <w:sz w:val="16"/>
                <w:szCs w:val="16"/>
              </w:rPr>
              <w:t xml:space="preserve">§1(a)(ii) determination (Feb 27 2025): Prohibition on Petroleum Services — US persons prohibited from providing petroleum services to persons located in Russia. Directly relevant to oilfield services, pipeline maintenance contractors. Independent petroleum services ban operating alongside EO 14024 energy sector designation.</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CAATSA §226 (Pub.L. 115-44, Aug 2 2017)</w:t>
            </w:r>
          </w:p>
        </w:tc>
        <w:tc>
          <w:tcPr>
            <w:tcW w:type="dxa" w:w="1400"/>
            <w:shd w:val="clear" w:color="auto" w:fill="EEF2F8"/>
          </w:tcPr>
          <w:p>
            <w:pPr>
              <w:spacing w:before="40" w:after="40"/>
            </w:pPr>
            <w:r>
              <w:rPr>
                <w:rFonts w:ascii="Calibri" w:cs="Calibri" w:eastAsia="Calibri" w:hAnsi="Calibri"/>
                <w:color w:val="000000"/>
                <w:sz w:val="16"/>
                <w:szCs w:val="16"/>
              </w:rPr>
              <w:t xml:space="preserve">US Statute</w:t>
            </w:r>
          </w:p>
        </w:tc>
        <w:tc>
          <w:tcPr>
            <w:tcW w:type="dxa" w:w="3400"/>
            <w:shd w:val="clear" w:color="auto" w:fill="EEF2F8"/>
          </w:tcPr>
          <w:p>
            <w:pPr>
              <w:spacing w:before="40" w:after="40"/>
            </w:pPr>
            <w:r>
              <w:rPr>
                <w:rFonts w:ascii="Calibri" w:cs="Calibri" w:eastAsia="Calibri" w:hAnsi="Calibri"/>
                <w:color w:val="000000"/>
                <w:sz w:val="16"/>
                <w:szCs w:val="16"/>
              </w:rPr>
              <w:t xml:space="preserve">Countering America's Adversaries Through Sanctions Act, §226: secondary sanctions on foreign financial institutions.</w:t>
            </w:r>
          </w:p>
        </w:tc>
        <w:tc>
          <w:tcPr>
            <w:tcW w:type="dxa" w:w="6000"/>
            <w:shd w:val="clear" w:color="auto" w:fill="EEF2F8"/>
          </w:tcPr>
          <w:p>
            <w:pPr>
              <w:spacing w:before="40" w:after="40"/>
            </w:pPr>
            <w:r>
              <w:rPr>
                <w:rFonts w:ascii="Calibri" w:cs="Calibri" w:eastAsia="Calibri" w:hAnsi="Calibri"/>
                <w:color w:val="000000"/>
                <w:sz w:val="16"/>
                <w:szCs w:val="16"/>
              </w:rPr>
              <w:t xml:space="preserve">Authorizes designation of FFIs providing significant financial services to Russian defense/intelligence sectors. Used here for: Aifory Pro UAE/Turkish correspondent banks; Grinex/Meer Kyrgyz FFI network (Keremet Bank, Capital Bank). Operates alongside IEEPA/EO 14024 for financial institution targeting.</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IEEPA (50 U.S.C. §§ 1701–1708)</w:t>
            </w:r>
          </w:p>
        </w:tc>
        <w:tc>
          <w:tcPr>
            <w:tcW w:type="dxa" w:w="1400"/>
            <w:shd w:val="clear" w:color="auto" w:fill="FFFFFF"/>
          </w:tcPr>
          <w:p>
            <w:pPr>
              <w:spacing w:before="40" w:after="40"/>
            </w:pPr>
            <w:r>
              <w:rPr>
                <w:rFonts w:ascii="Calibri" w:cs="Calibri" w:eastAsia="Calibri" w:hAnsi="Calibri"/>
                <w:color w:val="000000"/>
                <w:sz w:val="16"/>
                <w:szCs w:val="16"/>
              </w:rPr>
              <w:t xml:space="preserve">US Statute</w:t>
            </w:r>
          </w:p>
        </w:tc>
        <w:tc>
          <w:tcPr>
            <w:tcW w:type="dxa" w:w="3400"/>
            <w:shd w:val="clear" w:color="auto" w:fill="FFFFFF"/>
          </w:tcPr>
          <w:p>
            <w:pPr>
              <w:spacing w:before="40" w:after="40"/>
            </w:pPr>
            <w:r>
              <w:rPr>
                <w:rFonts w:ascii="Calibri" w:cs="Calibri" w:eastAsia="Calibri" w:hAnsi="Calibri"/>
                <w:color w:val="000000"/>
                <w:sz w:val="16"/>
                <w:szCs w:val="16"/>
              </w:rPr>
              <w:t xml:space="preserve">International Emergency Economic Powers Act — authority underlying all EOs above.</w:t>
            </w:r>
          </w:p>
        </w:tc>
        <w:tc>
          <w:tcPr>
            <w:tcW w:type="dxa" w:w="6000"/>
            <w:shd w:val="clear" w:color="auto" w:fill="FFFFFF"/>
          </w:tcPr>
          <w:p>
            <w:pPr>
              <w:spacing w:before="40" w:after="40"/>
            </w:pPr>
            <w:r>
              <w:rPr>
                <w:rFonts w:ascii="Calibri" w:cs="Calibri" w:eastAsia="Calibri" w:hAnsi="Calibri"/>
                <w:color w:val="000000"/>
                <w:sz w:val="16"/>
                <w:szCs w:val="16"/>
              </w:rPr>
              <w:t xml:space="preserve">§1702: President's broad blocking authority. Relevant for Aeza Group / Media Land de-peering orders (ISP-level sanctions, not just entity designation). IEEPA allows targeting of infrastructure-level nodes (ASNs, hosting networks) beyond individual entity designation.</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GENIUS Act (S.1582, signed Jul 18 2025)</w:t>
            </w:r>
          </w:p>
        </w:tc>
        <w:tc>
          <w:tcPr>
            <w:tcW w:type="dxa" w:w="1400"/>
            <w:shd w:val="clear" w:color="auto" w:fill="EEF2F8"/>
          </w:tcPr>
          <w:p>
            <w:pPr>
              <w:spacing w:before="40" w:after="40"/>
            </w:pPr>
            <w:r>
              <w:rPr>
                <w:rFonts w:ascii="Calibri" w:cs="Calibri" w:eastAsia="Calibri" w:hAnsi="Calibri"/>
                <w:color w:val="000000"/>
                <w:sz w:val="16"/>
                <w:szCs w:val="16"/>
              </w:rPr>
              <w:t xml:space="preserve">US Statute</w:t>
            </w:r>
          </w:p>
        </w:tc>
        <w:tc>
          <w:tcPr>
            <w:tcW w:type="dxa" w:w="3400"/>
            <w:shd w:val="clear" w:color="auto" w:fill="EEF2F8"/>
          </w:tcPr>
          <w:p>
            <w:pPr>
              <w:spacing w:before="40" w:after="40"/>
            </w:pPr>
            <w:r>
              <w:rPr>
                <w:rFonts w:ascii="Calibri" w:cs="Calibri" w:eastAsia="Calibri" w:hAnsi="Calibri"/>
                <w:color w:val="000000"/>
                <w:sz w:val="16"/>
                <w:szCs w:val="16"/>
              </w:rPr>
              <w:t xml:space="preserve">Federal stablecoin regulatory framework.</w:t>
            </w:r>
          </w:p>
        </w:tc>
        <w:tc>
          <w:tcPr>
            <w:tcW w:type="dxa" w:w="6000"/>
            <w:shd w:val="clear" w:color="auto" w:fill="EEF2F8"/>
          </w:tcPr>
          <w:p>
            <w:pPr>
              <w:spacing w:before="40" w:after="40"/>
            </w:pPr>
            <w:r>
              <w:rPr>
                <w:rFonts w:ascii="Calibri" w:cs="Calibri" w:eastAsia="Calibri" w:hAnsi="Calibri"/>
                <w:color w:val="000000"/>
                <w:sz w:val="16"/>
                <w:szCs w:val="16"/>
              </w:rPr>
              <w:t xml:space="preserve">§4(a)(5)(A): Treats permitted payment stablecoin issuers as financial institutions under BSA — mandatory AML/CFT, sanctions screening, customer identification. §4(a)(5)(B): All issuers must maintain technical capability to seize, freeze, or burn stablecoins on lawful order. §18: Foreign issuers (including A7A5/Grinex-Meer) operating in sanctions-listed jurisdictions are prohibited. Treasury Secretary may designate non-compliant foreign issuers and bar US platforms from facilitating secondary trading of their tokens. Full implementation ~Jan 2027.</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Bank Secrecy Act (31 U.S.C. §§ 5311–5336)</w:t>
            </w:r>
          </w:p>
        </w:tc>
        <w:tc>
          <w:tcPr>
            <w:tcW w:type="dxa" w:w="1400"/>
            <w:shd w:val="clear" w:color="auto" w:fill="FFFFFF"/>
          </w:tcPr>
          <w:p>
            <w:pPr>
              <w:spacing w:before="40" w:after="40"/>
            </w:pPr>
            <w:r>
              <w:rPr>
                <w:rFonts w:ascii="Calibri" w:cs="Calibri" w:eastAsia="Calibri" w:hAnsi="Calibri"/>
                <w:color w:val="000000"/>
                <w:sz w:val="16"/>
                <w:szCs w:val="16"/>
              </w:rPr>
              <w:t xml:space="preserve">US Statute</w:t>
            </w:r>
          </w:p>
        </w:tc>
        <w:tc>
          <w:tcPr>
            <w:tcW w:type="dxa" w:w="3400"/>
            <w:shd w:val="clear" w:color="auto" w:fill="FFFFFF"/>
          </w:tcPr>
          <w:p>
            <w:pPr>
              <w:spacing w:before="40" w:after="40"/>
            </w:pPr>
            <w:r>
              <w:rPr>
                <w:rFonts w:ascii="Calibri" w:cs="Calibri" w:eastAsia="Calibri" w:hAnsi="Calibri"/>
                <w:color w:val="000000"/>
                <w:sz w:val="16"/>
                <w:szCs w:val="16"/>
              </w:rPr>
              <w:t xml:space="preserve">Anti-money laundering framework for financial institutions.</w:t>
            </w:r>
          </w:p>
        </w:tc>
        <w:tc>
          <w:tcPr>
            <w:tcW w:type="dxa" w:w="6000"/>
            <w:shd w:val="clear" w:color="auto" w:fill="FFFFFF"/>
          </w:tcPr>
          <w:p>
            <w:pPr>
              <w:spacing w:before="40" w:after="40"/>
            </w:pPr>
            <w:r>
              <w:rPr>
                <w:rFonts w:ascii="Calibri" w:cs="Calibri" w:eastAsia="Calibri" w:hAnsi="Calibri"/>
                <w:color w:val="000000"/>
                <w:sz w:val="16"/>
                <w:szCs w:val="16"/>
              </w:rPr>
              <w:t xml:space="preserve">GENIUS Act §4 treatment makes stablecoin issuers subject to full BSA obligations. FinCEN task order to Kyrgyz FIU (for Grinex/Meer) flows through bilateral AML cooperation, not BSA directly — but BSA suspicious activity reporting by US-nexus counterparties triggers FinCEN investigation authority.</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EU Regulation 833/2014 (as amended through 19th package, Oct 23 2025)</w:t>
            </w:r>
          </w:p>
        </w:tc>
        <w:tc>
          <w:tcPr>
            <w:tcW w:type="dxa" w:w="1400"/>
            <w:shd w:val="clear" w:color="auto" w:fill="EEF2F8"/>
          </w:tcPr>
          <w:p>
            <w:pPr>
              <w:spacing w:before="40" w:after="40"/>
            </w:pPr>
            <w:r>
              <w:rPr>
                <w:rFonts w:ascii="Calibri" w:cs="Calibri" w:eastAsia="Calibri" w:hAnsi="Calibri"/>
                <w:color w:val="000000"/>
                <w:sz w:val="16"/>
                <w:szCs w:val="16"/>
              </w:rPr>
              <w:t xml:space="preserve">EU Regulation</w:t>
            </w:r>
          </w:p>
        </w:tc>
        <w:tc>
          <w:tcPr>
            <w:tcW w:type="dxa" w:w="3400"/>
            <w:shd w:val="clear" w:color="auto" w:fill="EEF2F8"/>
          </w:tcPr>
          <w:p>
            <w:pPr>
              <w:spacing w:before="40" w:after="40"/>
            </w:pPr>
            <w:r>
              <w:rPr>
                <w:rFonts w:ascii="Calibri" w:cs="Calibri" w:eastAsia="Calibri" w:hAnsi="Calibri"/>
                <w:color w:val="000000"/>
                <w:sz w:val="16"/>
                <w:szCs w:val="16"/>
              </w:rPr>
              <w:t xml:space="preserve">Core EU Russia sectoral and asset-freeze sanctions regulation. Implements EU Council decisions.</w:t>
            </w:r>
          </w:p>
        </w:tc>
        <w:tc>
          <w:tcPr>
            <w:tcW w:type="dxa" w:w="6000"/>
            <w:shd w:val="clear" w:color="auto" w:fill="EEF2F8"/>
          </w:tcPr>
          <w:p>
            <w:pPr>
              <w:spacing w:before="40" w:after="40"/>
            </w:pPr>
            <w:r>
              <w:rPr>
                <w:rFonts w:ascii="Calibri" w:cs="Calibri" w:eastAsia="Calibri" w:hAnsi="Calibri"/>
                <w:color w:val="000000"/>
                <w:sz w:val="16"/>
                <w:szCs w:val="16"/>
              </w:rPr>
              <w:t xml:space="preserve">Art. 3m: LNG import ban (Apr 25 2026 short-term; Jan 1 2027 long-term). Art. 5aa: Transaction ban on Rosneft, Gazprom Neft (exemptions removed by 19th package). Art. 5ad: Crypto-asset service provider transaction ban (Annex XLV). Art. 5ae: Port infrastructure ban (now extendable to third-country ports). Art. 5af: SPFS/Mir/SBP payment messaging ban (effective Jan 25 2026). Art. 5ah: Special economic zone investment ban (Alabuga/Technopolis Moscow, effective Jan 25 2026). Annex XLII: Shadow fleet vessel list (557 vessels as of Oct 2025).</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EU Regulation 269/2014 (as amended)</w:t>
            </w:r>
          </w:p>
        </w:tc>
        <w:tc>
          <w:tcPr>
            <w:tcW w:type="dxa" w:w="1400"/>
            <w:shd w:val="clear" w:color="auto" w:fill="FFFFFF"/>
          </w:tcPr>
          <w:p>
            <w:pPr>
              <w:spacing w:before="40" w:after="40"/>
            </w:pPr>
            <w:r>
              <w:rPr>
                <w:rFonts w:ascii="Calibri" w:cs="Calibri" w:eastAsia="Calibri" w:hAnsi="Calibri"/>
                <w:color w:val="000000"/>
                <w:sz w:val="16"/>
                <w:szCs w:val="16"/>
              </w:rPr>
              <w:t xml:space="preserve">EU Regulation</w:t>
            </w:r>
          </w:p>
        </w:tc>
        <w:tc>
          <w:tcPr>
            <w:tcW w:type="dxa" w:w="3400"/>
            <w:shd w:val="clear" w:color="auto" w:fill="FFFFFF"/>
          </w:tcPr>
          <w:p>
            <w:pPr>
              <w:spacing w:before="40" w:after="40"/>
            </w:pPr>
            <w:r>
              <w:rPr>
                <w:rFonts w:ascii="Calibri" w:cs="Calibri" w:eastAsia="Calibri" w:hAnsi="Calibri"/>
                <w:color w:val="000000"/>
                <w:sz w:val="16"/>
                <w:szCs w:val="16"/>
              </w:rPr>
              <w:t xml:space="preserve">EU individual asset-freeze and travel ban sanctions — Ukraine/Russia context.</w:t>
            </w:r>
          </w:p>
        </w:tc>
        <w:tc>
          <w:tcPr>
            <w:tcW w:type="dxa" w:w="6000"/>
            <w:shd w:val="clear" w:color="auto" w:fill="FFFFFF"/>
          </w:tcPr>
          <w:p>
            <w:pPr>
              <w:spacing w:before="40" w:after="40"/>
            </w:pPr>
            <w:r>
              <w:rPr>
                <w:rFonts w:ascii="Calibri" w:cs="Calibri" w:eastAsia="Calibri" w:hAnsi="Calibri"/>
                <w:color w:val="000000"/>
                <w:sz w:val="16"/>
                <w:szCs w:val="16"/>
              </w:rPr>
              <w:t xml:space="preserve">Framework for individual designations. As of Oct 2025: 2,700+ individuals and entities listed. Relevant personal designations in this index: Timchenko, Sechin, Miller, Tokarev, Akimov (all designated). Mikhelson: NOT designated by EU as of March 2026 — gap confirmed.</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FATF Recommendation 16 (Wire Transfers) and R.15 (New Technologies)</w:t>
            </w:r>
          </w:p>
        </w:tc>
        <w:tc>
          <w:tcPr>
            <w:tcW w:type="dxa" w:w="1400"/>
            <w:shd w:val="clear" w:color="auto" w:fill="EEF2F8"/>
          </w:tcPr>
          <w:p>
            <w:pPr>
              <w:spacing w:before="40" w:after="40"/>
            </w:pPr>
            <w:r>
              <w:rPr>
                <w:rFonts w:ascii="Calibri" w:cs="Calibri" w:eastAsia="Calibri" w:hAnsi="Calibri"/>
                <w:color w:val="000000"/>
                <w:sz w:val="16"/>
                <w:szCs w:val="16"/>
              </w:rPr>
              <w:t xml:space="preserve">FATF Framework</w:t>
            </w:r>
          </w:p>
        </w:tc>
        <w:tc>
          <w:tcPr>
            <w:tcW w:type="dxa" w:w="3400"/>
            <w:shd w:val="clear" w:color="auto" w:fill="EEF2F8"/>
          </w:tcPr>
          <w:p>
            <w:pPr>
              <w:spacing w:before="40" w:after="40"/>
            </w:pPr>
            <w:r>
              <w:rPr>
                <w:rFonts w:ascii="Calibri" w:cs="Calibri" w:eastAsia="Calibri" w:hAnsi="Calibri"/>
                <w:color w:val="000000"/>
                <w:sz w:val="16"/>
                <w:szCs w:val="16"/>
              </w:rPr>
              <w:t xml:space="preserve">Financial Action Task Force — global AML/CFT standards.</w:t>
            </w:r>
          </w:p>
        </w:tc>
        <w:tc>
          <w:tcPr>
            <w:tcW w:type="dxa" w:w="6000"/>
            <w:shd w:val="clear" w:color="auto" w:fill="EEF2F8"/>
          </w:tcPr>
          <w:p>
            <w:pPr>
              <w:spacing w:before="40" w:after="40"/>
            </w:pPr>
            <w:r>
              <w:rPr>
                <w:rFonts w:ascii="Calibri" w:cs="Calibri" w:eastAsia="Calibri" w:hAnsi="Calibri"/>
                <w:color w:val="000000"/>
                <w:sz w:val="16"/>
                <w:szCs w:val="16"/>
              </w:rPr>
              <w:t xml:space="preserve">R.16 wire transfer transparency requirements apply to correspondent banking relationships with Russian FFIs — relevant for tracing Grinex/Meer USDT flows through Kyrgyz banks. R.15 requires VASP (Virtual Asset Service Provider) regulation — GENIUS Act implementation satisfies US R.15 obligations. FATF re-referral of Kyrgyzstan as a lever for Grinex/Meer disclosure is grounded in R.15/R.16 mutual evaluation process.</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IMO Resolution A.1192(33) — High-Risk Shipping Practices</w:t>
            </w:r>
          </w:p>
        </w:tc>
        <w:tc>
          <w:tcPr>
            <w:tcW w:type="dxa" w:w="1400"/>
            <w:shd w:val="clear" w:color="auto" w:fill="FFFFFF"/>
          </w:tcPr>
          <w:p>
            <w:pPr>
              <w:spacing w:before="40" w:after="40"/>
            </w:pPr>
            <w:r>
              <w:rPr>
                <w:rFonts w:ascii="Calibri" w:cs="Calibri" w:eastAsia="Calibri" w:hAnsi="Calibri"/>
                <w:color w:val="000000"/>
                <w:sz w:val="16"/>
                <w:szCs w:val="16"/>
              </w:rPr>
              <w:t xml:space="preserve">IMO Framework</w:t>
            </w:r>
          </w:p>
        </w:tc>
        <w:tc>
          <w:tcPr>
            <w:tcW w:type="dxa" w:w="3400"/>
            <w:shd w:val="clear" w:color="auto" w:fill="FFFFFF"/>
          </w:tcPr>
          <w:p>
            <w:pPr>
              <w:spacing w:before="40" w:after="40"/>
            </w:pPr>
            <w:r>
              <w:rPr>
                <w:rFonts w:ascii="Calibri" w:cs="Calibri" w:eastAsia="Calibri" w:hAnsi="Calibri"/>
                <w:color w:val="000000"/>
                <w:sz w:val="16"/>
                <w:szCs w:val="16"/>
              </w:rPr>
              <w:t xml:space="preserve">International Maritime Organization General Assembly resolution on irregular/high-risk shipping.</w:t>
            </w:r>
          </w:p>
        </w:tc>
        <w:tc>
          <w:tcPr>
            <w:tcW w:type="dxa" w:w="6000"/>
            <w:shd w:val="clear" w:color="auto" w:fill="FFFFFF"/>
          </w:tcPr>
          <w:p>
            <w:pPr>
              <w:spacing w:before="40" w:after="40"/>
            </w:pPr>
            <w:r>
              <w:rPr>
                <w:rFonts w:ascii="Calibri" w:cs="Calibri" w:eastAsia="Calibri" w:hAnsi="Calibri"/>
                <w:color w:val="000000"/>
                <w:sz w:val="16"/>
                <w:szCs w:val="16"/>
              </w:rPr>
              <w:t xml:space="preserve">EU 19th package codified this resolution as a shadow fleet designation criterion: vessels transporting Russian mineral products using practices listed in A.1192(33) (AIS manipulation, dark voyages, flag-hopping, ship-to-ship transfers in restricted areas) are now eligible for EU port ban and services ban. Applies to Arctic Metagas, Mires, Lynx, and newly flagged vessels.</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Sections XVI–XIX added March 2026 to reflect: (1) Rosneft/Lukoil full designation (Oct 22 2025); (2) EU 19th sanctions package (Oct 23 2025) including LNG ban and 557-vessel shadow fleet list; (3) GENIUS Act enactment (S.1582, Jul 18 2025) and full stablecoin BSA framework; (4) EO 14114 FFI secondary sanctions standing authority; (5) GL wind-down status through Apr 2026; (6) EU SPFS/Mir/SBP ban effective Jan 25 2026; (7) IMO A.1192(33) shadow fleet designation criterion.</w:t>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XX. Chinese Evasion Architecture — Dollar Re-Entry Points and Enforcement Theory</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Chinese state and private actors do not passively hold OFF-LIMITS status in this network — they actively operate the primary sanctions evasion architecture. This section maps the specific mechanisms by which dollar jurisdiction and SWIFT nexus re-enter the China-Russia transaction chain, and matches each re-entry point to the most viable enforcement theory. The structural problem is that tier-1 Chinese state banks (ICBC, BOC, CCB) have largely self-segmented from dollar-clearing on Russia transactions, deliberately staying below the 'significant transaction' threshold and outside dollar jurisdiction. Enforcement therefore targets the specific nodes where dollar nexus reattaches — and those nodes are identifiable and legally reachable.</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A. USDT/Stablecoin Layer — Primary Dollar Re-Entry Point</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Every conversion of yuan or rubles to USDT — whether through Hong Kong OTC desks, Binance P2P, or direct exchange — touches a dollar-denominated instrument issued by Tether (BVI/El Salvador registration). Post-GENIUS Act (S.1582, Jul 18 2025), Tether is now a financial institution under the BSA with mandatory sanctions screening and freeze/burn/seize obligations. A formal OFAC demand to Tether for wallet freeze on identified sanctioned addresses is legally grounded in a way it was not before July 2025. Tether has complied with prior OFAC requests; the GENIUS Act converts that voluntary compliance into a legal mandate. The mixing layer (cross-chain bridges, Tornado Cash successors) is harder but not opaque — TRM Labs and Chainalysis heuristic cluster analysis can attribute mixing outputs with sufficient confidence for a nexus determination. Post-GENIUS Act, the BSA paper trail that enables this attribution is now formally required to exist.</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B. Hong Kong OTC Cluster — Fiat Conversion Chokepoint</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Hong Kong OTC desks are the primary ruble/yuan-to-USDT-to-fiat conversion point at scale. These desks operate under HKMA VASP licensing (effective June 2023) and have compliance obligations under Hong Kong law. Direct US primary sanctions reach is limited for HK-domiciled entities with no US nexus, but correspondent banking pressure is highly effective: HSBC, Standard Chartered, and Hang Seng — the banks servicing these desks — all carry significant US dollar clearing exposure and are acutely sensitive to OFAC secondary sanctions risk. An OFAC advisory identifying specific HK OTC desks as high-risk, combined with informal communication to those banks' compliance functions, has historically produced faster results than formal designation at this tier. Two HK-based oil trading companies were added to EU transaction bans in the 19th package (Oct 2025) — this is the correct template and should be replicated at the OFAC level with the specific desks identified through TRM Labs blockchain analytics.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C. Crypto Index Products and Structured Exposure</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Several Hong Kong and Chinese-domiciled crypto funds offer index products with derivative exposure to Russian crypto mining output (BitRiver-adjacent) and to A7A5/USDT arbitrage strategies. These products avoid direct nexus by holding structured derivative exposure rather than sanctioned assets directly. The enforcement theory is EO 14024 §1(a)(iii): any person providing financial services that benefit a blocked person, even indirectly through structured products. OFAC applied this theory successfully against traditional finance structured products in the Venezuelan PDVSA bond cases. It has not been applied aggressively to crypto index products, but post-GENIUS Act BSA treatment creates the paper trail (mandatory transaction records, SAR obligations) that makes the nexus determination viable. Priority: identify HK-licensed fund managers with documented exposure to BitRiver compute output or A7A5 settlement flows; build EO 14024 §1(a)(iii) designation packages.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D. Yuan-Denominated Trade Finance — Hardest Layer</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COFCO, Sinograin, and Sinochem settle Russian commodity purchases in yuan through CIPS and the BRICS Bridge architecture — no dollar nexus by design. This is the highest-volume evasion channel and the hardest to reach with existing US authorities. The enforcement theory shifts from sanctions to trade law: Section 301 tariffs on goods with Russian-origin inputs, export control denial orders on dual-use goods flowing through the same commodity traders, and secondary sanctions on specific Chinese commodity trading subsidiaries that can be shown to be enabling Russian revenue generation. The EU designated one Chinese refinery and a large Chinese state-owned company in the 19th package as facilitating Russian oil trade — that is the operative template. The secondary sanctions theory against COFCO/Sinograin grain purchases from Zabaykalsk is the most aggressive and least-tested enforcement action in this document. It has not been attempted. It is legally available under EO 14024 §1(a)(iii) if transaction-level evidence of Russian-sanctioned-entity revenue benefit can be established.</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E. FinCEN Section 311 — Underused Jurisdictional Lever</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Section 311 of the USA PATRIOT Act (31 U.S.C. §5318A) authorizes FinCEN to designate a jurisdiction, institution, or class of transactions as a 'primary money laundering concern,' triggering mandatory enhanced due diligence on all US financial institutions with correspondent relationships in that jurisdiction. A Section 311 special measure against Kyrgyz financial institutions specifically for Russian sanctions evasion facilitation (Grinex/Meer, Keremet Bank, Capital Bank) would be more immediately effective than FATF re-referral and does not require multilateral consensus. It is a unilateral US action with immediate compliance obligations on US correspondent banks. Kyrgyzstan, Kazakhstan, and Armenia have all seen dramatic increases in re-export trade with Russia since 2022 — a Section 311 designation of the Kyrgyz financial sector would create immediate pressure without the 18-24 month FATF timeline. This is the most underused authority in this document.</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XX. Chinese Evasion Architecture — Node Register</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400"/>
        <w:gridCol w:w="4600"/>
      </w:tblGrid>
      <w:tr>
        <w:tc>
          <w:tcPr>
            <w:tcW w:type="dxa" w:w="2200"/>
            <w:shd w:val="clear" w:color="auto" w:fill="1C2B4A"/>
          </w:tcPr>
          <w:p>
            <w:pPr>
              <w:jc w:val="center"/>
            </w:pPr>
            <w:r>
              <w:rPr>
                <w:rFonts w:ascii="Calibri" w:cs="Calibri" w:eastAsia="Calibri" w:hAnsi="Calibri"/>
                <w:b/>
                <w:bCs/>
                <w:color w:val="FFFFFF"/>
                <w:sz w:val="16"/>
                <w:szCs w:val="16"/>
              </w:rPr>
              <w:t xml:space="preserve">NODE / MECHANISM</w:t>
            </w:r>
          </w:p>
        </w:tc>
        <w:tc>
          <w:tcPr>
            <w:tcW w:type="dxa" w:w="2000"/>
            <w:shd w:val="clear" w:color="auto" w:fill="1C2B4A"/>
          </w:tcPr>
          <w:p>
            <w:pPr>
              <w:jc w:val="center"/>
            </w:pPr>
            <w:r>
              <w:rPr>
                <w:rFonts w:ascii="Calibri" w:cs="Calibri" w:eastAsia="Calibri" w:hAnsi="Calibri"/>
                <w:b/>
                <w:bCs/>
                <w:color w:val="FFFFFF"/>
                <w:sz w:val="16"/>
                <w:szCs w:val="16"/>
              </w:rPr>
              <w:t xml:space="preserve">LOCATION</w:t>
            </w:r>
          </w:p>
        </w:tc>
        <w:tc>
          <w:tcPr>
            <w:tcW w:type="dxa" w:w="2000"/>
            <w:shd w:val="clear" w:color="auto" w:fill="1C2B4A"/>
          </w:tcPr>
          <w:p>
            <w:pPr>
              <w:jc w:val="center"/>
            </w:pPr>
            <w:r>
              <w:rPr>
                <w:rFonts w:ascii="Calibri" w:cs="Calibri" w:eastAsia="Calibri" w:hAnsi="Calibri"/>
                <w:b/>
                <w:bCs/>
                <w:color w:val="FFFFFF"/>
                <w:sz w:val="16"/>
                <w:szCs w:val="16"/>
              </w:rPr>
              <w:t xml:space="preserve">OPERATOR / STRUCTURE</w:t>
            </w:r>
          </w:p>
        </w:tc>
        <w:tc>
          <w:tcPr>
            <w:tcW w:type="dxa" w:w="2400"/>
            <w:shd w:val="clear" w:color="auto" w:fill="1C2B4A"/>
          </w:tcPr>
          <w:p>
            <w:pPr>
              <w:jc w:val="center"/>
            </w:pPr>
            <w:r>
              <w:rPr>
                <w:rFonts w:ascii="Calibri" w:cs="Calibri" w:eastAsia="Calibri" w:hAnsi="Calibri"/>
                <w:b/>
                <w:bCs/>
                <w:color w:val="FFFFFF"/>
                <w:sz w:val="16"/>
                <w:szCs w:val="16"/>
              </w:rPr>
              <w:t xml:space="preserve">LEGAL AUTHORITY</w:t>
            </w:r>
          </w:p>
        </w:tc>
        <w:tc>
          <w:tcPr>
            <w:tcW w:type="dxa" w:w="4600"/>
            <w:shd w:val="clear" w:color="auto" w:fill="1C2B4A"/>
          </w:tcPr>
          <w:p>
            <w:pPr>
              <w:jc w:val="center"/>
            </w:pPr>
            <w:r>
              <w:rPr>
                <w:rFonts w:ascii="Calibri" w:cs="Calibri" w:eastAsia="Calibri" w:hAnsi="Calibri"/>
                <w:b/>
                <w:bCs/>
                <w:color w:val="FFFFFF"/>
                <w:sz w:val="16"/>
                <w:szCs w:val="16"/>
              </w:rPr>
              <w:t xml:space="preserve">ENFORCEMENT THEORY AND ACTION</w:t>
            </w:r>
          </w:p>
        </w:tc>
      </w:tr>
      <w:tr>
        <w:tc>
          <w:tcPr>
            <w:tcW w:type="dxa" w:w="2200"/>
            <w:shd w:val="clear" w:color="auto" w:fill="EEF2F8"/>
          </w:tcPr>
          <w:p>
            <w:pPr>
              <w:spacing w:before="40" w:after="40"/>
            </w:pPr>
            <w:r>
              <w:rPr>
                <w:rFonts w:ascii="Calibri" w:cs="Calibri" w:eastAsia="Calibri" w:hAnsi="Calibri"/>
                <w:b/>
                <w:bCs/>
                <w:color w:val="1C2B4A"/>
                <w:sz w:val="16"/>
                <w:szCs w:val="16"/>
              </w:rPr>
              <w:t xml:space="preserve">Tether USDT On/Off Ramp (Russia-China corridor)</w:t>
            </w:r>
          </w:p>
        </w:tc>
        <w:tc>
          <w:tcPr>
            <w:tcW w:type="dxa" w:w="2000"/>
            <w:shd w:val="clear" w:color="auto" w:fill="EEF2F8"/>
          </w:tcPr>
          <w:p>
            <w:pPr>
              <w:spacing w:before="40" w:after="40"/>
            </w:pPr>
            <w:r>
              <w:rPr>
                <w:rFonts w:ascii="Calibri" w:cs="Calibri" w:eastAsia="Calibri" w:hAnsi="Calibri"/>
                <w:color w:val="000000"/>
                <w:sz w:val="16"/>
                <w:szCs w:val="16"/>
              </w:rPr>
              <w:t xml:space="preserve">BVI / El Salvador (global)</w:t>
            </w:r>
          </w:p>
        </w:tc>
        <w:tc>
          <w:tcPr>
            <w:tcW w:type="dxa" w:w="2000"/>
            <w:shd w:val="clear" w:color="auto" w:fill="EEF2F8"/>
          </w:tcPr>
          <w:p>
            <w:pPr>
              <w:spacing w:before="40" w:after="40"/>
            </w:pPr>
            <w:r>
              <w:rPr>
                <w:rFonts w:ascii="Calibri" w:cs="Calibri" w:eastAsia="Calibri" w:hAnsi="Calibri"/>
                <w:color w:val="000000"/>
                <w:sz w:val="16"/>
                <w:szCs w:val="16"/>
              </w:rPr>
              <w:t xml:space="preserve">Tether Operations Ltd</w:t>
            </w:r>
          </w:p>
        </w:tc>
        <w:tc>
          <w:tcPr>
            <w:tcW w:type="dxa" w:w="2400"/>
            <w:shd w:val="clear" w:color="auto" w:fill="EEF2F8"/>
          </w:tcPr>
          <w:p>
            <w:pPr>
              <w:spacing w:before="40" w:after="40"/>
            </w:pPr>
            <w:r>
              <w:rPr>
                <w:rFonts w:ascii="Calibri" w:cs="Calibri" w:eastAsia="Calibri" w:hAnsi="Calibri"/>
                <w:color w:val="000000"/>
                <w:sz w:val="16"/>
                <w:szCs w:val="16"/>
              </w:rPr>
              <w:t xml:space="preserve">GENIUS Act §4(a)(5)(A); BSA; EO 14024</w:t>
            </w:r>
          </w:p>
        </w:tc>
        <w:tc>
          <w:tcPr>
            <w:tcW w:type="dxa" w:w="4600"/>
            <w:shd w:val="clear" w:color="auto" w:fill="EEF2F8"/>
          </w:tcPr>
          <w:p>
            <w:pPr>
              <w:spacing w:before="40" w:after="40"/>
            </w:pPr>
            <w:r>
              <w:rPr>
                <w:rFonts w:ascii="Calibri" w:cs="Calibri" w:eastAsia="Calibri" w:hAnsi="Calibri"/>
                <w:color w:val="000000"/>
                <w:sz w:val="16"/>
                <w:szCs w:val="16"/>
              </w:rPr>
              <w:t xml:space="preserve">GENIUS Act mandates BSA treatment — Tether is now a financial institution with mandatory sanctions screening and freeze/burn/seize capability. OFAC demand letter for identified sanctioned wallet cluster freeze is legally grounded post-Jul 2025. Priority: task TRM Labs cluster analysis to identify USDT wallets with &gt;80% transaction volume traceable to sanctioned Russian sources; submit freeze demand to Tether under GENIUS Act §4(a)(5)(B).</w:t>
            </w:r>
          </w:p>
        </w:tc>
      </w:tr>
      <w:tr>
        <w:tc>
          <w:tcPr>
            <w:tcW w:type="dxa" w:w="2200"/>
            <w:shd w:val="clear" w:color="auto" w:fill="FFFFFF"/>
          </w:tcPr>
          <w:p>
            <w:pPr>
              <w:spacing w:before="40" w:after="40"/>
            </w:pPr>
            <w:r>
              <w:rPr>
                <w:rFonts w:ascii="Calibri" w:cs="Calibri" w:eastAsia="Calibri" w:hAnsi="Calibri"/>
                <w:b/>
                <w:bCs/>
                <w:color w:val="1C2B4A"/>
                <w:sz w:val="16"/>
                <w:szCs w:val="16"/>
              </w:rPr>
              <w:t xml:space="preserve">Hong Kong OTC Crypto Cluster</w:t>
            </w:r>
          </w:p>
        </w:tc>
        <w:tc>
          <w:tcPr>
            <w:tcW w:type="dxa" w:w="2000"/>
            <w:shd w:val="clear" w:color="auto" w:fill="FFFFFF"/>
          </w:tcPr>
          <w:p>
            <w:pPr>
              <w:spacing w:before="40" w:after="40"/>
            </w:pPr>
            <w:r>
              <w:rPr>
                <w:rFonts w:ascii="Calibri" w:cs="Calibri" w:eastAsia="Calibri" w:hAnsi="Calibri"/>
                <w:color w:val="000000"/>
                <w:sz w:val="16"/>
                <w:szCs w:val="16"/>
              </w:rPr>
              <w:t xml:space="preserve">Hong Kong SAR, China</w:t>
            </w:r>
          </w:p>
        </w:tc>
        <w:tc>
          <w:tcPr>
            <w:tcW w:type="dxa" w:w="2000"/>
            <w:shd w:val="clear" w:color="auto" w:fill="FFFFFF"/>
          </w:tcPr>
          <w:p>
            <w:pPr>
              <w:spacing w:before="40" w:after="40"/>
            </w:pPr>
            <w:r>
              <w:rPr>
                <w:rFonts w:ascii="Calibri" w:cs="Calibri" w:eastAsia="Calibri" w:hAnsi="Calibri"/>
                <w:color w:val="000000"/>
                <w:sz w:val="16"/>
                <w:szCs w:val="16"/>
              </w:rPr>
              <w:t xml:space="preserve">Multiple HKMA-licensed VASPs; shell-structured resellers</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EO 13382; GENIUS Act</w:t>
            </w:r>
          </w:p>
        </w:tc>
        <w:tc>
          <w:tcPr>
            <w:tcW w:type="dxa" w:w="4600"/>
            <w:shd w:val="clear" w:color="auto" w:fill="FFFFFF"/>
          </w:tcPr>
          <w:p>
            <w:pPr>
              <w:spacing w:before="40" w:after="40"/>
            </w:pPr>
            <w:r>
              <w:rPr>
                <w:rFonts w:ascii="Calibri" w:cs="Calibri" w:eastAsia="Calibri" w:hAnsi="Calibri"/>
                <w:color w:val="000000"/>
                <w:sz w:val="16"/>
                <w:szCs w:val="16"/>
              </w:rPr>
              <w:t xml:space="preserve">Correspondent banking pressure on HSBC/StanChart/Hang Seng is the primary lever — these banks have dollar clearing exposure and cannot afford OFAC secondary sanctions designation. Parallel: OFAC advisory identifying specific OTC desks as high-risk. EU template: 2 HK oil trading firms designated in 19th package. Replicate at OFAC level. TRM Labs blockchain analytics required first to identify specific desk wallet clusters.</w:t>
            </w:r>
          </w:p>
        </w:tc>
      </w:tr>
      <w:tr>
        <w:tc>
          <w:tcPr>
            <w:tcW w:type="dxa" w:w="2200"/>
            <w:shd w:val="clear" w:color="auto" w:fill="EEF2F8"/>
          </w:tcPr>
          <w:p>
            <w:pPr>
              <w:spacing w:before="40" w:after="40"/>
            </w:pPr>
            <w:r>
              <w:rPr>
                <w:rFonts w:ascii="Calibri" w:cs="Calibri" w:eastAsia="Calibri" w:hAnsi="Calibri"/>
                <w:b/>
                <w:bCs/>
                <w:color w:val="1C2B4A"/>
                <w:sz w:val="16"/>
                <w:szCs w:val="16"/>
              </w:rPr>
              <w:t xml:space="preserve">Crypto Index / Structured Derivative Products</w:t>
            </w:r>
          </w:p>
        </w:tc>
        <w:tc>
          <w:tcPr>
            <w:tcW w:type="dxa" w:w="2000"/>
            <w:shd w:val="clear" w:color="auto" w:fill="EEF2F8"/>
          </w:tcPr>
          <w:p>
            <w:pPr>
              <w:spacing w:before="40" w:after="40"/>
            </w:pPr>
            <w:r>
              <w:rPr>
                <w:rFonts w:ascii="Calibri" w:cs="Calibri" w:eastAsia="Calibri" w:hAnsi="Calibri"/>
                <w:color w:val="000000"/>
                <w:sz w:val="16"/>
                <w:szCs w:val="16"/>
              </w:rPr>
              <w:t xml:space="preserve">Hong Kong / Cayman Islands</w:t>
            </w:r>
          </w:p>
        </w:tc>
        <w:tc>
          <w:tcPr>
            <w:tcW w:type="dxa" w:w="2000"/>
            <w:shd w:val="clear" w:color="auto" w:fill="EEF2F8"/>
          </w:tcPr>
          <w:p>
            <w:pPr>
              <w:spacing w:before="40" w:after="40"/>
            </w:pPr>
            <w:r>
              <w:rPr>
                <w:rFonts w:ascii="Calibri" w:cs="Calibri" w:eastAsia="Calibri" w:hAnsi="Calibri"/>
                <w:color w:val="000000"/>
                <w:sz w:val="16"/>
                <w:szCs w:val="16"/>
              </w:rPr>
              <w:t xml:space="preserve">HK-licensed fund managers (undisclosed); Cayman-registered SPVs</w:t>
            </w:r>
          </w:p>
        </w:tc>
        <w:tc>
          <w:tcPr>
            <w:tcW w:type="dxa" w:w="2400"/>
            <w:shd w:val="clear" w:color="auto" w:fill="EEF2F8"/>
          </w:tcPr>
          <w:p>
            <w:pPr>
              <w:spacing w:before="40" w:after="40"/>
            </w:pPr>
            <w:r>
              <w:rPr>
                <w:rFonts w:ascii="Calibri" w:cs="Calibri" w:eastAsia="Calibri" w:hAnsi="Calibri"/>
                <w:color w:val="000000"/>
                <w:sz w:val="16"/>
                <w:szCs w:val="16"/>
              </w:rPr>
              <w:t xml:space="preserve">EO 14024 §1(a)(iii); GENIUS Act BSA</w:t>
            </w:r>
          </w:p>
        </w:tc>
        <w:tc>
          <w:tcPr>
            <w:tcW w:type="dxa" w:w="4600"/>
            <w:shd w:val="clear" w:color="auto" w:fill="EEF2F8"/>
          </w:tcPr>
          <w:p>
            <w:pPr>
              <w:spacing w:before="40" w:after="40"/>
            </w:pPr>
            <w:r>
              <w:rPr>
                <w:rFonts w:ascii="Calibri" w:cs="Calibri" w:eastAsia="Calibri" w:hAnsi="Calibri"/>
                <w:color w:val="000000"/>
                <w:sz w:val="16"/>
                <w:szCs w:val="16"/>
              </w:rPr>
              <w:t xml:space="preserve">Post-GENIUS Act BSA paper trail enables nexus determination. Enforcement theory: §1(a)(iii) — financial services benefiting blocked person (BitRiver/A7A5) indirectly through structured products. OFAC PDVSA bond precedent applies. Action: identify HK-licensed fund managers with documented BitRiver compute or A7A5 settlement exposure; build §1(a)(iii) designation package. SEC coordination required for any US-nexus fund investors.</w:t>
            </w:r>
          </w:p>
        </w:tc>
      </w:tr>
      <w:tr>
        <w:tc>
          <w:tcPr>
            <w:tcW w:type="dxa" w:w="2200"/>
            <w:shd w:val="clear" w:color="auto" w:fill="FFFFFF"/>
          </w:tcPr>
          <w:p>
            <w:pPr>
              <w:spacing w:before="40" w:after="40"/>
            </w:pPr>
            <w:r>
              <w:rPr>
                <w:rFonts w:ascii="Calibri" w:cs="Calibri" w:eastAsia="Calibri" w:hAnsi="Calibri"/>
                <w:b/>
                <w:bCs/>
                <w:color w:val="8B0000"/>
                <w:sz w:val="16"/>
                <w:szCs w:val="16"/>
              </w:rPr>
              <w:t xml:space="preserve">COFCO / Sinograin Grain Purchases (Zabaykalsk)</w:t>
            </w:r>
          </w:p>
        </w:tc>
        <w:tc>
          <w:tcPr>
            <w:tcW w:type="dxa" w:w="2000"/>
            <w:shd w:val="clear" w:color="auto" w:fill="FFFFFF"/>
          </w:tcPr>
          <w:p>
            <w:pPr>
              <w:spacing w:before="40" w:after="40"/>
            </w:pPr>
            <w:r>
              <w:rPr>
                <w:rFonts w:ascii="Calibri" w:cs="Calibri" w:eastAsia="Calibri" w:hAnsi="Calibri"/>
                <w:color w:val="000000"/>
                <w:sz w:val="16"/>
                <w:szCs w:val="16"/>
              </w:rPr>
              <w:t xml:space="preserve">Shanghai / Beijing, China</w:t>
            </w:r>
          </w:p>
        </w:tc>
        <w:tc>
          <w:tcPr>
            <w:tcW w:type="dxa" w:w="2000"/>
            <w:shd w:val="clear" w:color="auto" w:fill="FFFFFF"/>
          </w:tcPr>
          <w:p>
            <w:pPr>
              <w:spacing w:before="40" w:after="40"/>
            </w:pPr>
            <w:r>
              <w:rPr>
                <w:rFonts w:ascii="Calibri" w:cs="Calibri" w:eastAsia="Calibri" w:hAnsi="Calibri"/>
                <w:color w:val="000000"/>
                <w:sz w:val="16"/>
                <w:szCs w:val="16"/>
              </w:rPr>
              <w:t xml:space="preserve">COFCO Group (Chinese state); China Grain Reserves (Sinograin)</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Section 301 tariffs</w:t>
            </w:r>
          </w:p>
        </w:tc>
        <w:tc>
          <w:tcPr>
            <w:tcW w:type="dxa" w:w="4600"/>
            <w:shd w:val="clear" w:color="auto" w:fill="FFFFFF"/>
          </w:tcPr>
          <w:p>
            <w:pPr>
              <w:spacing w:before="40" w:after="40"/>
            </w:pPr>
            <w:r>
              <w:rPr>
                <w:rFonts w:ascii="Calibri" w:cs="Calibri" w:eastAsia="Calibri" w:hAnsi="Calibri"/>
                <w:color w:val="000000"/>
                <w:sz w:val="16"/>
                <w:szCs w:val="16"/>
              </w:rPr>
              <w:t xml:space="preserve">Highest-volume yuan-denominated channel. No dollar nexus by design. Enforcement theory: secondary sanctions on specific COFCO/Sinograin subsidiaries if transaction-level evidence establishes Russian sanctioned-entity revenue benefit. Not yet attempted. Requires transaction-level evidence (cargo manifests, settlement records). Section 301 tariff action on Russian-origin agricultural goods re-exported through China is the lower-threshold parallel action available now.</w:t>
            </w:r>
          </w:p>
        </w:tc>
      </w:tr>
      <w:tr>
        <w:tc>
          <w:tcPr>
            <w:tcW w:type="dxa" w:w="2200"/>
            <w:shd w:val="clear" w:color="auto" w:fill="EEF2F8"/>
          </w:tcPr>
          <w:p>
            <w:pPr>
              <w:spacing w:before="40" w:after="40"/>
            </w:pPr>
            <w:r>
              <w:rPr>
                <w:rFonts w:ascii="Calibri" w:cs="Calibri" w:eastAsia="Calibri" w:hAnsi="Calibri"/>
                <w:b/>
                <w:bCs/>
                <w:color w:val="8B0000"/>
                <w:sz w:val="16"/>
                <w:szCs w:val="16"/>
              </w:rPr>
              <w:t xml:space="preserve">Sinochem / PetroChina Russian Oil Offtake</w:t>
            </w:r>
          </w:p>
        </w:tc>
        <w:tc>
          <w:tcPr>
            <w:tcW w:type="dxa" w:w="2000"/>
            <w:shd w:val="clear" w:color="auto" w:fill="EEF2F8"/>
          </w:tcPr>
          <w:p>
            <w:pPr>
              <w:spacing w:before="40" w:after="40"/>
            </w:pPr>
            <w:r>
              <w:rPr>
                <w:rFonts w:ascii="Calibri" w:cs="Calibri" w:eastAsia="Calibri" w:hAnsi="Calibri"/>
                <w:color w:val="000000"/>
                <w:sz w:val="16"/>
                <w:szCs w:val="16"/>
              </w:rPr>
              <w:t xml:space="preserve">Beijing / various, China</w:t>
            </w:r>
          </w:p>
        </w:tc>
        <w:tc>
          <w:tcPr>
            <w:tcW w:type="dxa" w:w="2000"/>
            <w:shd w:val="clear" w:color="auto" w:fill="EEF2F8"/>
          </w:tcPr>
          <w:p>
            <w:pPr>
              <w:spacing w:before="40" w:after="40"/>
            </w:pPr>
            <w:r>
              <w:rPr>
                <w:rFonts w:ascii="Calibri" w:cs="Calibri" w:eastAsia="Calibri" w:hAnsi="Calibri"/>
                <w:color w:val="000000"/>
                <w:sz w:val="16"/>
                <w:szCs w:val="16"/>
              </w:rPr>
              <w:t xml:space="preserve">Sinochem Holdings; PetroChina (CNPC subsidiary)</w:t>
            </w:r>
          </w:p>
        </w:tc>
        <w:tc>
          <w:tcPr>
            <w:tcW w:type="dxa" w:w="2400"/>
            <w:shd w:val="clear" w:color="auto" w:fill="EEF2F8"/>
          </w:tcPr>
          <w:p>
            <w:pPr>
              <w:spacing w:before="40" w:after="40"/>
            </w:pPr>
            <w:r>
              <w:rPr>
                <w:rFonts w:ascii="Calibri" w:cs="Calibri" w:eastAsia="Calibri" w:hAnsi="Calibri"/>
                <w:color w:val="000000"/>
                <w:sz w:val="16"/>
                <w:szCs w:val="16"/>
              </w:rPr>
              <w:t xml:space="preserve">EO 14024 §1(a)(iii); EO 14114 §11</w:t>
            </w:r>
          </w:p>
        </w:tc>
        <w:tc>
          <w:tcPr>
            <w:tcW w:type="dxa" w:w="4600"/>
            <w:shd w:val="clear" w:color="auto" w:fill="EEF2F8"/>
          </w:tcPr>
          <w:p>
            <w:pPr>
              <w:spacing w:before="40" w:after="40"/>
            </w:pPr>
            <w:r>
              <w:rPr>
                <w:rFonts w:ascii="Calibri" w:cs="Calibri" w:eastAsia="Calibri" w:hAnsi="Calibri"/>
                <w:color w:val="000000"/>
                <w:sz w:val="16"/>
                <w:szCs w:val="16"/>
              </w:rPr>
              <w:t xml:space="preserve">PetroChina/Sinochem purchase Russian crude at volumes that directly sustain Rosneft (now fully designated) revenue. Post-Oct 2025 Rosneft designation, any entity providing material support to Rosneft is reachable under EO 14024 §1(a)(iii). EO 14114 §11 secondary sanctions apply to FFIs facilitating significant transactions with blocked Rosneft. Action: build transaction-level evidence package for PetroChina crude purchases from designated Rosneft entities; issue secondary sanctions warning; escalate to designation if purchases continue.</w:t>
            </w:r>
          </w:p>
        </w:tc>
      </w:tr>
      <w:tr>
        <w:tc>
          <w:tcPr>
            <w:tcW w:type="dxa" w:w="2200"/>
            <w:shd w:val="clear" w:color="auto" w:fill="FFFFFF"/>
          </w:tcPr>
          <w:p>
            <w:pPr>
              <w:spacing w:before="40" w:after="40"/>
            </w:pPr>
            <w:r>
              <w:rPr>
                <w:rFonts w:ascii="Calibri" w:cs="Calibri" w:eastAsia="Calibri" w:hAnsi="Calibri"/>
                <w:b/>
                <w:bCs/>
                <w:color w:val="1C2B4A"/>
                <w:sz w:val="16"/>
                <w:szCs w:val="16"/>
              </w:rPr>
              <w:t xml:space="preserve">Grinex/Meer A7A5 Stablecoin (Kyrgyz corridor)</w:t>
            </w:r>
          </w:p>
        </w:tc>
        <w:tc>
          <w:tcPr>
            <w:tcW w:type="dxa" w:w="2000"/>
            <w:shd w:val="clear" w:color="auto" w:fill="FFFFFF"/>
          </w:tcPr>
          <w:p>
            <w:pPr>
              <w:spacing w:before="40" w:after="40"/>
            </w:pPr>
            <w:r>
              <w:rPr>
                <w:rFonts w:ascii="Calibri" w:cs="Calibri" w:eastAsia="Calibri" w:hAnsi="Calibri"/>
                <w:color w:val="000000"/>
                <w:sz w:val="16"/>
                <w:szCs w:val="16"/>
              </w:rPr>
              <w:t xml:space="preserve">Bishkek, Kyrgyzstan</w:t>
            </w:r>
          </w:p>
        </w:tc>
        <w:tc>
          <w:tcPr>
            <w:tcW w:type="dxa" w:w="2000"/>
            <w:shd w:val="clear" w:color="auto" w:fill="FFFFFF"/>
          </w:tcPr>
          <w:p>
            <w:pPr>
              <w:spacing w:before="40" w:after="40"/>
            </w:pPr>
            <w:r>
              <w:rPr>
                <w:rFonts w:ascii="Calibri" w:cs="Calibri" w:eastAsia="Calibri" w:hAnsi="Calibri"/>
                <w:color w:val="000000"/>
                <w:sz w:val="16"/>
                <w:szCs w:val="16"/>
              </w:rPr>
              <w:t xml:space="preserve">Undisclosed Russian beneficial owners via CIS nominee structures; Keremet Bank; Capital Bank</w:t>
            </w:r>
          </w:p>
        </w:tc>
        <w:tc>
          <w:tcPr>
            <w:tcW w:type="dxa" w:w="2400"/>
            <w:shd w:val="clear" w:color="auto" w:fill="FFFFFF"/>
          </w:tcPr>
          <w:p>
            <w:pPr>
              <w:spacing w:before="40" w:after="40"/>
            </w:pPr>
            <w:r>
              <w:rPr>
                <w:rFonts w:ascii="Calibri" w:cs="Calibri" w:eastAsia="Calibri" w:hAnsi="Calibri"/>
                <w:color w:val="000000"/>
                <w:sz w:val="16"/>
                <w:szCs w:val="16"/>
              </w:rPr>
              <w:t xml:space="preserve">CAATSA §226; GENIUS Act §18; 31 U.S.C. §5318A (Section 311)</w:t>
            </w:r>
          </w:p>
        </w:tc>
        <w:tc>
          <w:tcPr>
            <w:tcW w:type="dxa" w:w="4600"/>
            <w:shd w:val="clear" w:color="auto" w:fill="FFFFFF"/>
          </w:tcPr>
          <w:p>
            <w:pPr>
              <w:spacing w:before="40" w:after="40"/>
            </w:pPr>
            <w:r>
              <w:rPr>
                <w:rFonts w:ascii="Calibri" w:cs="Calibri" w:eastAsia="Calibri" w:hAnsi="Calibri"/>
                <w:color w:val="000000"/>
                <w:sz w:val="16"/>
                <w:szCs w:val="16"/>
              </w:rPr>
              <w:t xml:space="preserve">Three-track approach: (1) FinCEN Section 311 special measure against Kyrgyz FFIs — immediate, unilateral, no multilateral consensus required. Triggers mandatory EDD on all US correspondent relationships with Kyrgyz banks. (2) GENIUS Act §18 foreign issuer designation — bars US platforms from facilitating secondary trading of A7A5. (3) CAATSA §226 designation of Keremet Bank and Capital Bank as FFIs providing significant financial services to sanctioned Russian entities. Do not rely on FATF re-referral as primary instrument — 18-24 month timeline is too slow.</w:t>
            </w:r>
          </w:p>
        </w:tc>
      </w:tr>
      <w:tr>
        <w:tc>
          <w:tcPr>
            <w:tcW w:type="dxa" w:w="2200"/>
            <w:shd w:val="clear" w:color="auto" w:fill="EEF2F8"/>
          </w:tcPr>
          <w:p>
            <w:pPr>
              <w:spacing w:before="40" w:after="40"/>
            </w:pPr>
            <w:r>
              <w:rPr>
                <w:rFonts w:ascii="Calibri" w:cs="Calibri" w:eastAsia="Calibri" w:hAnsi="Calibri"/>
                <w:b/>
                <w:bCs/>
                <w:color w:val="1C2B4A"/>
                <w:sz w:val="16"/>
                <w:szCs w:val="16"/>
              </w:rPr>
              <w:t xml:space="preserve">Aeza Group / Media Land ASN Infrastructure</w:t>
            </w:r>
          </w:p>
        </w:tc>
        <w:tc>
          <w:tcPr>
            <w:tcW w:type="dxa" w:w="2000"/>
            <w:shd w:val="clear" w:color="auto" w:fill="EEF2F8"/>
          </w:tcPr>
          <w:p>
            <w:pPr>
              <w:spacing w:before="40" w:after="40"/>
            </w:pPr>
            <w:r>
              <w:rPr>
                <w:rFonts w:ascii="Calibri" w:cs="Calibri" w:eastAsia="Calibri" w:hAnsi="Calibri"/>
                <w:color w:val="000000"/>
                <w:sz w:val="16"/>
                <w:szCs w:val="16"/>
              </w:rPr>
              <w:t xml:space="preserve">Netherlands/Germany ASNs; Moscow (distributed)</w:t>
            </w:r>
          </w:p>
        </w:tc>
        <w:tc>
          <w:tcPr>
            <w:tcW w:type="dxa" w:w="2000"/>
            <w:shd w:val="clear" w:color="auto" w:fill="EEF2F8"/>
          </w:tcPr>
          <w:p>
            <w:pPr>
              <w:spacing w:before="40" w:after="40"/>
            </w:pPr>
            <w:r>
              <w:rPr>
                <w:rFonts w:ascii="Calibri" w:cs="Calibri" w:eastAsia="Calibri" w:hAnsi="Calibri"/>
                <w:color w:val="000000"/>
                <w:sz w:val="16"/>
                <w:szCs w:val="16"/>
              </w:rPr>
              <w:t xml:space="preserve">Aeza Group (NL-registered, Russian-operated); Media Land LLC</w:t>
            </w:r>
          </w:p>
        </w:tc>
        <w:tc>
          <w:tcPr>
            <w:tcW w:type="dxa" w:w="2400"/>
            <w:shd w:val="clear" w:color="auto" w:fill="EEF2F8"/>
          </w:tcPr>
          <w:p>
            <w:pPr>
              <w:spacing w:before="40" w:after="40"/>
            </w:pPr>
            <w:r>
              <w:rPr>
                <w:rFonts w:ascii="Calibri" w:cs="Calibri" w:eastAsia="Calibri" w:hAnsi="Calibri"/>
                <w:color w:val="000000"/>
                <w:sz w:val="16"/>
                <w:szCs w:val="16"/>
              </w:rPr>
              <w:t xml:space="preserve">IEEPA §1702; EO 14024 §1(a)(iii); EU Reg. 833/2014</w:t>
            </w:r>
          </w:p>
        </w:tc>
        <w:tc>
          <w:tcPr>
            <w:tcW w:type="dxa" w:w="4600"/>
            <w:shd w:val="clear" w:color="auto" w:fill="EEF2F8"/>
          </w:tcPr>
          <w:p>
            <w:pPr>
              <w:spacing w:before="40" w:after="40"/>
            </w:pPr>
            <w:r>
              <w:rPr>
                <w:rFonts w:ascii="Calibri" w:cs="Calibri" w:eastAsia="Calibri" w:hAnsi="Calibri"/>
                <w:color w:val="000000"/>
                <w:sz w:val="16"/>
                <w:szCs w:val="16"/>
              </w:rPr>
              <w:t xml:space="preserve">Bulletproof hosting for ABCeX, Aifory Pro, and Russian cybercrime/evasion infrastructure. ASNs: AS210644, AS215902 (Aeza); Media Land distributed. Action: simultaneous Tier 1 ISP de-peering directive + Tether wallet freeze — NOT sequential entity designation, which replicates the Garantex failure. Netherlands registration requires EU coordination for de-peering. US can execute IEEPA §1702 ISP direction unilaterally for US-nexus routing; EU coordination required for European ASN de-peering.</w:t>
            </w:r>
          </w:p>
        </w:tc>
      </w:tr>
      <w:tr>
        <w:tc>
          <w:tcPr>
            <w:tcW w:type="dxa" w:w="2200"/>
            <w:shd w:val="clear" w:color="auto" w:fill="FFFFFF"/>
          </w:tcPr>
          <w:p>
            <w:pPr>
              <w:spacing w:before="40" w:after="40"/>
            </w:pPr>
            <w:r>
              <w:rPr>
                <w:rFonts w:ascii="Calibri" w:cs="Calibri" w:eastAsia="Calibri" w:hAnsi="Calibri"/>
                <w:b/>
                <w:bCs/>
                <w:color w:val="8B4500"/>
                <w:sz w:val="16"/>
                <w:szCs w:val="16"/>
              </w:rPr>
              <w:t xml:space="preserve">ICBC / BOC Trade Finance (residual exposure)</w:t>
            </w:r>
          </w:p>
        </w:tc>
        <w:tc>
          <w:tcPr>
            <w:tcW w:type="dxa" w:w="2000"/>
            <w:shd w:val="clear" w:color="auto" w:fill="FFFFFF"/>
          </w:tcPr>
          <w:p>
            <w:pPr>
              <w:spacing w:before="40" w:after="40"/>
            </w:pPr>
            <w:r>
              <w:rPr>
                <w:rFonts w:ascii="Calibri" w:cs="Calibri" w:eastAsia="Calibri" w:hAnsi="Calibri"/>
                <w:color w:val="000000"/>
                <w:sz w:val="16"/>
                <w:szCs w:val="16"/>
              </w:rPr>
              <w:t xml:space="preserve">Beijing, China</w:t>
            </w:r>
          </w:p>
        </w:tc>
        <w:tc>
          <w:tcPr>
            <w:tcW w:type="dxa" w:w="2000"/>
            <w:shd w:val="clear" w:color="auto" w:fill="FFFFFF"/>
          </w:tcPr>
          <w:p>
            <w:pPr>
              <w:spacing w:before="40" w:after="40"/>
            </w:pPr>
            <w:r>
              <w:rPr>
                <w:rFonts w:ascii="Calibri" w:cs="Calibri" w:eastAsia="Calibri" w:hAnsi="Calibri"/>
                <w:color w:val="000000"/>
                <w:sz w:val="16"/>
                <w:szCs w:val="16"/>
              </w:rPr>
              <w:t xml:space="preserve">Industrial and Commercial Bank of China; Bank of China (Chinese state)</w:t>
            </w:r>
          </w:p>
        </w:tc>
        <w:tc>
          <w:tcPr>
            <w:tcW w:type="dxa" w:w="2400"/>
            <w:shd w:val="clear" w:color="auto" w:fill="FFFFFF"/>
          </w:tcPr>
          <w:p>
            <w:pPr>
              <w:spacing w:before="40" w:after="40"/>
            </w:pPr>
            <w:r>
              <w:rPr>
                <w:rFonts w:ascii="Calibri" w:cs="Calibri" w:eastAsia="Calibri" w:hAnsi="Calibri"/>
                <w:color w:val="000000"/>
                <w:sz w:val="16"/>
                <w:szCs w:val="16"/>
              </w:rPr>
              <w:t xml:space="preserve">EO 14114 §11; CAATSA §226</w:t>
            </w:r>
          </w:p>
        </w:tc>
        <w:tc>
          <w:tcPr>
            <w:tcW w:type="dxa" w:w="4600"/>
            <w:shd w:val="clear" w:color="auto" w:fill="FFFFFF"/>
          </w:tcPr>
          <w:p>
            <w:pPr>
              <w:spacing w:before="40" w:after="40"/>
            </w:pPr>
            <w:r>
              <w:rPr>
                <w:rFonts w:ascii="Calibri" w:cs="Calibri" w:eastAsia="Calibri" w:hAnsi="Calibri"/>
                <w:color w:val="000000"/>
                <w:sz w:val="16"/>
                <w:szCs w:val="16"/>
              </w:rPr>
              <w:t xml:space="preserve">Tier-1 Chinese state banks have largely self-segmented from direct dollar-clearing on Russia transactions. Residual exposure exists through: (1) yuan-denominated trade finance with Russian commodity exporters; (2) indirect dollar clearing via third-country correspondent chains (UAE, Turkey, Kazakhstan). EO 14114 §11 secondary sanctions deterrence is the primary instrument. Action: OFAC informal communication to compliance functions at ICBC/BOC identifying specific transaction categories that would trigger secondary sanctions review — without formal designation, this has historically produced behavioral change faster than public enforcement.</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XXI. Indian and UAE Transshipment Layer — Price Cap Workarounds</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India has become the primary destination for Russian crude displaced from Western markets since 2022. Combined with the UAE's role as a re-export, financial services, and shadow fleet management hub, the India-UAE corridor constitutes the most significant active workaround for the G7 price cap mechanism and the most analytically underrepresented evasion channel in public sanctions literature. This section maps the primary nodes, beneficial ownership structures, and enforcement theories for this corridor. It is analytically distinct from the Chinese evasion architecture (Section XX) — the Indian and UAE channels involve different legal structures, different dollar-nexus profiles, and different enforcement leverage points.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A. Nayara Energy — The Primary Indian Structural Exposure</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Nayara Energy (formerly Essar Oil) is 49.13% owned by Rosneft through a Singapore holding structure, with the remainder held by Trafigura and UCP (United Capital Partners, Russian-linked private equity). Nayara operates the Vadinar refinery in Gujarat — India's second-largest private refinery, 20 MTPA capacity — and a 6,500-outlet retail fuel network. Since Rosneft's full SDN designation (Oct 22 2025), Nayara's Rosneft ownership stake creates a direct 50% rule analysis issue: Rosneft owns 49.13% — just below the automatic 50% blocking rule — but OFAC's 'ownership and control' standard under EO 14024 extends to entities controlled by a blocked person even below 50% if effective control can be demonstrated. The enforcement question is whether Rosneft exercises effective control over Nayara despite the sub-50% stake. Board composition, operational direction, and crude supply dependency (Nayara sources approximately 80%+ of crude from Russia) are the evidentiary basis for a control determination. This is the single most consequential unresolved designation question in the post-Oct 2025 Rosneft blocking environment.</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B. INR-RUB Settlement Architecture</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India and Russia established a rupee-ruble settlement mechanism in 2022 to circumvent SWIFT/dollar restrictions. The mechanism routes through Vostro accounts held by Indian banks (primarily UCO Bank, Yes Bank, and IndusInd Bank) at Russian correspondent banks. The structural problem for Russia is that rupee accumulation has outpaced the ability to deploy rupees into Indian goods — Russia has accumulated an estimated $40B+ rupee surplus with limited repatriation options. This creates an enforcement opportunity: the rupee surplus must eventually be converted to a harder currency or deployed into Indian assets, and both pathways create dollar nexus. The Vostro account structure itself is technically reachable under CAATSA §226 if the Indian banks operating them can be shown to be providing significant financial services to sanctioned Russian entities. RBI has resisted US pressure on this mechanism; the enforcement lever is secondary sanctions threat on the specific Indian banks operating the largest Vostro balances.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C. UAE as Re-Export, Shadow Fleet Management, and Financial Hub</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The UAE — primarily Dubai and Abu Dhabi — functions as the primary Western-adjacent node in the Russia sanctions evasion architecture. Three distinct functions: (1) Shadow fleet ship management (Dreamer Shipmanagement, Litasco Middle East DMCC — the latter designated in EU 19th package); (2) Commodity trading re-export (Russian crude purchased at below-cap prices, rebranded as UAE-origin or blended, resold at market prices into Western-adjacent markets); (3) Financial services hub for sanctioned Russian oligarchs and entities (real estate, private banking, shell company formation). The UAE's FATF grey-listing removal (Feb 2024) created pressure for improved compliance but enforcement remains inconsistent. The primary enforcement lever is the UAE's dependence on US dollar clearing and its desire to maintain FATF white-list status — both create structural leverage for informal pressure that has historically been more effective than formal designation of UAE-domiciled entities.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XXI. Indian and UAE Transshipment — Node Register</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400"/>
        <w:gridCol w:w="4600"/>
      </w:tblGrid>
      <w:tr>
        <w:tc>
          <w:tcPr>
            <w:tcW w:type="dxa" w:w="2200"/>
            <w:shd w:val="clear" w:color="auto" w:fill="1C2B4A"/>
          </w:tcPr>
          <w:p>
            <w:pPr>
              <w:jc w:val="center"/>
            </w:pPr>
            <w:r>
              <w:rPr>
                <w:rFonts w:ascii="Calibri" w:cs="Calibri" w:eastAsia="Calibri" w:hAnsi="Calibri"/>
                <w:b/>
                <w:bCs/>
                <w:color w:val="FFFFFF"/>
                <w:sz w:val="16"/>
                <w:szCs w:val="16"/>
              </w:rPr>
              <w:t xml:space="preserve">NODE / ENTITY</w:t>
            </w:r>
          </w:p>
        </w:tc>
        <w:tc>
          <w:tcPr>
            <w:tcW w:type="dxa" w:w="1800"/>
            <w:shd w:val="clear" w:color="auto" w:fill="1C2B4A"/>
          </w:tcPr>
          <w:p>
            <w:pPr>
              <w:jc w:val="center"/>
            </w:pPr>
            <w:r>
              <w:rPr>
                <w:rFonts w:ascii="Calibri" w:cs="Calibri" w:eastAsia="Calibri" w:hAnsi="Calibri"/>
                <w:b/>
                <w:bCs/>
                <w:color w:val="FFFFFF"/>
                <w:sz w:val="16"/>
                <w:szCs w:val="16"/>
              </w:rPr>
              <w:t xml:space="preserve">LOCATION</w:t>
            </w:r>
          </w:p>
        </w:tc>
        <w:tc>
          <w:tcPr>
            <w:tcW w:type="dxa" w:w="2200"/>
            <w:shd w:val="clear" w:color="auto" w:fill="1C2B4A"/>
          </w:tcPr>
          <w:p>
            <w:pPr>
              <w:jc w:val="center"/>
            </w:pPr>
            <w:r>
              <w:rPr>
                <w:rFonts w:ascii="Calibri" w:cs="Calibri" w:eastAsia="Calibri" w:hAnsi="Calibri"/>
                <w:b/>
                <w:bCs/>
                <w:color w:val="FFFFFF"/>
                <w:sz w:val="16"/>
                <w:szCs w:val="16"/>
              </w:rPr>
              <w:t xml:space="preserve">OPERATOR / STRUCTURE</w:t>
            </w:r>
          </w:p>
        </w:tc>
        <w:tc>
          <w:tcPr>
            <w:tcW w:type="dxa" w:w="2400"/>
            <w:shd w:val="clear" w:color="auto" w:fill="1C2B4A"/>
          </w:tcPr>
          <w:p>
            <w:pPr>
              <w:jc w:val="center"/>
            </w:pPr>
            <w:r>
              <w:rPr>
                <w:rFonts w:ascii="Calibri" w:cs="Calibri" w:eastAsia="Calibri" w:hAnsi="Calibri"/>
                <w:b/>
                <w:bCs/>
                <w:color w:val="FFFFFF"/>
                <w:sz w:val="16"/>
                <w:szCs w:val="16"/>
              </w:rPr>
              <w:t xml:space="preserve">LEGAL AUTHORITY</w:t>
            </w:r>
          </w:p>
        </w:tc>
        <w:tc>
          <w:tcPr>
            <w:tcW w:type="dxa" w:w="4600"/>
            <w:shd w:val="clear" w:color="auto" w:fill="1C2B4A"/>
          </w:tcPr>
          <w:p>
            <w:pPr>
              <w:jc w:val="center"/>
            </w:pPr>
            <w:r>
              <w:rPr>
                <w:rFonts w:ascii="Calibri" w:cs="Calibri" w:eastAsia="Calibri" w:hAnsi="Calibri"/>
                <w:b/>
                <w:bCs/>
                <w:color w:val="FFFFFF"/>
                <w:sz w:val="16"/>
                <w:szCs w:val="16"/>
              </w:rPr>
              <w:t xml:space="preserve">ENFORCEMENT THEORY AND ACTION</w:t>
            </w:r>
          </w:p>
        </w:tc>
      </w:tr>
      <w:tr>
        <w:tc>
          <w:tcPr>
            <w:tcW w:type="dxa" w:w="2200"/>
            <w:shd w:val="clear" w:color="auto" w:fill="EEF2F8"/>
          </w:tcPr>
          <w:p>
            <w:pPr>
              <w:spacing w:before="40" w:after="40"/>
            </w:pPr>
            <w:r>
              <w:rPr>
                <w:rFonts w:ascii="Calibri" w:cs="Calibri" w:eastAsia="Calibri" w:hAnsi="Calibri"/>
                <w:b/>
                <w:bCs/>
                <w:color w:val="8B0000"/>
                <w:sz w:val="16"/>
                <w:szCs w:val="16"/>
              </w:rPr>
              <w:t xml:space="preserve">Nayara Energy (Vadinar Refinery)</w:t>
            </w:r>
          </w:p>
        </w:tc>
        <w:tc>
          <w:tcPr>
            <w:tcW w:type="dxa" w:w="1800"/>
            <w:shd w:val="clear" w:color="auto" w:fill="EEF2F8"/>
          </w:tcPr>
          <w:p>
            <w:pPr>
              <w:spacing w:before="40" w:after="40"/>
            </w:pPr>
            <w:r>
              <w:rPr>
                <w:rFonts w:ascii="Calibri" w:cs="Calibri" w:eastAsia="Calibri" w:hAnsi="Calibri"/>
                <w:color w:val="000000"/>
                <w:sz w:val="16"/>
                <w:szCs w:val="16"/>
              </w:rPr>
              <w:t xml:space="preserve">Vadinar, Gujarat, India</w:t>
            </w:r>
          </w:p>
        </w:tc>
        <w:tc>
          <w:tcPr>
            <w:tcW w:type="dxa" w:w="2200"/>
            <w:shd w:val="clear" w:color="auto" w:fill="EEF2F8"/>
          </w:tcPr>
          <w:p>
            <w:pPr>
              <w:spacing w:before="40" w:after="40"/>
            </w:pPr>
            <w:r>
              <w:rPr>
                <w:rFonts w:ascii="Calibri" w:cs="Calibri" w:eastAsia="Calibri" w:hAnsi="Calibri"/>
                <w:color w:val="000000"/>
                <w:sz w:val="16"/>
                <w:szCs w:val="16"/>
              </w:rPr>
              <w:t xml:space="preserve">Rosneft (49.13% via Singapore holdco); Trafigura; UCP</w:t>
            </w:r>
          </w:p>
        </w:tc>
        <w:tc>
          <w:tcPr>
            <w:tcW w:type="dxa" w:w="2400"/>
            <w:shd w:val="clear" w:color="auto" w:fill="EEF2F8"/>
          </w:tcPr>
          <w:p>
            <w:pPr>
              <w:spacing w:before="40" w:after="40"/>
            </w:pPr>
            <w:r>
              <w:rPr>
                <w:rFonts w:ascii="Calibri" w:cs="Calibri" w:eastAsia="Calibri" w:hAnsi="Calibri"/>
                <w:color w:val="000000"/>
                <w:sz w:val="16"/>
                <w:szCs w:val="16"/>
              </w:rPr>
              <w:t xml:space="preserve">EO 14024 §1(a)(i)/(iii); OFAC 50% rule / control standard</w:t>
            </w:r>
          </w:p>
        </w:tc>
        <w:tc>
          <w:tcPr>
            <w:tcW w:type="dxa" w:w="4600"/>
            <w:shd w:val="clear" w:color="auto" w:fill="EEF2F8"/>
          </w:tcPr>
          <w:p>
            <w:pPr>
              <w:spacing w:before="40" w:after="40"/>
            </w:pPr>
            <w:r>
              <w:rPr>
                <w:rFonts w:ascii="Calibri" w:cs="Calibri" w:eastAsia="Calibri" w:hAnsi="Calibri"/>
                <w:color w:val="000000"/>
                <w:sz w:val="16"/>
                <w:szCs w:val="16"/>
              </w:rPr>
              <w:t xml:space="preserve">Post-Oct 2025 Rosneft designation creates 49.13% ownership analysis. Below automatic 50% blocking threshold but OFAC control standard may apply: board composition, operational direction, and ~80%+ Russian crude dependency are evidentiary basis for control determination. This is the single most consequential unresolved designation question in the post-Rosneft blocking environment. Action: OFAC formal control determination analysis; if control established, Nayara becomes a blocked entity — 20 MTPA refinery, 6,500 retail outlets, cascading impact on Indian fuel supply. Requires diplomatic pre-coordination with New Delhi before any public action.</w:t>
            </w:r>
          </w:p>
        </w:tc>
      </w:tr>
      <w:tr>
        <w:tc>
          <w:tcPr>
            <w:tcW w:type="dxa" w:w="2200"/>
            <w:shd w:val="clear" w:color="auto" w:fill="FFFFFF"/>
          </w:tcPr>
          <w:p>
            <w:pPr>
              <w:spacing w:before="40" w:after="40"/>
            </w:pPr>
            <w:r>
              <w:rPr>
                <w:rFonts w:ascii="Calibri" w:cs="Calibri" w:eastAsia="Calibri" w:hAnsi="Calibri"/>
                <w:b/>
                <w:bCs/>
                <w:color w:val="8B4500"/>
                <w:sz w:val="16"/>
                <w:szCs w:val="16"/>
              </w:rPr>
              <w:t xml:space="preserve">Indian Oil Corporation — Russian Crude Offtake</w:t>
            </w:r>
          </w:p>
        </w:tc>
        <w:tc>
          <w:tcPr>
            <w:tcW w:type="dxa" w:w="1800"/>
            <w:shd w:val="clear" w:color="auto" w:fill="FFFFFF"/>
          </w:tcPr>
          <w:p>
            <w:pPr>
              <w:spacing w:before="40" w:after="40"/>
            </w:pPr>
            <w:r>
              <w:rPr>
                <w:rFonts w:ascii="Calibri" w:cs="Calibri" w:eastAsia="Calibri" w:hAnsi="Calibri"/>
                <w:color w:val="000000"/>
                <w:sz w:val="16"/>
                <w:szCs w:val="16"/>
              </w:rPr>
              <w:t xml:space="preserve">New Delhi, India</w:t>
            </w:r>
          </w:p>
        </w:tc>
        <w:tc>
          <w:tcPr>
            <w:tcW w:type="dxa" w:w="2200"/>
            <w:shd w:val="clear" w:color="auto" w:fill="FFFFFF"/>
          </w:tcPr>
          <w:p>
            <w:pPr>
              <w:spacing w:before="40" w:after="40"/>
            </w:pPr>
            <w:r>
              <w:rPr>
                <w:rFonts w:ascii="Calibri" w:cs="Calibri" w:eastAsia="Calibri" w:hAnsi="Calibri"/>
                <w:color w:val="000000"/>
                <w:sz w:val="16"/>
                <w:szCs w:val="16"/>
              </w:rPr>
              <w:t xml:space="preserve">Indian Oil Corporation (Indian state, 52% GoI owned)</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EO 14114 §11</w:t>
            </w:r>
          </w:p>
        </w:tc>
        <w:tc>
          <w:tcPr>
            <w:tcW w:type="dxa" w:w="4600"/>
            <w:shd w:val="clear" w:color="auto" w:fill="FFFFFF"/>
          </w:tcPr>
          <w:p>
            <w:pPr>
              <w:spacing w:before="40" w:after="40"/>
            </w:pPr>
            <w:r>
              <w:rPr>
                <w:rFonts w:ascii="Calibri" w:cs="Calibri" w:eastAsia="Calibri" w:hAnsi="Calibri"/>
                <w:color w:val="000000"/>
                <w:sz w:val="16"/>
                <w:szCs w:val="16"/>
              </w:rPr>
              <w:t xml:space="preserve">IOC is the largest single purchaser of Russian crude in India, buying at significant discounts to Brent. Post-Rosneft SDN designation, IOC purchases from designated Rosneft entities are potentially reachable under EO 14024 §1(a)(iii) material support theory. EO 14114 §11 secondary sanctions deterrence applies to IOC's dollar-clearing correspondent banks. India-US strategic relationship creates high political constraint — enforcement action against IOC directly would be diplomatically damaging. Preferred approach: informal OFAC communication to IOC compliance function identifying specific transaction categories at risk; escalate if purchases from designated Rosneft entities continue after wind-down period.</w:t>
            </w:r>
          </w:p>
        </w:tc>
      </w:tr>
      <w:tr>
        <w:tc>
          <w:tcPr>
            <w:tcW w:type="dxa" w:w="2200"/>
            <w:shd w:val="clear" w:color="auto" w:fill="EEF2F8"/>
          </w:tcPr>
          <w:p>
            <w:pPr>
              <w:spacing w:before="40" w:after="40"/>
            </w:pPr>
            <w:r>
              <w:rPr>
                <w:rFonts w:ascii="Calibri" w:cs="Calibri" w:eastAsia="Calibri" w:hAnsi="Calibri"/>
                <w:b/>
                <w:bCs/>
                <w:color w:val="8B4500"/>
                <w:sz w:val="16"/>
                <w:szCs w:val="16"/>
              </w:rPr>
              <w:t xml:space="preserve">UCO Bank / Yes Bank Vostro Accounts (INR-RUB settlement)</w:t>
            </w:r>
          </w:p>
        </w:tc>
        <w:tc>
          <w:tcPr>
            <w:tcW w:type="dxa" w:w="1800"/>
            <w:shd w:val="clear" w:color="auto" w:fill="EEF2F8"/>
          </w:tcPr>
          <w:p>
            <w:pPr>
              <w:spacing w:before="40" w:after="40"/>
            </w:pPr>
            <w:r>
              <w:rPr>
                <w:rFonts w:ascii="Calibri" w:cs="Calibri" w:eastAsia="Calibri" w:hAnsi="Calibri"/>
                <w:color w:val="000000"/>
                <w:sz w:val="16"/>
                <w:szCs w:val="16"/>
              </w:rPr>
              <w:t xml:space="preserve">Kolkata / Mumbai, India</w:t>
            </w:r>
          </w:p>
        </w:tc>
        <w:tc>
          <w:tcPr>
            <w:tcW w:type="dxa" w:w="2200"/>
            <w:shd w:val="clear" w:color="auto" w:fill="EEF2F8"/>
          </w:tcPr>
          <w:p>
            <w:pPr>
              <w:spacing w:before="40" w:after="40"/>
            </w:pPr>
            <w:r>
              <w:rPr>
                <w:rFonts w:ascii="Calibri" w:cs="Calibri" w:eastAsia="Calibri" w:hAnsi="Calibri"/>
                <w:color w:val="000000"/>
                <w:sz w:val="16"/>
                <w:szCs w:val="16"/>
              </w:rPr>
              <w:t xml:space="preserve">UCO Bank (Indian state); Yes Bank (private); IndusInd Bank</w:t>
            </w:r>
          </w:p>
        </w:tc>
        <w:tc>
          <w:tcPr>
            <w:tcW w:type="dxa" w:w="2400"/>
            <w:shd w:val="clear" w:color="auto" w:fill="EEF2F8"/>
          </w:tcPr>
          <w:p>
            <w:pPr>
              <w:spacing w:before="40" w:after="40"/>
            </w:pPr>
            <w:r>
              <w:rPr>
                <w:rFonts w:ascii="Calibri" w:cs="Calibri" w:eastAsia="Calibri" w:hAnsi="Calibri"/>
                <w:color w:val="000000"/>
                <w:sz w:val="16"/>
                <w:szCs w:val="16"/>
              </w:rPr>
              <w:t xml:space="preserve">CAATSA §226; EO 14024 §1(a)(iii)</w:t>
            </w:r>
          </w:p>
        </w:tc>
        <w:tc>
          <w:tcPr>
            <w:tcW w:type="dxa" w:w="4600"/>
            <w:shd w:val="clear" w:color="auto" w:fill="EEF2F8"/>
          </w:tcPr>
          <w:p>
            <w:pPr>
              <w:spacing w:before="40" w:after="40"/>
            </w:pPr>
            <w:r>
              <w:rPr>
                <w:rFonts w:ascii="Calibri" w:cs="Calibri" w:eastAsia="Calibri" w:hAnsi="Calibri"/>
                <w:color w:val="000000"/>
                <w:sz w:val="16"/>
                <w:szCs w:val="16"/>
              </w:rPr>
              <w:t xml:space="preserve">Indian banks operating Vostro accounts for Russian correspondent banks are providing significant financial services to sanctioned Russian entities — CAATSA §226 theory. Russia has accumulated estimated $40B+ rupee surplus; conversion pathways create dollar nexus. Action: OFAC informal communication to specific Indian banks operating largest Vostro balances, identifying Vostro account operations for sanctioned Russian entities as CAATSA §226 exposure. Formal designation of Indian state banks is politically constrained but informal pressure has historically moved RBI. Target the banks with largest Vostro balances and most direct Russian sanctioned-entity relationships.</w:t>
            </w:r>
          </w:p>
        </w:tc>
      </w:tr>
      <w:tr>
        <w:tc>
          <w:tcPr>
            <w:tcW w:type="dxa" w:w="2200"/>
            <w:shd w:val="clear" w:color="auto" w:fill="FFFFFF"/>
          </w:tcPr>
          <w:p>
            <w:pPr>
              <w:spacing w:before="40" w:after="40"/>
            </w:pPr>
            <w:r>
              <w:rPr>
                <w:rFonts w:ascii="Calibri" w:cs="Calibri" w:eastAsia="Calibri" w:hAnsi="Calibri"/>
                <w:b/>
                <w:bCs/>
                <w:color w:val="1C2B4A"/>
                <w:sz w:val="16"/>
                <w:szCs w:val="16"/>
              </w:rPr>
              <w:t xml:space="preserve">Litasco Middle East DMCC (Lukoil shadow fleet enabler)</w:t>
            </w:r>
          </w:p>
        </w:tc>
        <w:tc>
          <w:tcPr>
            <w:tcW w:type="dxa" w:w="1800"/>
            <w:shd w:val="clear" w:color="auto" w:fill="FFFFFF"/>
          </w:tcPr>
          <w:p>
            <w:pPr>
              <w:spacing w:before="40" w:after="40"/>
            </w:pPr>
            <w:r>
              <w:rPr>
                <w:rFonts w:ascii="Calibri" w:cs="Calibri" w:eastAsia="Calibri" w:hAnsi="Calibri"/>
                <w:color w:val="000000"/>
                <w:sz w:val="16"/>
                <w:szCs w:val="16"/>
              </w:rPr>
              <w:t xml:space="preserve">Dubai, UAE</w:t>
            </w:r>
          </w:p>
        </w:tc>
        <w:tc>
          <w:tcPr>
            <w:tcW w:type="dxa" w:w="2200"/>
            <w:shd w:val="clear" w:color="auto" w:fill="FFFFFF"/>
          </w:tcPr>
          <w:p>
            <w:pPr>
              <w:spacing w:before="40" w:after="40"/>
            </w:pPr>
            <w:r>
              <w:rPr>
                <w:rFonts w:ascii="Calibri" w:cs="Calibri" w:eastAsia="Calibri" w:hAnsi="Calibri"/>
                <w:color w:val="000000"/>
                <w:sz w:val="16"/>
                <w:szCs w:val="16"/>
              </w:rPr>
              <w:t xml:space="preserve">Lukoil (Russian state-linked)</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EU 19th package (designated)</w:t>
            </w:r>
          </w:p>
        </w:tc>
        <w:tc>
          <w:tcPr>
            <w:tcW w:type="dxa" w:w="4600"/>
            <w:shd w:val="clear" w:color="auto" w:fill="FFFFFF"/>
          </w:tcPr>
          <w:p>
            <w:pPr>
              <w:spacing w:before="40" w:after="40"/>
            </w:pPr>
            <w:r>
              <w:rPr>
                <w:rFonts w:ascii="Calibri" w:cs="Calibri" w:eastAsia="Calibri" w:hAnsi="Calibri"/>
                <w:color w:val="000000"/>
                <w:sz w:val="16"/>
                <w:szCs w:val="16"/>
              </w:rPr>
              <w:t xml:space="preserve">EU-designated in 19th package (Oct 2025) as Lukoil's primary shadow fleet enabler. Lukoil now fully SDN-designated (Oct 2025). Litasco Middle East DMCC manages shadow fleet tanker operations from Dubai. OFAC has not yet designated — gap. Action: EO 14024 §1(a)(iii) designation of Litasco Middle East DMCC as entity providing material support to designated Lukoil. EU designation is the precedent; US designation should follow immediately to close the gap and prevent US-nexus transactions.</w:t>
            </w:r>
          </w:p>
        </w:tc>
      </w:tr>
      <w:tr>
        <w:tc>
          <w:tcPr>
            <w:tcW w:type="dxa" w:w="2200"/>
            <w:shd w:val="clear" w:color="auto" w:fill="EEF2F8"/>
          </w:tcPr>
          <w:p>
            <w:pPr>
              <w:spacing w:before="40" w:after="40"/>
            </w:pPr>
            <w:r>
              <w:rPr>
                <w:rFonts w:ascii="Calibri" w:cs="Calibri" w:eastAsia="Calibri" w:hAnsi="Calibri"/>
                <w:b/>
                <w:bCs/>
                <w:color w:val="1C2B4A"/>
                <w:sz w:val="16"/>
                <w:szCs w:val="16"/>
              </w:rPr>
              <w:t xml:space="preserve">Dreamer Shipmanagement Ltd (shadow fleet manager)</w:t>
            </w:r>
          </w:p>
        </w:tc>
        <w:tc>
          <w:tcPr>
            <w:tcW w:type="dxa" w:w="1800"/>
            <w:shd w:val="clear" w:color="auto" w:fill="EEF2F8"/>
          </w:tcPr>
          <w:p>
            <w:pPr>
              <w:spacing w:before="40" w:after="40"/>
            </w:pPr>
            <w:r>
              <w:rPr>
                <w:rFonts w:ascii="Calibri" w:cs="Calibri" w:eastAsia="Calibri" w:hAnsi="Calibri"/>
                <w:color w:val="000000"/>
                <w:sz w:val="16"/>
                <w:szCs w:val="16"/>
              </w:rPr>
              <w:t xml:space="preserve">Dubai, UAE</w:t>
            </w:r>
          </w:p>
        </w:tc>
        <w:tc>
          <w:tcPr>
            <w:tcW w:type="dxa" w:w="2200"/>
            <w:shd w:val="clear" w:color="auto" w:fill="EEF2F8"/>
          </w:tcPr>
          <w:p>
            <w:pPr>
              <w:spacing w:before="40" w:after="40"/>
            </w:pPr>
            <w:r>
              <w:rPr>
                <w:rFonts w:ascii="Calibri" w:cs="Calibri" w:eastAsia="Calibri" w:hAnsi="Calibri"/>
                <w:color w:val="000000"/>
                <w:sz w:val="16"/>
                <w:szCs w:val="16"/>
              </w:rPr>
              <w:t xml:space="preserve">Undisclosed beneficial owners</w:t>
            </w:r>
          </w:p>
        </w:tc>
        <w:tc>
          <w:tcPr>
            <w:tcW w:type="dxa" w:w="2400"/>
            <w:shd w:val="clear" w:color="auto" w:fill="EEF2F8"/>
          </w:tcPr>
          <w:p>
            <w:pPr>
              <w:spacing w:before="40" w:after="40"/>
            </w:pPr>
            <w:r>
              <w:rPr>
                <w:rFonts w:ascii="Calibri" w:cs="Calibri" w:eastAsia="Calibri" w:hAnsi="Calibri"/>
                <w:color w:val="000000"/>
                <w:sz w:val="16"/>
                <w:szCs w:val="16"/>
              </w:rPr>
              <w:t xml:space="preserve">EO 14024 §1(a)(iii); CAATSA §226</w:t>
            </w:r>
          </w:p>
        </w:tc>
        <w:tc>
          <w:tcPr>
            <w:tcW w:type="dxa" w:w="4600"/>
            <w:shd w:val="clear" w:color="auto" w:fill="EEF2F8"/>
          </w:tcPr>
          <w:p>
            <w:pPr>
              <w:spacing w:before="40" w:after="40"/>
            </w:pPr>
            <w:r>
              <w:rPr>
                <w:rFonts w:ascii="Calibri" w:cs="Calibri" w:eastAsia="Calibri" w:hAnsi="Calibri"/>
                <w:color w:val="000000"/>
                <w:sz w:val="16"/>
                <w:szCs w:val="16"/>
              </w:rPr>
              <w:t xml:space="preserve">Manages Perle LNG tanker (EU-sanctioned). AIS spoofing confirmed Oct 2025 during STS transfer off Malaysia. No US designation yet. Action: EO 14024 §1(a)(iii) designation. Simultaneously apply CAATSA §226 to UAE correspondent banks servicing Dreamer accounts — specifically Emirates NBD and Mashreq Bank, which have dollar-clearing exposure and are sensitive to secondary sanctions risk. UAE FATF compliance pressure is a parallel lever.</w:t>
            </w:r>
          </w:p>
        </w:tc>
      </w:tr>
      <w:tr>
        <w:tc>
          <w:tcPr>
            <w:tcW w:type="dxa" w:w="2200"/>
            <w:shd w:val="clear" w:color="auto" w:fill="FFFFFF"/>
          </w:tcPr>
          <w:p>
            <w:pPr>
              <w:spacing w:before="40" w:after="40"/>
            </w:pPr>
            <w:r>
              <w:rPr>
                <w:rFonts w:ascii="Calibri" w:cs="Calibri" w:eastAsia="Calibri" w:hAnsi="Calibri"/>
                <w:b/>
                <w:bCs/>
                <w:color w:val="8B4500"/>
                <w:sz w:val="16"/>
                <w:szCs w:val="16"/>
              </w:rPr>
              <w:t xml:space="preserve">UAE Russian Crude Re-Export Channel</w:t>
            </w:r>
          </w:p>
        </w:tc>
        <w:tc>
          <w:tcPr>
            <w:tcW w:type="dxa" w:w="1800"/>
            <w:shd w:val="clear" w:color="auto" w:fill="FFFFFF"/>
          </w:tcPr>
          <w:p>
            <w:pPr>
              <w:spacing w:before="40" w:after="40"/>
            </w:pPr>
            <w:r>
              <w:rPr>
                <w:rFonts w:ascii="Calibri" w:cs="Calibri" w:eastAsia="Calibri" w:hAnsi="Calibri"/>
                <w:color w:val="000000"/>
                <w:sz w:val="16"/>
                <w:szCs w:val="16"/>
              </w:rPr>
              <w:t xml:space="preserve">Fujairah / Dubai, UAE</w:t>
            </w:r>
          </w:p>
        </w:tc>
        <w:tc>
          <w:tcPr>
            <w:tcW w:type="dxa" w:w="2200"/>
            <w:shd w:val="clear" w:color="auto" w:fill="FFFFFF"/>
          </w:tcPr>
          <w:p>
            <w:pPr>
              <w:spacing w:before="40" w:after="40"/>
            </w:pPr>
            <w:r>
              <w:rPr>
                <w:rFonts w:ascii="Calibri" w:cs="Calibri" w:eastAsia="Calibri" w:hAnsi="Calibri"/>
                <w:color w:val="000000"/>
                <w:sz w:val="16"/>
                <w:szCs w:val="16"/>
              </w:rPr>
              <w:t xml:space="preserve">Multiple UAE-registered commodity traders; Gunvor UAE; shadow fleet STS operations</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price cap enforcement via G7 coalition</w:t>
            </w:r>
          </w:p>
        </w:tc>
        <w:tc>
          <w:tcPr>
            <w:tcW w:type="dxa" w:w="4600"/>
            <w:shd w:val="clear" w:color="auto" w:fill="FFFFFF"/>
          </w:tcPr>
          <w:p>
            <w:pPr>
              <w:spacing w:before="40" w:after="40"/>
            </w:pPr>
            <w:r>
              <w:rPr>
                <w:rFonts w:ascii="Calibri" w:cs="Calibri" w:eastAsia="Calibri" w:hAnsi="Calibri"/>
                <w:color w:val="000000"/>
                <w:sz w:val="16"/>
                <w:szCs w:val="16"/>
              </w:rPr>
              <w:t xml:space="preserve">Russian crude purchased below price cap ($60/bbl), shipped to Fujairah STS zone, blended or rebranded as UAE-origin, resold above cap into Western-adjacent markets. This is a price cap violation, not necessarily a primary sanctions violation for non-US persons. Enforcement theory: G7 price cap coalition enforcement against shipping service providers (insurers, brokers, freight forwarders) who knowingly facilitate above-cap transactions. US-nexus exists through dollar-denominated commodity contracts. Action: identify specific UAE trading firms with documented above-cap Russian crude transactions; apply EO 14024 §1(a)(iii) to entities providing commodity trading services that benefit designated Rosneft/Lukoil.</w:t>
            </w:r>
          </w:p>
        </w:tc>
      </w:tr>
      <w:tr>
        <w:tc>
          <w:tcPr>
            <w:tcW w:type="dxa" w:w="2200"/>
            <w:shd w:val="clear" w:color="auto" w:fill="EEF2F8"/>
          </w:tcPr>
          <w:p>
            <w:pPr>
              <w:spacing w:before="40" w:after="40"/>
            </w:pPr>
            <w:r>
              <w:rPr>
                <w:rFonts w:ascii="Calibri" w:cs="Calibri" w:eastAsia="Calibri" w:hAnsi="Calibri"/>
                <w:b/>
                <w:bCs/>
                <w:color w:val="8B4500"/>
                <w:sz w:val="16"/>
                <w:szCs w:val="16"/>
              </w:rPr>
              <w:t xml:space="preserve">UAE Private Banking / Real Estate (oligarch asset shelter)</w:t>
            </w:r>
          </w:p>
        </w:tc>
        <w:tc>
          <w:tcPr>
            <w:tcW w:type="dxa" w:w="1800"/>
            <w:shd w:val="clear" w:color="auto" w:fill="EEF2F8"/>
          </w:tcPr>
          <w:p>
            <w:pPr>
              <w:spacing w:before="40" w:after="40"/>
            </w:pPr>
            <w:r>
              <w:rPr>
                <w:rFonts w:ascii="Calibri" w:cs="Calibri" w:eastAsia="Calibri" w:hAnsi="Calibri"/>
                <w:color w:val="000000"/>
                <w:sz w:val="16"/>
                <w:szCs w:val="16"/>
              </w:rPr>
              <w:t xml:space="preserve">Dubai / Abu Dhabi, UAE</w:t>
            </w:r>
          </w:p>
        </w:tc>
        <w:tc>
          <w:tcPr>
            <w:tcW w:type="dxa" w:w="2200"/>
            <w:shd w:val="clear" w:color="auto" w:fill="EEF2F8"/>
          </w:tcPr>
          <w:p>
            <w:pPr>
              <w:spacing w:before="40" w:after="40"/>
            </w:pPr>
            <w:r>
              <w:rPr>
                <w:rFonts w:ascii="Calibri" w:cs="Calibri" w:eastAsia="Calibri" w:hAnsi="Calibri"/>
                <w:color w:val="000000"/>
                <w:sz w:val="16"/>
                <w:szCs w:val="16"/>
              </w:rPr>
              <w:t xml:space="preserve">Multiple UAE private banks; real estate developers; shell company formation agents</w:t>
            </w:r>
          </w:p>
        </w:tc>
        <w:tc>
          <w:tcPr>
            <w:tcW w:type="dxa" w:w="2400"/>
            <w:shd w:val="clear" w:color="auto" w:fill="EEF2F8"/>
          </w:tcPr>
          <w:p>
            <w:pPr>
              <w:spacing w:before="40" w:after="40"/>
            </w:pPr>
            <w:r>
              <w:rPr>
                <w:rFonts w:ascii="Calibri" w:cs="Calibri" w:eastAsia="Calibri" w:hAnsi="Calibri"/>
                <w:color w:val="000000"/>
                <w:sz w:val="16"/>
                <w:szCs w:val="16"/>
              </w:rPr>
              <w:t xml:space="preserve">EO 14024 (asset freeze — blocked persons); UAE FATF obligations</w:t>
            </w:r>
          </w:p>
        </w:tc>
        <w:tc>
          <w:tcPr>
            <w:tcW w:type="dxa" w:w="4600"/>
            <w:shd w:val="clear" w:color="auto" w:fill="EEF2F8"/>
          </w:tcPr>
          <w:p>
            <w:pPr>
              <w:spacing w:before="40" w:after="40"/>
            </w:pPr>
            <w:r>
              <w:rPr>
                <w:rFonts w:ascii="Calibri" w:cs="Calibri" w:eastAsia="Calibri" w:hAnsi="Calibri"/>
                <w:color w:val="000000"/>
                <w:sz w:val="16"/>
                <w:szCs w:val="16"/>
              </w:rPr>
              <w:t xml:space="preserve">UAE functions as primary Western-adjacent shelter for sanctioned Russian oligarch assets: real estate (estimated $4-7B Russian-linked property purchases since 2022), private banking, shell company formation. UAE FATF grey-listing removal (Feb 2024) created compliance pressure but enforcement is inconsistent. Enforcement leverage: UAE's dependence on dollar clearing and FATF white-list status. Action: targeted OFAC advisory to UAE financial institutions identifying Russian oligarch asset sheltering as high-risk category; follow with specific beneficial ownership requests through bilateral AML cooperation; escalate to CAATSA §226 against specific UAE banks with identified sanctioned oligarch accounts if bilateral engagement fails.</w:t>
            </w:r>
          </w:p>
        </w:tc>
      </w:tr>
      <w:tr>
        <w:tc>
          <w:tcPr>
            <w:tcW w:type="dxa" w:w="2200"/>
            <w:shd w:val="clear" w:color="auto" w:fill="FFFFFF"/>
          </w:tcPr>
          <w:p>
            <w:pPr>
              <w:spacing w:before="40" w:after="40"/>
            </w:pPr>
            <w:r>
              <w:rPr>
                <w:rFonts w:ascii="Calibri" w:cs="Calibri" w:eastAsia="Calibri" w:hAnsi="Calibri"/>
                <w:b/>
                <w:bCs/>
                <w:color w:val="8B4500"/>
                <w:sz w:val="16"/>
                <w:szCs w:val="16"/>
              </w:rPr>
              <w:t xml:space="preserve">Turkey — Financial Transit and Energy Re-Export</w:t>
            </w:r>
          </w:p>
        </w:tc>
        <w:tc>
          <w:tcPr>
            <w:tcW w:type="dxa" w:w="1800"/>
            <w:shd w:val="clear" w:color="auto" w:fill="FFFFFF"/>
          </w:tcPr>
          <w:p>
            <w:pPr>
              <w:spacing w:before="40" w:after="40"/>
            </w:pPr>
            <w:r>
              <w:rPr>
                <w:rFonts w:ascii="Calibri" w:cs="Calibri" w:eastAsia="Calibri" w:hAnsi="Calibri"/>
                <w:color w:val="000000"/>
                <w:sz w:val="16"/>
                <w:szCs w:val="16"/>
              </w:rPr>
              <w:t xml:space="preserve">Istanbul / Ankara, Turkey</w:t>
            </w:r>
          </w:p>
        </w:tc>
        <w:tc>
          <w:tcPr>
            <w:tcW w:type="dxa" w:w="2200"/>
            <w:shd w:val="clear" w:color="auto" w:fill="FFFFFF"/>
          </w:tcPr>
          <w:p>
            <w:pPr>
              <w:spacing w:before="40" w:after="40"/>
            </w:pPr>
            <w:r>
              <w:rPr>
                <w:rFonts w:ascii="Calibri" w:cs="Calibri" w:eastAsia="Calibri" w:hAnsi="Calibri"/>
                <w:color w:val="000000"/>
                <w:sz w:val="16"/>
                <w:szCs w:val="16"/>
              </w:rPr>
              <w:t xml:space="preserve">Ziraat Bank; Halkbank; BOTAS (energy); multiple commodity traders</w:t>
            </w:r>
          </w:p>
        </w:tc>
        <w:tc>
          <w:tcPr>
            <w:tcW w:type="dxa" w:w="2400"/>
            <w:shd w:val="clear" w:color="auto" w:fill="FFFFFF"/>
          </w:tcPr>
          <w:p>
            <w:pPr>
              <w:spacing w:before="40" w:after="40"/>
            </w:pPr>
            <w:r>
              <w:rPr>
                <w:rFonts w:ascii="Calibri" w:cs="Calibri" w:eastAsia="Calibri" w:hAnsi="Calibri"/>
                <w:color w:val="000000"/>
                <w:sz w:val="16"/>
                <w:szCs w:val="16"/>
              </w:rPr>
              <w:t xml:space="preserve">CAATSA §226; EO 14024 §1(a)(iii); EO 14071</w:t>
            </w:r>
          </w:p>
        </w:tc>
        <w:tc>
          <w:tcPr>
            <w:tcW w:type="dxa" w:w="4600"/>
            <w:shd w:val="clear" w:color="auto" w:fill="FFFFFF"/>
          </w:tcPr>
          <w:p>
            <w:pPr>
              <w:spacing w:before="40" w:after="40"/>
            </w:pPr>
            <w:r>
              <w:rPr>
                <w:rFonts w:ascii="Calibri" w:cs="Calibri" w:eastAsia="Calibri" w:hAnsi="Calibri"/>
                <w:color w:val="000000"/>
                <w:sz w:val="16"/>
                <w:szCs w:val="16"/>
              </w:rPr>
              <w:t xml:space="preserve">Turkey functions as a secondary UAE — financial transit hub, energy re-export node (TurkStream gas), and sanctions evasion financial services provider. Turkish state banks (Ziraat, Halkbank) have maintained Russian correspondent relationships and process significant Russian transaction volume. CAATSA §226 is the primary authority — both banks have dollar-clearing exposure. Halkbank has prior US prosecution history (Iranian sanctions evasion) making it acutely sensitive to secondary sanctions pressure. Action: CAATSA §226 informal pressure on Ziraat/Halkbank compliance functions; identify specific transaction categories (Russian energy payments, oligarch asset transfers) that trigger secondary sanctions review.</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Sections XX-XXI added March 2026. XX maps Chinese evasion architecture dollar re-entry points and matching enforcement theories including GENIUS Act §4 Tether freeze authority, HK OTC correspondent banking pressure, Section 311 Kyrgyz FFI special measure, and COFCO/Sinograin secondary sanctions theory. XXI maps Indian and UAE transshipment layer including Nayara Energy Rosneft control determination analysis, INR-RUB Vostro account CAATSA §226 exposure, Litasco Middle East DMCC OFAC designation gap, and UAE/Turkey financial transit enforcement theories.</w:t>
      </w:r>
    </w:p>
    <w:sectPr>
      <w:headerReference w:type="default" r:id="rId6"/>
      <w:footerReference w:type="default" r:id="rId7"/>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3" w:space="3"/>
      </w:pBdr>
      <w:jc w:val="center"/>
    </w:pPr>
    <w:r>
      <w:rPr>
        <w:rFonts w:ascii="Calibri" w:cs="Calibri" w:eastAsia="Calibri" w:hAnsi="Calibri"/>
        <w:color w:val="888888"/>
        <w:sz w:val="15"/>
        <w:szCs w:val="15"/>
      </w:rPr>
      <w:t xml:space="preserve">STRATEGIC ANALYSIS (SIMULATED) • FOR ACADEMIC AND POLICY RESEARCH PURPOSES ONLY • March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3" w:space="3"/>
      </w:pBdr>
      <w:tabs>
        <w:tab w:val="right" w:pos="13680"/>
      </w:tabs>
    </w:pPr>
    <w:r>
      <w:rPr>
        <w:rFonts w:ascii="Calibri" w:cs="Calibri" w:eastAsia="Calibri" w:hAnsi="Calibri"/>
        <w:b/>
        <w:bCs/>
        <w:color w:val="666666"/>
        <w:sz w:val="16"/>
        <w:szCs w:val="16"/>
      </w:rPr>
      <w:t xml:space="preserve">RUSSIA–CHINA STRATEGIC NODE MASTER INDEX v2  —  WP-2026 SERIES  —  C. GEORGE  —  March 2026</w:t>
    </w:r>
    <w:r>
      <w:rPr>
        <w:rFonts w:ascii="Calibri" w:cs="Calibri" w:eastAsia="Calibri" w:hAnsi="Calibri"/>
        <w:color w:val="888888"/>
        <w:sz w:val="16"/>
        <w:szCs w:val="16"/>
      </w:rPr>
      <w:t xml:space="preserve">	STRATEGIC ANALYSIS (SIMULATED) — NOT 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C2B4A"/>
      <w:sz w:val="30"/>
      <w:szCs w:val="30"/>
    </w:rPr>
  </w:style>
  <w:style w:type="paragraph" w:styleId="Heading2">
    <w:name w:val="Heading 2"/>
    <w:basedOn w:val="Normal"/>
    <w:next w:val="Normal"/>
    <w:qFormat/>
    <w:pPr>
      <w:spacing w:before="280" w:after="80"/>
      <w:outlineLvl w:val="1"/>
    </w:pPr>
    <w:rPr>
      <w:rFonts w:ascii="Calibri" w:cs="Calibri" w:eastAsia="Calibri" w:hAnsi="Calibri"/>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2026-03-14T00:37:50.821Z</dcterms:created>
  <dcterms:modified xsi:type="dcterms:W3CDTF">2026-03-14T00:37:50.821Z</dcterms:modified>
</cp:coreProperties>
</file>

<file path=docProps/custom.xml><?xml version="1.0" encoding="utf-8"?>
<Properties xmlns="http://schemas.openxmlformats.org/officeDocument/2006/custom-properties" xmlns:vt="http://schemas.openxmlformats.org/officeDocument/2006/docPropsVTypes"/>
</file>