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Arial" w:cs="Arial" w:eastAsia="Arial" w:hAnsi="Arial"/>
          <w:b/>
          <w:bCs/>
          <w:color w:val="C00000"/>
          <w:sz w:val="20"/>
          <w:szCs w:val="20"/>
        </w:rPr>
        <w:t xml:space="preserve">UNCLASSIFIED // PUBLIC-SOURCE DEFENSIVE ASSESSMENT</w:t>
      </w:r>
    </w:p>
    <w:p>
      <w:pPr>
        <w:pBdr>
          <w:bottom w:val="single" w:color="C00000" w:sz="6" w:space="1"/>
        </w:pBdr>
        <w:spacing w:before="40" w:after="40"/>
      </w:pPr>
    </w:p>
    <w:p>
      <w:pPr>
        <w:spacing w:before="0" w:after="240"/>
      </w:pPr>
    </w:p>
    <w:p>
      <w:pPr>
        <w:spacing w:before="0" w:after="120"/>
        <w:jc w:val="center"/>
      </w:pPr>
      <w:r>
        <w:rPr>
          <w:rFonts w:ascii="Arial" w:cs="Arial" w:eastAsia="Arial" w:hAnsi="Arial"/>
          <w:b/>
          <w:bCs/>
          <w:color w:val="1F3864"/>
          <w:sz w:val="20"/>
          <w:szCs w:val="20"/>
        </w:rPr>
        <w:t xml:space="preserve">EXECUTIVE DERIVATIVE</w:t>
      </w:r>
    </w:p>
    <w:p>
      <w:pPr>
        <w:spacing w:before="0" w:after="80"/>
        <w:jc w:val="center"/>
      </w:pPr>
      <w:r>
        <w:rPr>
          <w:rFonts w:ascii="Arial" w:cs="Arial" w:eastAsia="Arial" w:hAnsi="Arial"/>
          <w:b/>
          <w:bCs/>
          <w:color w:val="1F3864"/>
          <w:sz w:val="44"/>
          <w:szCs w:val="44"/>
        </w:rPr>
        <w:t xml:space="preserve">Countering State Biological Weapons Risk</w:t>
      </w:r>
    </w:p>
    <w:p>
      <w:pPr>
        <w:spacing w:before="0" w:after="60"/>
        <w:jc w:val="center"/>
      </w:pPr>
      <w:r>
        <w:rPr>
          <w:rFonts w:ascii="Arial" w:cs="Arial" w:eastAsia="Arial" w:hAnsi="Arial"/>
          <w:b/>
          <w:bCs/>
          <w:color w:val="1F3864"/>
          <w:sz w:val="28"/>
          <w:szCs w:val="28"/>
        </w:rPr>
        <w:t xml:space="preserve">China, Russia, Iran, and North Korea</w:t>
      </w:r>
    </w:p>
    <w:p>
      <w:pPr>
        <w:spacing w:before="0" w:after="320"/>
        <w:jc w:val="center"/>
      </w:pPr>
      <w:r>
        <w:rPr>
          <w:rFonts w:ascii="Arial" w:cs="Arial" w:eastAsia="Arial" w:hAnsi="Arial"/>
          <w:i/>
          <w:iCs/>
          <w:color w:val="595959"/>
          <w:sz w:val="20"/>
          <w:szCs w:val="20"/>
        </w:rPr>
        <w:t xml:space="preserve">Key Judgments  |  Risk Matrix  |  Policy Implications  |  Recommendations</w:t>
      </w:r>
    </w:p>
    <w:p>
      <w:pPr>
        <w:spacing w:before="0" w:after="60"/>
        <w:jc w:val="center"/>
      </w:pPr>
      <w:r>
        <w:rPr>
          <w:rFonts w:ascii="Arial" w:cs="Arial" w:eastAsia="Arial" w:hAnsi="Arial"/>
          <w:color w:val="595959"/>
          <w:sz w:val="18"/>
          <w:szCs w:val="18"/>
        </w:rPr>
        <w:t xml:space="preserve">Companion document to: Countering State Biological Weapons Risk — Full Assessment (March 2026)</w:t>
      </w:r>
    </w:p>
    <w:p>
      <w:pPr>
        <w:spacing w:before="0" w:after="60"/>
        <w:jc w:val="center"/>
      </w:pPr>
      <w:r>
        <w:rPr>
          <w:rFonts w:ascii="Arial" w:cs="Arial" w:eastAsia="Arial" w:hAnsi="Arial"/>
          <w:color w:val="595959"/>
          <w:sz w:val="18"/>
          <w:szCs w:val="18"/>
        </w:rPr>
        <w:t xml:space="preserve">Unclassified  |  Public-Source  |  Defensive Assessment</w:t>
      </w:r>
    </w:p>
    <w:p>
      <w:pPr>
        <w:pBdr>
          <w:bottom w:val="single" w:color="1F3864" w:sz="4" w:space="1"/>
        </w:pBdr>
        <w:spacing w:before="40" w:after="40"/>
      </w:pPr>
    </w:p>
    <w:p>
      <w:pPr>
        <w:spacing w:before="0"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F3864" w:sz="3"/>
              <w:left w:val="single" w:color="1F3864" w:sz="14"/>
              <w:bottom w:val="single" w:color="1F3864" w:sz="3"/>
              <w:right w:val="none" w:color="FFFFFF" w:sz="0"/>
            </w:tcBorders>
            <w:shd w:fill="F0F4FF" w:val="clear"/>
            <w:tcMar>
              <w:top w:type="dxa" w:w="100"/>
              <w:left w:type="dxa" w:w="180"/>
              <w:bottom w:type="dxa" w:w="100"/>
              <w:right w:type="dxa" w:w="180"/>
            </w:tcMar>
          </w:tcPr>
          <w:p>
            <w:pPr>
              <w:spacing w:before="0" w:after="60"/>
            </w:pPr>
            <w:r>
              <w:rPr>
                <w:rFonts w:ascii="Arial" w:cs="Arial" w:eastAsia="Arial" w:hAnsi="Arial"/>
                <w:b/>
                <w:bCs/>
                <w:color w:val="1F3864"/>
                <w:sz w:val="20"/>
                <w:szCs w:val="20"/>
              </w:rPr>
              <w:t xml:space="preserve">Purpose and Scope</w:t>
            </w:r>
          </w:p>
          <w:p>
            <w:pPr>
              <w:jc w:val="both"/>
            </w:pPr>
            <w:r>
              <w:rPr>
                <w:rFonts w:ascii="Arial" w:cs="Arial" w:eastAsia="Arial" w:hAnsi="Arial"/>
                <w:sz w:val="20"/>
                <w:szCs w:val="20"/>
              </w:rPr>
              <w:t xml:space="preserve">This executive derivative distills the five principal judgments, comparative risk matrix, strategic implications, and priority recommendations from the full public-source assessment. It is designed as a standalone read for time-constrained review. It is unclassified, public-source, and defensive in framing. It is not an operational document and does not supplement classified reporting.</w:t>
            </w:r>
          </w:p>
        </w:tc>
      </w:tr>
    </w:tbl>
    <w:p>
      <w:pPr>
        <w:spacing w:before="0" w:after="100"/>
      </w:pPr>
    </w:p>
    <w:p>
      <w:pPr>
        <w:pBdr>
          <w:bottom w:val="single" w:color="C00000" w:sz="6" w:space="1"/>
        </w:pBdr>
        <w:spacing w:before="40" w:after="40"/>
      </w:pPr>
    </w:p>
    <w:p>
      <w:pPr>
        <w:spacing w:before="60" w:after="0"/>
        <w:jc w:val="center"/>
      </w:pPr>
      <w:r>
        <w:rPr>
          <w:rFonts w:ascii="Arial" w:cs="Arial" w:eastAsia="Arial" w:hAnsi="Arial"/>
          <w:b/>
          <w:bCs/>
          <w:color w:val="C00000"/>
          <w:sz w:val="20"/>
          <w:szCs w:val="20"/>
        </w:rPr>
        <w:t xml:space="preserve">UNCLASSIFIED</w:t>
      </w:r>
    </w:p>
    <w:p>
      <w:r>
        <w:br w:type="page"/>
      </w:r>
    </w:p>
    <w:p>
      <w:pPr>
        <w:spacing w:before="0" w:after="40"/>
      </w:pPr>
      <w:r>
        <w:rPr>
          <w:rFonts w:ascii="Arial" w:cs="Arial" w:eastAsia="Arial" w:hAnsi="Arial"/>
          <w:b/>
          <w:bCs/>
          <w:color w:val="C00000"/>
          <w:sz w:val="18"/>
          <w:szCs w:val="18"/>
        </w:rPr>
        <w:t xml:space="preserve">PART I</w:t>
      </w:r>
    </w:p>
    <w:p>
      <w:pPr>
        <w:spacing w:before="200" w:after="80"/>
      </w:pPr>
      <w:r>
        <w:rPr>
          <w:rFonts w:ascii="Arial" w:cs="Arial" w:eastAsia="Arial" w:hAnsi="Arial"/>
          <w:b/>
          <w:bCs/>
          <w:color w:val="1F3864"/>
          <w:sz w:val="30"/>
          <w:szCs w:val="30"/>
        </w:rPr>
        <w:t xml:space="preserve">Key Judgments</w:t>
      </w:r>
    </w:p>
    <w:p>
      <w:pPr>
        <w:pBdr>
          <w:bottom w:val="single" w:color="1F3864" w:sz="4" w:space="1"/>
        </w:pBdr>
        <w:spacing w:before="40" w:after="40"/>
      </w:pPr>
    </w:p>
    <w:p>
      <w:pPr>
        <w:spacing w:before="0" w:after="60"/>
      </w:pPr>
    </w:p>
    <w:p>
      <w:pPr>
        <w:spacing w:before="60" w:after="80" w:line="276"/>
        <w:jc w:val="both"/>
      </w:pPr>
      <w:r>
        <w:rPr>
          <w:rFonts w:ascii="Arial" w:cs="Arial" w:eastAsia="Arial" w:hAnsi="Arial"/>
          <w:b w:val="false"/>
          <w:bCs w:val="false"/>
          <w:i/>
          <w:iCs/>
          <w:color w:val="595959"/>
          <w:sz w:val="20"/>
          <w:szCs w:val="20"/>
        </w:rPr>
        <w:t xml:space="preserve">Each judgment is labeled by confidence level and evidence type. All sourcing draws from official U.S. and multilateral public reporting. See full assessment for complete sourcing and analytic standards.</w:t>
      </w:r>
    </w:p>
    <w:p>
      <w:pPr>
        <w:spacing w:before="0" w:after="100"/>
      </w:pPr>
    </w:p>
    <w:tbl>
      <w:tblPr>
        <w:tblW w:type="dxa" w:w="9360"/>
        <w:tblBorders>
          <w:top w:val="none" w:color="FFFFFF" w:sz="0"/>
          <w:left w:val="none" w:color="FFFFFF" w:sz="0"/>
          <w:bottom w:val="single" w:color="BFBFBF" w:sz="2"/>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F3864" w:val="clear"/>
            <w:tcMar>
              <w:top w:type="dxa" w:w="100"/>
              <w:left w:type="dxa" w:w="80"/>
              <w:bottom w:type="dxa" w:w="0"/>
              <w:right w:type="dxa" w:w="80"/>
            </w:tcMar>
            <w:vAlign w:val="top"/>
          </w:tcPr>
          <w:p>
            <w:pPr>
              <w:jc w:val="center"/>
            </w:pPr>
            <w:r>
              <w:rPr>
                <w:rFonts w:ascii="Arial" w:cs="Arial" w:eastAsia="Arial" w:hAnsi="Arial"/>
                <w:b/>
                <w:bCs/>
                <w:color w:val="FFFFFF"/>
                <w:sz w:val="22"/>
                <w:szCs w:val="22"/>
              </w:rPr>
              <w:t xml:space="preserve">1</w:t>
            </w:r>
          </w:p>
        </w:tc>
        <w:tc>
          <w:tcPr>
            <w:tcW w:type="dxa" w:w="8880"/>
            <w:tcBorders>
              <w:top w:val="none" w:color="FFFFFF" w:sz="0"/>
              <w:left w:val="single" w:color="375623" w:sz="8"/>
              <w:bottom w:val="single" w:color="BFBFBF" w:sz="2"/>
              <w:right w:val="none" w:color="FFFFFF" w:sz="0"/>
            </w:tcBorders>
            <w:shd w:fill="E2EFDA" w:val="clear"/>
            <w:tcMar>
              <w:top w:type="dxa" w:w="100"/>
              <w:left w:type="dxa" w:w="180"/>
              <w:bottom w:type="dxa" w:w="100"/>
              <w:right w:type="dxa" w:w="160"/>
            </w:tcMar>
          </w:tcPr>
          <w:p>
            <w:pPr>
              <w:spacing w:before="0" w:after="50"/>
            </w:pPr>
            <w:r>
              <w:rPr>
                <w:rFonts w:ascii="Arial" w:cs="Arial" w:eastAsia="Arial" w:hAnsi="Arial"/>
                <w:b/>
                <w:bCs/>
                <w:color w:val="375623"/>
                <w:sz w:val="18"/>
                <w:szCs w:val="18"/>
              </w:rPr>
              <w:t xml:space="preserve">HIGH CONFIDENCE</w:t>
            </w:r>
            <w:r>
              <w:rPr>
                <w:rFonts w:ascii="Arial" w:cs="Arial" w:eastAsia="Arial" w:hAnsi="Arial"/>
                <w:i/>
                <w:iCs/>
                <w:color w:val="595959"/>
                <w:sz w:val="18"/>
                <w:szCs w:val="18"/>
              </w:rPr>
              <w:t xml:space="preserve">   |   Observed / Officially Reported</w:t>
            </w:r>
          </w:p>
          <w:p>
            <w:pPr>
              <w:spacing w:before="0" w:after="0"/>
              <w:jc w:val="both"/>
            </w:pPr>
            <w:r>
              <w:rPr>
                <w:rFonts w:ascii="Arial" w:cs="Arial" w:eastAsia="Arial" w:hAnsi="Arial"/>
                <w:sz w:val="20"/>
                <w:szCs w:val="20"/>
              </w:rPr>
              <w:t xml:space="preserve">All four states present biological-weapons-related concern in official U.S. reporting. ODNI's 2025 Annual Threat Assessment states that China most likely possesses CBW-relevant capabilities; that Russia's CBW threat is expanding; that Iran very likely aims to continue offensive-purpose biological R&amp;D; and that North Korea maintains CBW capabilities and may use them in conflict or in a clandestine attack. These are not speculative judgments — they are direct official findings.</w:t>
            </w:r>
          </w:p>
        </w:tc>
      </w:tr>
    </w:tbl>
    <w:p>
      <w:pPr>
        <w:spacing w:before="0" w:after="80"/>
      </w:pPr>
    </w:p>
    <w:tbl>
      <w:tblPr>
        <w:tblW w:type="dxa" w:w="9360"/>
        <w:tblBorders>
          <w:top w:val="none" w:color="FFFFFF" w:sz="0"/>
          <w:left w:val="none" w:color="FFFFFF" w:sz="0"/>
          <w:bottom w:val="single" w:color="BFBFBF" w:sz="2"/>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F3864" w:val="clear"/>
            <w:tcMar>
              <w:top w:type="dxa" w:w="100"/>
              <w:left w:type="dxa" w:w="80"/>
              <w:bottom w:type="dxa" w:w="0"/>
              <w:right w:type="dxa" w:w="80"/>
            </w:tcMar>
            <w:vAlign w:val="top"/>
          </w:tcPr>
          <w:p>
            <w:pPr>
              <w:jc w:val="center"/>
            </w:pPr>
            <w:r>
              <w:rPr>
                <w:rFonts w:ascii="Arial" w:cs="Arial" w:eastAsia="Arial" w:hAnsi="Arial"/>
                <w:b/>
                <w:bCs/>
                <w:color w:val="FFFFFF"/>
                <w:sz w:val="22"/>
                <w:szCs w:val="22"/>
              </w:rPr>
              <w:t xml:space="preserve">2</w:t>
            </w:r>
          </w:p>
        </w:tc>
        <w:tc>
          <w:tcPr>
            <w:tcW w:type="dxa" w:w="8880"/>
            <w:tcBorders>
              <w:top w:val="none" w:color="FFFFFF" w:sz="0"/>
              <w:left w:val="single" w:color="375623" w:sz="8"/>
              <w:bottom w:val="single" w:color="BFBFBF" w:sz="2"/>
              <w:right w:val="none" w:color="FFFFFF" w:sz="0"/>
            </w:tcBorders>
            <w:shd w:fill="E2EFDA" w:val="clear"/>
            <w:tcMar>
              <w:top w:type="dxa" w:w="100"/>
              <w:left w:type="dxa" w:w="180"/>
              <w:bottom w:type="dxa" w:w="100"/>
              <w:right w:type="dxa" w:w="160"/>
            </w:tcMar>
          </w:tcPr>
          <w:p>
            <w:pPr>
              <w:spacing w:before="0" w:after="50"/>
            </w:pPr>
            <w:r>
              <w:rPr>
                <w:rFonts w:ascii="Arial" w:cs="Arial" w:eastAsia="Arial" w:hAnsi="Arial"/>
                <w:b/>
                <w:bCs/>
                <w:color w:val="375623"/>
                <w:sz w:val="18"/>
                <w:szCs w:val="18"/>
              </w:rPr>
              <w:t xml:space="preserve">HIGH CONFIDENCE</w:t>
            </w:r>
            <w:r>
              <w:rPr>
                <w:rFonts w:ascii="Arial" w:cs="Arial" w:eastAsia="Arial" w:hAnsi="Arial"/>
                <w:i/>
                <w:iCs/>
                <w:color w:val="595959"/>
                <w:sz w:val="18"/>
                <w:szCs w:val="18"/>
              </w:rPr>
              <w:t xml:space="preserve">   |   Observed / Officially Reported</w:t>
            </w:r>
          </w:p>
          <w:p>
            <w:pPr>
              <w:spacing w:before="0" w:after="0"/>
              <w:jc w:val="both"/>
            </w:pPr>
            <w:r>
              <w:rPr>
                <w:rFonts w:ascii="Arial" w:cs="Arial" w:eastAsia="Arial" w:hAnsi="Arial"/>
                <w:sz w:val="20"/>
                <w:szCs w:val="20"/>
              </w:rPr>
              <w:t xml:space="preserve">Adversarial cooperation among these four states compounds the biological risk. ODNI assesses that cooperation has been growing more rapidly, reinforcing individual and collective capacity to threaten U.S. interests. Biological risk from any one state should therefore not be assessed in full isolation from the others.</w:t>
            </w:r>
          </w:p>
        </w:tc>
      </w:tr>
    </w:tbl>
    <w:p>
      <w:pPr>
        <w:spacing w:before="0" w:after="80"/>
      </w:pPr>
    </w:p>
    <w:tbl>
      <w:tblPr>
        <w:tblW w:type="dxa" w:w="9360"/>
        <w:tblBorders>
          <w:top w:val="none" w:color="FFFFFF" w:sz="0"/>
          <w:left w:val="none" w:color="FFFFFF" w:sz="0"/>
          <w:bottom w:val="single" w:color="BFBFBF" w:sz="2"/>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F3864" w:val="clear"/>
            <w:tcMar>
              <w:top w:type="dxa" w:w="100"/>
              <w:left w:type="dxa" w:w="80"/>
              <w:bottom w:type="dxa" w:w="0"/>
              <w:right w:type="dxa" w:w="80"/>
            </w:tcMar>
            <w:vAlign w:val="top"/>
          </w:tcPr>
          <w:p>
            <w:pPr>
              <w:jc w:val="center"/>
            </w:pPr>
            <w:r>
              <w:rPr>
                <w:rFonts w:ascii="Arial" w:cs="Arial" w:eastAsia="Arial" w:hAnsi="Arial"/>
                <w:b/>
                <w:bCs/>
                <w:color w:val="FFFFFF"/>
                <w:sz w:val="22"/>
                <w:szCs w:val="22"/>
              </w:rPr>
              <w:t xml:space="preserve">3</w:t>
            </w:r>
          </w:p>
        </w:tc>
        <w:tc>
          <w:tcPr>
            <w:tcW w:type="dxa" w:w="8880"/>
            <w:tcBorders>
              <w:top w:val="none" w:color="FFFFFF" w:sz="0"/>
              <w:left w:val="single" w:color="375623" w:sz="8"/>
              <w:bottom w:val="single" w:color="BFBFBF" w:sz="2"/>
              <w:right w:val="none" w:color="FFFFFF" w:sz="0"/>
            </w:tcBorders>
            <w:shd w:fill="E2EFDA" w:val="clear"/>
            <w:tcMar>
              <w:top w:type="dxa" w:w="100"/>
              <w:left w:type="dxa" w:w="180"/>
              <w:bottom w:type="dxa" w:w="100"/>
              <w:right w:type="dxa" w:w="160"/>
            </w:tcMar>
          </w:tcPr>
          <w:p>
            <w:pPr>
              <w:spacing w:before="0" w:after="50"/>
            </w:pPr>
            <w:r>
              <w:rPr>
                <w:rFonts w:ascii="Arial" w:cs="Arial" w:eastAsia="Arial" w:hAnsi="Arial"/>
                <w:b/>
                <w:bCs/>
                <w:color w:val="375623"/>
                <w:sz w:val="18"/>
                <w:szCs w:val="18"/>
              </w:rPr>
              <w:t xml:space="preserve">HIGH CONFIDENCE</w:t>
            </w:r>
            <w:r>
              <w:rPr>
                <w:rFonts w:ascii="Arial" w:cs="Arial" w:eastAsia="Arial" w:hAnsi="Arial"/>
                <w:i/>
                <w:iCs/>
                <w:color w:val="595959"/>
                <w:sz w:val="18"/>
                <w:szCs w:val="18"/>
              </w:rPr>
              <w:t xml:space="preserve">   |   Assessment</w:t>
            </w:r>
          </w:p>
          <w:p>
            <w:pPr>
              <w:spacing w:before="0" w:after="0"/>
              <w:jc w:val="both"/>
            </w:pPr>
            <w:r>
              <w:rPr>
                <w:rFonts w:ascii="Arial" w:cs="Arial" w:eastAsia="Arial" w:hAnsi="Arial"/>
                <w:sz w:val="20"/>
                <w:szCs w:val="20"/>
              </w:rPr>
              <w:t xml:space="preserve">The Biological Weapons Convention prohibits biological weapons but lacks an IAEA-equivalent verification architecture. States that choose opacity face no standing technical treaty consequence. That structural gap — not merely hostile intent — is the central condition enabling sustained biological risk from all four states.</w:t>
            </w:r>
          </w:p>
        </w:tc>
      </w:tr>
    </w:tbl>
    <w:p>
      <w:pPr>
        <w:spacing w:before="0" w:after="80"/>
      </w:pPr>
    </w:p>
    <w:tbl>
      <w:tblPr>
        <w:tblW w:type="dxa" w:w="9360"/>
        <w:tblBorders>
          <w:top w:val="none" w:color="FFFFFF" w:sz="0"/>
          <w:left w:val="none" w:color="FFFFFF" w:sz="0"/>
          <w:bottom w:val="single" w:color="BFBFBF" w:sz="2"/>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F3864" w:val="clear"/>
            <w:tcMar>
              <w:top w:type="dxa" w:w="100"/>
              <w:left w:type="dxa" w:w="80"/>
              <w:bottom w:type="dxa" w:w="0"/>
              <w:right w:type="dxa" w:w="80"/>
            </w:tcMar>
            <w:vAlign w:val="top"/>
          </w:tcPr>
          <w:p>
            <w:pPr>
              <w:jc w:val="center"/>
            </w:pPr>
            <w:r>
              <w:rPr>
                <w:rFonts w:ascii="Arial" w:cs="Arial" w:eastAsia="Arial" w:hAnsi="Arial"/>
                <w:b/>
                <w:bCs/>
                <w:color w:val="FFFFFF"/>
                <w:sz w:val="22"/>
                <w:szCs w:val="22"/>
              </w:rPr>
              <w:t xml:space="preserve">4</w:t>
            </w:r>
          </w:p>
        </w:tc>
        <w:tc>
          <w:tcPr>
            <w:tcW w:type="dxa" w:w="8880"/>
            <w:tcBorders>
              <w:top w:val="none" w:color="FFFFFF" w:sz="0"/>
              <w:left w:val="single" w:color="7F6000" w:sz="8"/>
              <w:bottom w:val="single" w:color="BFBFBF" w:sz="2"/>
              <w:right w:val="none" w:color="FFFFFF" w:sz="0"/>
            </w:tcBorders>
            <w:shd w:fill="FFFDE7" w:val="clear"/>
            <w:tcMar>
              <w:top w:type="dxa" w:w="100"/>
              <w:left w:type="dxa" w:w="180"/>
              <w:bottom w:type="dxa" w:w="100"/>
              <w:right w:type="dxa" w:w="160"/>
            </w:tcMar>
          </w:tcPr>
          <w:p>
            <w:pPr>
              <w:spacing w:before="0" w:after="50"/>
            </w:pPr>
            <w:r>
              <w:rPr>
                <w:rFonts w:ascii="Arial" w:cs="Arial" w:eastAsia="Arial" w:hAnsi="Arial"/>
                <w:b/>
                <w:bCs/>
                <w:color w:val="7F6000"/>
                <w:sz w:val="18"/>
                <w:szCs w:val="18"/>
              </w:rPr>
              <w:t xml:space="preserve">MODERATE CONFIDENCE</w:t>
            </w:r>
            <w:r>
              <w:rPr>
                <w:rFonts w:ascii="Arial" w:cs="Arial" w:eastAsia="Arial" w:hAnsi="Arial"/>
                <w:i/>
                <w:iCs/>
                <w:color w:val="595959"/>
                <w:sz w:val="18"/>
                <w:szCs w:val="18"/>
              </w:rPr>
              <w:t xml:space="preserve">   |   Implication</w:t>
            </w:r>
          </w:p>
          <w:p>
            <w:pPr>
              <w:spacing w:before="0" w:after="0"/>
              <w:jc w:val="both"/>
            </w:pPr>
            <w:r>
              <w:rPr>
                <w:rFonts w:ascii="Arial" w:cs="Arial" w:eastAsia="Arial" w:hAnsi="Arial"/>
                <w:sz w:val="20"/>
                <w:szCs w:val="20"/>
              </w:rPr>
              <w:t xml:space="preserve">The most policy-relevant near-term vulnerability is not a precision biological attack scenario. It is delayed recognition, weak attribution, and fragmented preparedness. A deliberate biological event engineered to resemble a natural outbreak could exhaust the attribution window before response options are credible. Current allied surveillance and information-sharing architecture does not fully close that gap.</w:t>
            </w:r>
          </w:p>
        </w:tc>
      </w:tr>
    </w:tbl>
    <w:p>
      <w:pPr>
        <w:spacing w:before="0" w:after="80"/>
      </w:pPr>
    </w:p>
    <w:tbl>
      <w:tblPr>
        <w:tblW w:type="dxa" w:w="9360"/>
        <w:tblBorders>
          <w:top w:val="none" w:color="FFFFFF" w:sz="0"/>
          <w:left w:val="none" w:color="FFFFFF" w:sz="0"/>
          <w:bottom w:val="single" w:color="BFBFBF" w:sz="2"/>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F3864" w:val="clear"/>
            <w:tcMar>
              <w:top w:type="dxa" w:w="100"/>
              <w:left w:type="dxa" w:w="80"/>
              <w:bottom w:type="dxa" w:w="0"/>
              <w:right w:type="dxa" w:w="80"/>
            </w:tcMar>
            <w:vAlign w:val="top"/>
          </w:tcPr>
          <w:p>
            <w:pPr>
              <w:jc w:val="center"/>
            </w:pPr>
            <w:r>
              <w:rPr>
                <w:rFonts w:ascii="Arial" w:cs="Arial" w:eastAsia="Arial" w:hAnsi="Arial"/>
                <w:b/>
                <w:bCs/>
                <w:color w:val="FFFFFF"/>
                <w:sz w:val="22"/>
                <w:szCs w:val="22"/>
              </w:rPr>
              <w:t xml:space="preserve">5</w:t>
            </w:r>
          </w:p>
        </w:tc>
        <w:tc>
          <w:tcPr>
            <w:tcW w:type="dxa" w:w="8880"/>
            <w:tcBorders>
              <w:top w:val="none" w:color="FFFFFF" w:sz="0"/>
              <w:left w:val="single" w:color="375623" w:sz="8"/>
              <w:bottom w:val="single" w:color="BFBFBF" w:sz="2"/>
              <w:right w:val="none" w:color="FFFFFF" w:sz="0"/>
            </w:tcBorders>
            <w:shd w:fill="E2EFDA" w:val="clear"/>
            <w:tcMar>
              <w:top w:type="dxa" w:w="100"/>
              <w:left w:type="dxa" w:w="180"/>
              <w:bottom w:type="dxa" w:w="100"/>
              <w:right w:type="dxa" w:w="160"/>
            </w:tcMar>
          </w:tcPr>
          <w:p>
            <w:pPr>
              <w:spacing w:before="0" w:after="50"/>
            </w:pPr>
            <w:r>
              <w:rPr>
                <w:rFonts w:ascii="Arial" w:cs="Arial" w:eastAsia="Arial" w:hAnsi="Arial"/>
                <w:b/>
                <w:bCs/>
                <w:color w:val="375623"/>
                <w:sz w:val="18"/>
                <w:szCs w:val="18"/>
              </w:rPr>
              <w:t xml:space="preserve">HIGH CONFIDENCE</w:t>
            </w:r>
            <w:r>
              <w:rPr>
                <w:rFonts w:ascii="Arial" w:cs="Arial" w:eastAsia="Arial" w:hAnsi="Arial"/>
                <w:i/>
                <w:iCs/>
                <w:color w:val="595959"/>
                <w:sz w:val="18"/>
                <w:szCs w:val="18"/>
              </w:rPr>
              <w:t xml:space="preserve">   |   Assessment</w:t>
            </w:r>
          </w:p>
          <w:p>
            <w:pPr>
              <w:spacing w:before="0" w:after="0"/>
              <w:jc w:val="both"/>
            </w:pPr>
            <w:r>
              <w:rPr>
                <w:rFonts w:ascii="Arial" w:cs="Arial" w:eastAsia="Arial" w:hAnsi="Arial"/>
                <w:sz w:val="20"/>
                <w:szCs w:val="20"/>
              </w:rPr>
              <w:t xml:space="preserve">Existing U.S. and multilateral legal authorities — BWC, UNSCR 1540, the Federal Select Agent Program, DURC/PEPP oversight, and the National Biodefense Strategy — provide a viable defensive architecture. The principal gap is implementation consistency, allied coordination, and sustained investment across all six countermeasure components: prevention, detection, denial, mitigation, attribution support, and resilience.</w:t>
            </w:r>
          </w:p>
        </w:tc>
      </w:tr>
    </w:tbl>
    <w:p>
      <w:pPr>
        <w:spacing w:before="0" w:after="120"/>
      </w:pPr>
    </w:p>
    <w:p>
      <w:r>
        <w:br w:type="page"/>
      </w:r>
    </w:p>
    <w:p>
      <w:pPr>
        <w:spacing w:before="0" w:after="40"/>
      </w:pPr>
      <w:r>
        <w:rPr>
          <w:rFonts w:ascii="Arial" w:cs="Arial" w:eastAsia="Arial" w:hAnsi="Arial"/>
          <w:b/>
          <w:bCs/>
          <w:color w:val="C00000"/>
          <w:sz w:val="18"/>
          <w:szCs w:val="18"/>
        </w:rPr>
        <w:t xml:space="preserve">PART II</w:t>
      </w:r>
    </w:p>
    <w:p>
      <w:pPr>
        <w:spacing w:before="200" w:after="80"/>
      </w:pPr>
      <w:r>
        <w:rPr>
          <w:rFonts w:ascii="Arial" w:cs="Arial" w:eastAsia="Arial" w:hAnsi="Arial"/>
          <w:b/>
          <w:bCs/>
          <w:color w:val="1F3864"/>
          <w:sz w:val="30"/>
          <w:szCs w:val="30"/>
        </w:rPr>
        <w:t xml:space="preserve">Comparative Risk Matrix</w:t>
      </w:r>
    </w:p>
    <w:p>
      <w:pPr>
        <w:pBdr>
          <w:bottom w:val="single" w:color="1F3864" w:sz="4" w:space="1"/>
        </w:pBdr>
        <w:spacing w:before="40" w:after="40"/>
      </w:pPr>
    </w:p>
    <w:p>
      <w:pPr>
        <w:spacing w:before="0" w:after="60"/>
      </w:pPr>
    </w:p>
    <w:p>
      <w:pPr>
        <w:spacing w:before="60" w:after="80" w:line="276"/>
        <w:jc w:val="both"/>
      </w:pPr>
      <w:r>
        <w:rPr>
          <w:rFonts w:ascii="Arial" w:cs="Arial" w:eastAsia="Arial" w:hAnsi="Arial"/>
          <w:b w:val="false"/>
          <w:bCs w:val="false"/>
          <w:i/>
          <w:iCs/>
          <w:color w:val="595959"/>
          <w:sz w:val="20"/>
          <w:szCs w:val="20"/>
        </w:rPr>
        <w:t xml:space="preserve">All assessments grounded in official public-source reporting. Confidence levels and source basis documented in full assessment, Section IX and Appendix B.</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1800"/>
        <w:gridCol w:w="1800"/>
        <w:gridCol w:w="1800"/>
        <w:gridCol w:w="1920"/>
      </w:tblGrid>
      <w:tr>
        <w:tc>
          <w:tcPr>
            <w:tcW w:type="dxa" w:w="204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18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China</w:t>
            </w:r>
          </w:p>
        </w:tc>
        <w:tc>
          <w:tcPr>
            <w:tcW w:type="dxa" w:w="18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Russia</w:t>
            </w:r>
          </w:p>
        </w:tc>
        <w:tc>
          <w:tcPr>
            <w:tcW w:type="dxa" w:w="180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Iran</w:t>
            </w:r>
          </w:p>
        </w:tc>
        <w:tc>
          <w:tcPr>
            <w:tcW w:type="dxa" w:w="1920"/>
            <w:tcBorders>
              <w:top w:val="single" w:color="BFBFBF" w:sz="1"/>
              <w:left w:val="single" w:color="BFBFBF" w:sz="1"/>
              <w:bottom w:val="single" w:color="BFBFBF" w:sz="1"/>
              <w:right w:val="single" w:color="BFBFBF"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North Korea</w:t>
            </w:r>
          </w:p>
        </w:tc>
      </w:tr>
      <w:tr>
        <w:tc>
          <w:tcPr>
            <w:tcW w:type="dxa" w:w="204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jc w:val="both"/>
            </w:pPr>
            <w:r>
              <w:rPr>
                <w:rFonts w:ascii="Arial" w:cs="Arial" w:eastAsia="Arial" w:hAnsi="Arial"/>
                <w:b/>
                <w:bCs/>
                <w:sz w:val="16"/>
                <w:szCs w:val="16"/>
              </w:rPr>
              <w:t xml:space="preserve">Official Concern</w:t>
            </w:r>
          </w:p>
        </w:tc>
        <w:tc>
          <w:tcPr>
            <w:tcW w:type="dxa" w:w="1800"/>
            <w:tcBorders>
              <w:top w:val="single" w:color="BFBFBF" w:sz="1"/>
              <w:left w:val="single" w:color="BFBFBF" w:sz="1"/>
              <w:bottom w:val="single" w:color="BFBFBF" w:sz="1"/>
              <w:right w:val="single" w:color="BFBFBF" w:sz="1"/>
            </w:tcBorders>
            <w:shd w:fill="FAFAFA" w:val="clear"/>
            <w:tcMar>
              <w:top w:type="dxa" w:w="50"/>
              <w:left w:type="dxa" w:w="80"/>
              <w:bottom w:type="dxa" w:w="50"/>
              <w:right w:type="dxa" w:w="80"/>
            </w:tcMar>
          </w:tcPr>
          <w:p>
            <w:pPr>
              <w:jc w:val="both"/>
            </w:pPr>
            <w:r>
              <w:rPr>
                <w:rFonts w:ascii="Arial" w:cs="Arial" w:eastAsia="Arial" w:hAnsi="Arial"/>
                <w:b w:val="false"/>
                <w:bCs w:val="false"/>
                <w:sz w:val="16"/>
                <w:szCs w:val="16"/>
              </w:rPr>
              <w:t xml:space="preserve">High — compliance concerns, dual-use scale</w:t>
            </w:r>
          </w:p>
        </w:tc>
        <w:tc>
          <w:tcPr>
            <w:tcW w:type="dxa" w:w="1800"/>
            <w:tcBorders>
              <w:top w:val="single" w:color="BFBFBF" w:sz="1"/>
              <w:left w:val="single" w:color="BFBFBF" w:sz="1"/>
              <w:bottom w:val="single" w:color="BFBFBF" w:sz="1"/>
              <w:right w:val="single" w:color="BFBFBF" w:sz="1"/>
            </w:tcBorders>
            <w:shd w:fill="FAFAFA" w:val="clear"/>
            <w:tcMar>
              <w:top w:type="dxa" w:w="50"/>
              <w:left w:type="dxa" w:w="80"/>
              <w:bottom w:type="dxa" w:w="50"/>
              <w:right w:type="dxa" w:w="80"/>
            </w:tcMar>
          </w:tcPr>
          <w:p>
            <w:pPr>
              <w:jc w:val="both"/>
            </w:pPr>
            <w:r>
              <w:rPr>
                <w:rFonts w:ascii="Arial" w:cs="Arial" w:eastAsia="Arial" w:hAnsi="Arial"/>
                <w:b w:val="false"/>
                <w:bCs w:val="false"/>
                <w:sz w:val="16"/>
                <w:szCs w:val="16"/>
              </w:rPr>
              <w:t xml:space="preserve">Highest — ODNI: CBW threat expanding</w:t>
            </w:r>
          </w:p>
        </w:tc>
        <w:tc>
          <w:tcPr>
            <w:tcW w:type="dxa" w:w="1800"/>
            <w:tcBorders>
              <w:top w:val="single" w:color="BFBFBF" w:sz="1"/>
              <w:left w:val="single" w:color="BFBFBF" w:sz="1"/>
              <w:bottom w:val="single" w:color="BFBFBF" w:sz="1"/>
              <w:right w:val="single" w:color="BFBFBF" w:sz="1"/>
            </w:tcBorders>
            <w:shd w:fill="FAFAFA" w:val="clear"/>
            <w:tcMar>
              <w:top w:type="dxa" w:w="50"/>
              <w:left w:type="dxa" w:w="80"/>
              <w:bottom w:type="dxa" w:w="50"/>
              <w:right w:type="dxa" w:w="80"/>
            </w:tcMar>
          </w:tcPr>
          <w:p>
            <w:pPr>
              <w:jc w:val="both"/>
            </w:pPr>
            <w:r>
              <w:rPr>
                <w:rFonts w:ascii="Arial" w:cs="Arial" w:eastAsia="Arial" w:hAnsi="Arial"/>
                <w:b w:val="false"/>
                <w:bCs w:val="false"/>
                <w:sz w:val="16"/>
                <w:szCs w:val="16"/>
              </w:rPr>
              <w:t xml:space="preserve">High — ODNI: offensive-purpose R&amp;D intent</w:t>
            </w:r>
          </w:p>
        </w:tc>
        <w:tc>
          <w:tcPr>
            <w:tcW w:type="dxa" w:w="1920"/>
            <w:tcBorders>
              <w:top w:val="single" w:color="BFBFBF" w:sz="1"/>
              <w:left w:val="single" w:color="BFBFBF" w:sz="1"/>
              <w:bottom w:val="single" w:color="BFBFBF" w:sz="1"/>
              <w:right w:val="single" w:color="BFBFBF" w:sz="1"/>
            </w:tcBorders>
            <w:shd w:fill="FAFAFA" w:val="clear"/>
            <w:tcMar>
              <w:top w:type="dxa" w:w="50"/>
              <w:left w:type="dxa" w:w="80"/>
              <w:bottom w:type="dxa" w:w="50"/>
              <w:right w:type="dxa" w:w="80"/>
            </w:tcMar>
          </w:tcPr>
          <w:p>
            <w:pPr>
              <w:jc w:val="both"/>
            </w:pPr>
            <w:r>
              <w:rPr>
                <w:rFonts w:ascii="Arial" w:cs="Arial" w:eastAsia="Arial" w:hAnsi="Arial"/>
                <w:b w:val="false"/>
                <w:bCs w:val="false"/>
                <w:sz w:val="16"/>
                <w:szCs w:val="16"/>
              </w:rPr>
              <w:t xml:space="preserve">High — ODNI: CBW maintained, clandestine use possible</w:t>
            </w:r>
          </w:p>
        </w:tc>
      </w:tr>
      <w:tr>
        <w:tc>
          <w:tcPr>
            <w:tcW w:type="dxa" w:w="2040"/>
            <w:tcBorders>
              <w:top w:val="single" w:color="BFBFBF" w:sz="1"/>
              <w:left w:val="single" w:color="BFBFBF" w:sz="1"/>
              <w:bottom w:val="single" w:color="BFBFBF" w:sz="1"/>
              <w:right w:val="single" w:color="BFBFBF" w:sz="1"/>
            </w:tcBorders>
            <w:shd w:fill="EFEFEF" w:val="clear"/>
            <w:tcMar>
              <w:top w:type="dxa" w:w="50"/>
              <w:left w:type="dxa" w:w="80"/>
              <w:bottom w:type="dxa" w:w="50"/>
              <w:right w:type="dxa" w:w="80"/>
            </w:tcMar>
          </w:tcPr>
          <w:p>
            <w:pPr>
              <w:jc w:val="both"/>
            </w:pPr>
            <w:r>
              <w:rPr>
                <w:rFonts w:ascii="Arial" w:cs="Arial" w:eastAsia="Arial" w:hAnsi="Arial"/>
                <w:b/>
                <w:bCs/>
                <w:sz w:val="16"/>
                <w:szCs w:val="16"/>
              </w:rPr>
              <w:t xml:space="preserve">Evidentiary Depth</w:t>
            </w:r>
          </w:p>
        </w:tc>
        <w:tc>
          <w:tcPr>
            <w:tcW w:type="dxa" w:w="18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jc w:val="both"/>
            </w:pPr>
            <w:r>
              <w:rPr>
                <w:rFonts w:ascii="Arial" w:cs="Arial" w:eastAsia="Arial" w:hAnsi="Arial"/>
                <w:b w:val="false"/>
                <w:bCs w:val="false"/>
                <w:sz w:val="16"/>
                <w:szCs w:val="16"/>
              </w:rPr>
              <w:t xml:space="preserve">Moderate — hedged official language</w:t>
            </w:r>
          </w:p>
        </w:tc>
        <w:tc>
          <w:tcPr>
            <w:tcW w:type="dxa" w:w="18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jc w:val="both"/>
            </w:pPr>
            <w:r>
              <w:rPr>
                <w:rFonts w:ascii="Arial" w:cs="Arial" w:eastAsia="Arial" w:hAnsi="Arial"/>
                <w:b w:val="false"/>
                <w:bCs w:val="false"/>
                <w:sz w:val="16"/>
                <w:szCs w:val="16"/>
              </w:rPr>
              <w:t xml:space="preserve">Strongest — most direct warning language</w:t>
            </w:r>
          </w:p>
        </w:tc>
        <w:tc>
          <w:tcPr>
            <w:tcW w:type="dxa" w:w="18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jc w:val="both"/>
            </w:pPr>
            <w:r>
              <w:rPr>
                <w:rFonts w:ascii="Arial" w:cs="Arial" w:eastAsia="Arial" w:hAnsi="Arial"/>
                <w:b w:val="false"/>
                <w:bCs w:val="false"/>
                <w:sz w:val="16"/>
                <w:szCs w:val="16"/>
              </w:rPr>
              <w:t xml:space="preserve">Moderate — intent stated, scope limited</w:t>
            </w:r>
          </w:p>
        </w:tc>
        <w:tc>
          <w:tcPr>
            <w:tcW w:type="dxa" w:w="192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jc w:val="both"/>
            </w:pPr>
            <w:r>
              <w:rPr>
                <w:rFonts w:ascii="Arial" w:cs="Arial" w:eastAsia="Arial" w:hAnsi="Arial"/>
                <w:b w:val="false"/>
                <w:bCs w:val="false"/>
                <w:sz w:val="16"/>
                <w:szCs w:val="16"/>
              </w:rPr>
              <w:t xml:space="preserve">Moderate — capability noted, structure opaque</w:t>
            </w:r>
          </w:p>
        </w:tc>
      </w:tr>
      <w:tr>
        <w:tc>
          <w:tcPr>
            <w:tcW w:type="dxa" w:w="204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jc w:val="both"/>
            </w:pPr>
            <w:r>
              <w:rPr>
                <w:rFonts w:ascii="Arial" w:cs="Arial" w:eastAsia="Arial" w:hAnsi="Arial"/>
                <w:b/>
                <w:bCs/>
                <w:sz w:val="16"/>
                <w:szCs w:val="16"/>
              </w:rPr>
              <w:t xml:space="preserve">Dual-Use Industrial Base</w:t>
            </w:r>
          </w:p>
        </w:tc>
        <w:tc>
          <w:tcPr>
            <w:tcW w:type="dxa" w:w="1800"/>
            <w:tcBorders>
              <w:top w:val="single" w:color="BFBFBF" w:sz="1"/>
              <w:left w:val="single" w:color="BFBFBF" w:sz="1"/>
              <w:bottom w:val="single" w:color="BFBFBF" w:sz="1"/>
              <w:right w:val="single" w:color="BFBFBF" w:sz="1"/>
            </w:tcBorders>
            <w:shd w:fill="FAFAFA" w:val="clear"/>
            <w:tcMar>
              <w:top w:type="dxa" w:w="50"/>
              <w:left w:type="dxa" w:w="80"/>
              <w:bottom w:type="dxa" w:w="50"/>
              <w:right w:type="dxa" w:w="80"/>
            </w:tcMar>
          </w:tcPr>
          <w:p>
            <w:pPr>
              <w:jc w:val="both"/>
            </w:pPr>
            <w:r>
              <w:rPr>
                <w:rFonts w:ascii="Arial" w:cs="Arial" w:eastAsia="Arial" w:hAnsi="Arial"/>
                <w:b w:val="false"/>
                <w:bCs w:val="false"/>
                <w:sz w:val="16"/>
                <w:szCs w:val="16"/>
              </w:rPr>
              <w:t xml:space="preserve">Highest — largest biotech ecosystem</w:t>
            </w:r>
          </w:p>
        </w:tc>
        <w:tc>
          <w:tcPr>
            <w:tcW w:type="dxa" w:w="1800"/>
            <w:tcBorders>
              <w:top w:val="single" w:color="BFBFBF" w:sz="1"/>
              <w:left w:val="single" w:color="BFBFBF" w:sz="1"/>
              <w:bottom w:val="single" w:color="BFBFBF" w:sz="1"/>
              <w:right w:val="single" w:color="BFBFBF" w:sz="1"/>
            </w:tcBorders>
            <w:shd w:fill="FAFAFA" w:val="clear"/>
            <w:tcMar>
              <w:top w:type="dxa" w:w="50"/>
              <w:left w:type="dxa" w:w="80"/>
              <w:bottom w:type="dxa" w:w="50"/>
              <w:right w:type="dxa" w:w="80"/>
            </w:tcMar>
          </w:tcPr>
          <w:p>
            <w:pPr>
              <w:jc w:val="both"/>
            </w:pPr>
            <w:r>
              <w:rPr>
                <w:rFonts w:ascii="Arial" w:cs="Arial" w:eastAsia="Arial" w:hAnsi="Arial"/>
                <w:b w:val="false"/>
                <w:bCs w:val="false"/>
                <w:sz w:val="16"/>
                <w:szCs w:val="16"/>
              </w:rPr>
              <w:t xml:space="preserve">Significant — legacy Soviet infrastructure</w:t>
            </w:r>
          </w:p>
        </w:tc>
        <w:tc>
          <w:tcPr>
            <w:tcW w:type="dxa" w:w="1800"/>
            <w:tcBorders>
              <w:top w:val="single" w:color="BFBFBF" w:sz="1"/>
              <w:left w:val="single" w:color="BFBFBF" w:sz="1"/>
              <w:bottom w:val="single" w:color="BFBFBF" w:sz="1"/>
              <w:right w:val="single" w:color="BFBFBF" w:sz="1"/>
            </w:tcBorders>
            <w:shd w:fill="FAFAFA" w:val="clear"/>
            <w:tcMar>
              <w:top w:type="dxa" w:w="50"/>
              <w:left w:type="dxa" w:w="80"/>
              <w:bottom w:type="dxa" w:w="50"/>
              <w:right w:type="dxa" w:w="80"/>
            </w:tcMar>
          </w:tcPr>
          <w:p>
            <w:pPr>
              <w:jc w:val="both"/>
            </w:pPr>
            <w:r>
              <w:rPr>
                <w:rFonts w:ascii="Arial" w:cs="Arial" w:eastAsia="Arial" w:hAnsi="Arial"/>
                <w:b w:val="false"/>
                <w:bCs w:val="false"/>
                <w:sz w:val="16"/>
                <w:szCs w:val="16"/>
              </w:rPr>
              <w:t xml:space="preserve">Moderate — sufficient for R&amp;D concern</w:t>
            </w:r>
          </w:p>
        </w:tc>
        <w:tc>
          <w:tcPr>
            <w:tcW w:type="dxa" w:w="1920"/>
            <w:tcBorders>
              <w:top w:val="single" w:color="BFBFBF" w:sz="1"/>
              <w:left w:val="single" w:color="BFBFBF" w:sz="1"/>
              <w:bottom w:val="single" w:color="BFBFBF" w:sz="1"/>
              <w:right w:val="single" w:color="BFBFBF" w:sz="1"/>
            </w:tcBorders>
            <w:shd w:fill="FAFAFA" w:val="clear"/>
            <w:tcMar>
              <w:top w:type="dxa" w:w="50"/>
              <w:left w:type="dxa" w:w="80"/>
              <w:bottom w:type="dxa" w:w="50"/>
              <w:right w:type="dxa" w:w="80"/>
            </w:tcMar>
          </w:tcPr>
          <w:p>
            <w:pPr>
              <w:jc w:val="both"/>
            </w:pPr>
            <w:r>
              <w:rPr>
                <w:rFonts w:ascii="Arial" w:cs="Arial" w:eastAsia="Arial" w:hAnsi="Arial"/>
                <w:b w:val="false"/>
                <w:bCs w:val="false"/>
                <w:sz w:val="16"/>
                <w:szCs w:val="16"/>
              </w:rPr>
              <w:t xml:space="preserve">Limited — state-directed WMD capacity</w:t>
            </w:r>
          </w:p>
        </w:tc>
      </w:tr>
      <w:tr>
        <w:tc>
          <w:tcPr>
            <w:tcW w:type="dxa" w:w="2040"/>
            <w:tcBorders>
              <w:top w:val="single" w:color="BFBFBF" w:sz="1"/>
              <w:left w:val="single" w:color="BFBFBF" w:sz="1"/>
              <w:bottom w:val="single" w:color="BFBFBF" w:sz="1"/>
              <w:right w:val="single" w:color="BFBFBF" w:sz="1"/>
            </w:tcBorders>
            <w:shd w:fill="EFEFEF" w:val="clear"/>
            <w:tcMar>
              <w:top w:type="dxa" w:w="50"/>
              <w:left w:type="dxa" w:w="80"/>
              <w:bottom w:type="dxa" w:w="50"/>
              <w:right w:type="dxa" w:w="80"/>
            </w:tcMar>
          </w:tcPr>
          <w:p>
            <w:pPr>
              <w:jc w:val="both"/>
            </w:pPr>
            <w:r>
              <w:rPr>
                <w:rFonts w:ascii="Arial" w:cs="Arial" w:eastAsia="Arial" w:hAnsi="Arial"/>
                <w:b/>
                <w:bCs/>
                <w:sz w:val="16"/>
                <w:szCs w:val="16"/>
              </w:rPr>
              <w:t xml:space="preserve">Attribution Difficulty</w:t>
            </w:r>
          </w:p>
        </w:tc>
        <w:tc>
          <w:tcPr>
            <w:tcW w:type="dxa" w:w="18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jc w:val="both"/>
            </w:pPr>
            <w:r>
              <w:rPr>
                <w:rFonts w:ascii="Arial" w:cs="Arial" w:eastAsia="Arial" w:hAnsi="Arial"/>
                <w:b w:val="false"/>
                <w:bCs w:val="false"/>
                <w:sz w:val="16"/>
                <w:szCs w:val="16"/>
              </w:rPr>
              <w:t xml:space="preserve">High — scale and supply-chain complexity</w:t>
            </w:r>
          </w:p>
        </w:tc>
        <w:tc>
          <w:tcPr>
            <w:tcW w:type="dxa" w:w="18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jc w:val="both"/>
            </w:pPr>
            <w:r>
              <w:rPr>
                <w:rFonts w:ascii="Arial" w:cs="Arial" w:eastAsia="Arial" w:hAnsi="Arial"/>
                <w:b w:val="false"/>
                <w:bCs w:val="false"/>
                <w:sz w:val="16"/>
                <w:szCs w:val="16"/>
              </w:rPr>
              <w:t xml:space="preserve">High — demonstrated opacity and info ops</w:t>
            </w:r>
          </w:p>
        </w:tc>
        <w:tc>
          <w:tcPr>
            <w:tcW w:type="dxa" w:w="18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jc w:val="both"/>
            </w:pPr>
            <w:r>
              <w:rPr>
                <w:rFonts w:ascii="Arial" w:cs="Arial" w:eastAsia="Arial" w:hAnsi="Arial"/>
                <w:b w:val="false"/>
                <w:bCs w:val="false"/>
                <w:sz w:val="16"/>
                <w:szCs w:val="16"/>
              </w:rPr>
              <w:t xml:space="preserve">High — proxy networks complicate attribution</w:t>
            </w:r>
          </w:p>
        </w:tc>
        <w:tc>
          <w:tcPr>
            <w:tcW w:type="dxa" w:w="192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jc w:val="both"/>
            </w:pPr>
            <w:r>
              <w:rPr>
                <w:rFonts w:ascii="Arial" w:cs="Arial" w:eastAsia="Arial" w:hAnsi="Arial"/>
                <w:b w:val="false"/>
                <w:bCs w:val="false"/>
                <w:sz w:val="16"/>
                <w:szCs w:val="16"/>
              </w:rPr>
              <w:t xml:space="preserve">Very High — deliberate opacity, no access</w:t>
            </w:r>
          </w:p>
        </w:tc>
      </w:tr>
      <w:tr>
        <w:tc>
          <w:tcPr>
            <w:tcW w:type="dxa" w:w="2040"/>
            <w:tcBorders>
              <w:top w:val="single" w:color="BFBFBF" w:sz="1"/>
              <w:left w:val="single" w:color="BFBFBF" w:sz="1"/>
              <w:bottom w:val="single" w:color="BFBFBF" w:sz="1"/>
              <w:right w:val="single" w:color="BFBFBF" w:sz="1"/>
            </w:tcBorders>
            <w:shd w:fill="F2F2F2" w:val="clear"/>
            <w:tcMar>
              <w:top w:type="dxa" w:w="50"/>
              <w:left w:type="dxa" w:w="80"/>
              <w:bottom w:type="dxa" w:w="50"/>
              <w:right w:type="dxa" w:w="80"/>
            </w:tcMar>
          </w:tcPr>
          <w:p>
            <w:pPr>
              <w:jc w:val="both"/>
            </w:pPr>
            <w:r>
              <w:rPr>
                <w:rFonts w:ascii="Arial" w:cs="Arial" w:eastAsia="Arial" w:hAnsi="Arial"/>
                <w:b/>
                <w:bCs/>
                <w:sz w:val="16"/>
                <w:szCs w:val="16"/>
              </w:rPr>
              <w:t xml:space="preserve">Escalation Significance</w:t>
            </w:r>
          </w:p>
        </w:tc>
        <w:tc>
          <w:tcPr>
            <w:tcW w:type="dxa" w:w="1800"/>
            <w:tcBorders>
              <w:top w:val="single" w:color="BFBFBF" w:sz="1"/>
              <w:left w:val="single" w:color="BFBFBF" w:sz="1"/>
              <w:bottom w:val="single" w:color="BFBFBF" w:sz="1"/>
              <w:right w:val="single" w:color="BFBFBF" w:sz="1"/>
            </w:tcBorders>
            <w:shd w:fill="FAFAFA" w:val="clear"/>
            <w:tcMar>
              <w:top w:type="dxa" w:w="50"/>
              <w:left w:type="dxa" w:w="80"/>
              <w:bottom w:type="dxa" w:w="50"/>
              <w:right w:type="dxa" w:w="80"/>
            </w:tcMar>
          </w:tcPr>
          <w:p>
            <w:pPr>
              <w:jc w:val="both"/>
            </w:pPr>
            <w:r>
              <w:rPr>
                <w:rFonts w:ascii="Arial" w:cs="Arial" w:eastAsia="Arial" w:hAnsi="Arial"/>
                <w:b w:val="false"/>
                <w:bCs w:val="false"/>
                <w:sz w:val="16"/>
                <w:szCs w:val="16"/>
              </w:rPr>
              <w:t xml:space="preserve">Moderate–High — strategic competition framing</w:t>
            </w:r>
          </w:p>
        </w:tc>
        <w:tc>
          <w:tcPr>
            <w:tcW w:type="dxa" w:w="1800"/>
            <w:tcBorders>
              <w:top w:val="single" w:color="BFBFBF" w:sz="1"/>
              <w:left w:val="single" w:color="BFBFBF" w:sz="1"/>
              <w:bottom w:val="single" w:color="BFBFBF" w:sz="1"/>
              <w:right w:val="single" w:color="BFBFBF" w:sz="1"/>
            </w:tcBorders>
            <w:shd w:fill="FAFAFA" w:val="clear"/>
            <w:tcMar>
              <w:top w:type="dxa" w:w="50"/>
              <w:left w:type="dxa" w:w="80"/>
              <w:bottom w:type="dxa" w:w="50"/>
              <w:right w:type="dxa" w:w="80"/>
            </w:tcMar>
          </w:tcPr>
          <w:p>
            <w:pPr>
              <w:jc w:val="both"/>
            </w:pPr>
            <w:r>
              <w:rPr>
                <w:rFonts w:ascii="Arial" w:cs="Arial" w:eastAsia="Arial" w:hAnsi="Arial"/>
                <w:b w:val="false"/>
                <w:bCs w:val="false"/>
                <w:sz w:val="16"/>
                <w:szCs w:val="16"/>
              </w:rPr>
              <w:t xml:space="preserve">Highest — embedded in coercive posture</w:t>
            </w:r>
          </w:p>
        </w:tc>
        <w:tc>
          <w:tcPr>
            <w:tcW w:type="dxa" w:w="1800"/>
            <w:tcBorders>
              <w:top w:val="single" w:color="BFBFBF" w:sz="1"/>
              <w:left w:val="single" w:color="BFBFBF" w:sz="1"/>
              <w:bottom w:val="single" w:color="BFBFBF" w:sz="1"/>
              <w:right w:val="single" w:color="BFBFBF" w:sz="1"/>
            </w:tcBorders>
            <w:shd w:fill="FAFAFA" w:val="clear"/>
            <w:tcMar>
              <w:top w:type="dxa" w:w="50"/>
              <w:left w:type="dxa" w:w="80"/>
              <w:bottom w:type="dxa" w:w="50"/>
              <w:right w:type="dxa" w:w="80"/>
            </w:tcMar>
          </w:tcPr>
          <w:p>
            <w:pPr>
              <w:jc w:val="both"/>
            </w:pPr>
            <w:r>
              <w:rPr>
                <w:rFonts w:ascii="Arial" w:cs="Arial" w:eastAsia="Arial" w:hAnsi="Arial"/>
                <w:b w:val="false"/>
                <w:bCs w:val="false"/>
                <w:sz w:val="16"/>
                <w:szCs w:val="16"/>
              </w:rPr>
              <w:t xml:space="preserve">Moderate–High — regional asymmetric context</w:t>
            </w:r>
          </w:p>
        </w:tc>
        <w:tc>
          <w:tcPr>
            <w:tcW w:type="dxa" w:w="1920"/>
            <w:tcBorders>
              <w:top w:val="single" w:color="BFBFBF" w:sz="1"/>
              <w:left w:val="single" w:color="BFBFBF" w:sz="1"/>
              <w:bottom w:val="single" w:color="BFBFBF" w:sz="1"/>
              <w:right w:val="single" w:color="BFBFBF" w:sz="1"/>
            </w:tcBorders>
            <w:shd w:fill="FAFAFA" w:val="clear"/>
            <w:tcMar>
              <w:top w:type="dxa" w:w="50"/>
              <w:left w:type="dxa" w:w="80"/>
              <w:bottom w:type="dxa" w:w="50"/>
              <w:right w:type="dxa" w:w="80"/>
            </w:tcMar>
          </w:tcPr>
          <w:p>
            <w:pPr>
              <w:jc w:val="both"/>
            </w:pPr>
            <w:r>
              <w:rPr>
                <w:rFonts w:ascii="Arial" w:cs="Arial" w:eastAsia="Arial" w:hAnsi="Arial"/>
                <w:b w:val="false"/>
                <w:bCs w:val="false"/>
                <w:sz w:val="16"/>
                <w:szCs w:val="16"/>
              </w:rPr>
              <w:t xml:space="preserve">High — WMD-centered regime survival logic</w:t>
            </w:r>
          </w:p>
        </w:tc>
      </w:tr>
      <w:tr>
        <w:tc>
          <w:tcPr>
            <w:tcW w:type="dxa" w:w="2040"/>
            <w:tcBorders>
              <w:top w:val="single" w:color="BFBFBF" w:sz="1"/>
              <w:left w:val="single" w:color="BFBFBF" w:sz="1"/>
              <w:bottom w:val="single" w:color="BFBFBF" w:sz="1"/>
              <w:right w:val="single" w:color="BFBFBF" w:sz="1"/>
            </w:tcBorders>
            <w:shd w:fill="EFEFEF" w:val="clear"/>
            <w:tcMar>
              <w:top w:type="dxa" w:w="50"/>
              <w:left w:type="dxa" w:w="80"/>
              <w:bottom w:type="dxa" w:w="50"/>
              <w:right w:type="dxa" w:w="80"/>
            </w:tcMar>
          </w:tcPr>
          <w:p>
            <w:pPr>
              <w:jc w:val="both"/>
            </w:pPr>
            <w:r>
              <w:rPr>
                <w:rFonts w:ascii="Arial" w:cs="Arial" w:eastAsia="Arial" w:hAnsi="Arial"/>
                <w:b/>
                <w:bCs/>
                <w:sz w:val="16"/>
                <w:szCs w:val="16"/>
              </w:rPr>
              <w:t xml:space="preserve">Primary Countermeasure</w:t>
            </w:r>
          </w:p>
        </w:tc>
        <w:tc>
          <w:tcPr>
            <w:tcW w:type="dxa" w:w="18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jc w:val="both"/>
            </w:pPr>
            <w:r>
              <w:rPr>
                <w:rFonts w:ascii="Arial" w:cs="Arial" w:eastAsia="Arial" w:hAnsi="Arial"/>
                <w:b w:val="false"/>
                <w:bCs w:val="false"/>
                <w:sz w:val="16"/>
                <w:szCs w:val="16"/>
              </w:rPr>
              <w:t xml:space="preserve">Transparency pressure, export governance</w:t>
            </w:r>
          </w:p>
        </w:tc>
        <w:tc>
          <w:tcPr>
            <w:tcW w:type="dxa" w:w="18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jc w:val="both"/>
            </w:pPr>
            <w:r>
              <w:rPr>
                <w:rFonts w:ascii="Arial" w:cs="Arial" w:eastAsia="Arial" w:hAnsi="Arial"/>
                <w:b w:val="false"/>
                <w:bCs w:val="false"/>
                <w:sz w:val="16"/>
                <w:szCs w:val="16"/>
              </w:rPr>
              <w:t xml:space="preserve">Deterrence signaling, attribution protocols</w:t>
            </w:r>
          </w:p>
        </w:tc>
        <w:tc>
          <w:tcPr>
            <w:tcW w:type="dxa" w:w="180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jc w:val="both"/>
            </w:pPr>
            <w:r>
              <w:rPr>
                <w:rFonts w:ascii="Arial" w:cs="Arial" w:eastAsia="Arial" w:hAnsi="Arial"/>
                <w:b w:val="false"/>
                <w:bCs w:val="false"/>
                <w:sz w:val="16"/>
                <w:szCs w:val="16"/>
              </w:rPr>
              <w:t xml:space="preserve">Regional intelligence integration, sanctions</w:t>
            </w:r>
          </w:p>
        </w:tc>
        <w:tc>
          <w:tcPr>
            <w:tcW w:type="dxa" w:w="1920"/>
            <w:tcBorders>
              <w:top w:val="single" w:color="BFBFBF" w:sz="1"/>
              <w:left w:val="single" w:color="BFBFBF" w:sz="1"/>
              <w:bottom w:val="single" w:color="BFBFBF" w:sz="1"/>
              <w:right w:val="single" w:color="BFBFBF" w:sz="1"/>
            </w:tcBorders>
            <w:shd w:fill="FFFFFF" w:val="clear"/>
            <w:tcMar>
              <w:top w:type="dxa" w:w="50"/>
              <w:left w:type="dxa" w:w="80"/>
              <w:bottom w:type="dxa" w:w="50"/>
              <w:right w:type="dxa" w:w="80"/>
            </w:tcMar>
          </w:tcPr>
          <w:p>
            <w:pPr>
              <w:jc w:val="both"/>
            </w:pPr>
            <w:r>
              <w:rPr>
                <w:rFonts w:ascii="Arial" w:cs="Arial" w:eastAsia="Arial" w:hAnsi="Arial"/>
                <w:b w:val="false"/>
                <w:bCs w:val="false"/>
                <w:sz w:val="16"/>
                <w:szCs w:val="16"/>
              </w:rPr>
              <w:t xml:space="preserve">Allied early warning, procurement interdiction</w:t>
            </w:r>
          </w:p>
        </w:tc>
      </w:tr>
    </w:tbl>
    <w:p>
      <w:pPr>
        <w:spacing w:before="0" w:after="160"/>
      </w:pPr>
    </w:p>
    <w:p>
      <w:pPr>
        <w:spacing w:before="0" w:after="40"/>
      </w:pPr>
      <w:r>
        <w:rPr>
          <w:rFonts w:ascii="Arial" w:cs="Arial" w:eastAsia="Arial" w:hAnsi="Arial"/>
          <w:b/>
          <w:bCs/>
          <w:color w:val="C00000"/>
          <w:sz w:val="18"/>
          <w:szCs w:val="18"/>
        </w:rPr>
        <w:t xml:space="preserve">PART III</w:t>
      </w:r>
    </w:p>
    <w:p>
      <w:pPr>
        <w:spacing w:before="200" w:after="80"/>
      </w:pPr>
      <w:r>
        <w:rPr>
          <w:rFonts w:ascii="Arial" w:cs="Arial" w:eastAsia="Arial" w:hAnsi="Arial"/>
          <w:b/>
          <w:bCs/>
          <w:color w:val="1F3864"/>
          <w:sz w:val="30"/>
          <w:szCs w:val="30"/>
        </w:rPr>
        <w:t xml:space="preserve">Strategic Implications</w:t>
      </w:r>
    </w:p>
    <w:p>
      <w:pPr>
        <w:pBdr>
          <w:bottom w:val="single" w:color="1F3864" w:sz="4" w:space="1"/>
        </w:pBdr>
        <w:spacing w:before="40" w:after="40"/>
      </w:pPr>
    </w:p>
    <w:p>
      <w:pPr>
        <w:spacing w:before="0" w:after="60"/>
      </w:pPr>
    </w:p>
    <w:p>
      <w:pPr>
        <w:spacing w:before="160" w:after="60"/>
      </w:pPr>
      <w:r>
        <w:rPr>
          <w:rFonts w:ascii="Arial" w:cs="Arial" w:eastAsia="Arial" w:hAnsi="Arial"/>
          <w:b/>
          <w:bCs/>
          <w:color w:val="1F3864"/>
          <w:sz w:val="22"/>
          <w:szCs w:val="22"/>
        </w:rPr>
        <w:t xml:space="preserve">The Verification Gap Is the Core Structural Problem</w:t>
      </w:r>
    </w:p>
    <w:p>
      <w:pPr>
        <w:spacing w:before="80" w:after="120" w:line="276"/>
        <w:jc w:val="both"/>
      </w:pPr>
      <w:r>
        <w:rPr>
          <w:rFonts w:ascii="Arial" w:cs="Arial" w:eastAsia="Arial" w:hAnsi="Arial"/>
          <w:b w:val="false"/>
          <w:bCs w:val="false"/>
          <w:i w:val="false"/>
          <w:iCs w:val="false"/>
          <w:color w:val="000000"/>
          <w:sz w:val="22"/>
          <w:szCs w:val="22"/>
        </w:rPr>
        <w:t xml:space="preserve">Any state choosing opacity over transparency in its biological programs faces no standing technical treaty consequence. That absence of consequence is not a temporary compliance failure — it is the structural condition under which all four assessed states operate. It widens the gap between legal prohibition and actual compliance behavior, and it systematically favors the adversary over the defender in the interval before a biological event is recognized and attributed.</w:t>
      </w:r>
    </w:p>
    <w:p>
      <w:pPr>
        <w:spacing w:before="0" w:after="60"/>
      </w:pPr>
    </w:p>
    <w:p>
      <w:pPr>
        <w:spacing w:before="160" w:after="60"/>
      </w:pPr>
      <w:r>
        <w:rPr>
          <w:rFonts w:ascii="Arial" w:cs="Arial" w:eastAsia="Arial" w:hAnsi="Arial"/>
          <w:b/>
          <w:bCs/>
          <w:color w:val="1F3864"/>
          <w:sz w:val="22"/>
          <w:szCs w:val="22"/>
        </w:rPr>
        <w:t xml:space="preserve">Delayed Recognition Is More Dangerous Than Capability Alone</w:t>
      </w:r>
    </w:p>
    <w:p>
      <w:pPr>
        <w:spacing w:before="80" w:after="120" w:line="276"/>
        <w:jc w:val="both"/>
      </w:pPr>
      <w:r>
        <w:rPr>
          <w:rFonts w:ascii="Arial" w:cs="Arial" w:eastAsia="Arial" w:hAnsi="Arial"/>
          <w:b w:val="false"/>
          <w:bCs w:val="false"/>
          <w:i w:val="false"/>
          <w:iCs w:val="false"/>
          <w:color w:val="000000"/>
          <w:sz w:val="22"/>
          <w:szCs w:val="22"/>
        </w:rPr>
        <w:t xml:space="preserve">A biological event attributable to deliberate state action may present initially as a natural outbreak or accidental release. In that interval — before recognition, before attribution, before coordinated response — the political and medical costs compound. The most dangerous failure mode is not a lack of military response options. It is a failure of early warning, which cannot be corrected retroactively.</w:t>
      </w:r>
    </w:p>
    <w:p>
      <w:pPr>
        <w:spacing w:before="0" w:after="60"/>
      </w:pPr>
    </w:p>
    <w:p>
      <w:pPr>
        <w:spacing w:before="160" w:after="60"/>
      </w:pPr>
      <w:r>
        <w:rPr>
          <w:rFonts w:ascii="Arial" w:cs="Arial" w:eastAsia="Arial" w:hAnsi="Arial"/>
          <w:b/>
          <w:bCs/>
          <w:color w:val="1F3864"/>
          <w:sz w:val="22"/>
          <w:szCs w:val="22"/>
        </w:rPr>
        <w:t xml:space="preserve">Adversarial Cooperation Multiplies Individual Risk</w:t>
      </w:r>
    </w:p>
    <w:p>
      <w:pPr>
        <w:spacing w:before="80" w:after="120" w:line="276"/>
        <w:jc w:val="both"/>
      </w:pPr>
      <w:r>
        <w:rPr>
          <w:rFonts w:ascii="Arial" w:cs="Arial" w:eastAsia="Arial" w:hAnsi="Arial"/>
          <w:b w:val="false"/>
          <w:bCs w:val="false"/>
          <w:i w:val="false"/>
          <w:iCs w:val="false"/>
          <w:color w:val="000000"/>
          <w:sz w:val="22"/>
          <w:szCs w:val="22"/>
        </w:rPr>
        <w:t xml:space="preserve">The four states do not form a unified biological bloc, but their growing cooperation — documented directly in ODNI's 2025 assessment — means that capability trends in one state can be partially downstream of technical relationships with others. North Korean capability trajectories, for example, are now partially influenced by the deepening Russia-DPRK military-technical relationship. Risk assessment confined to individual state silos will systematically underestimate this compounding effect.</w:t>
      </w:r>
    </w:p>
    <w:p>
      <w:pPr>
        <w:spacing w:before="0" w:after="60"/>
      </w:pPr>
    </w:p>
    <w:p>
      <w:pPr>
        <w:spacing w:before="160" w:after="60"/>
      </w:pPr>
      <w:r>
        <w:rPr>
          <w:rFonts w:ascii="Arial" w:cs="Arial" w:eastAsia="Arial" w:hAnsi="Arial"/>
          <w:b/>
          <w:bCs/>
          <w:color w:val="1F3864"/>
          <w:sz w:val="22"/>
          <w:szCs w:val="22"/>
        </w:rPr>
        <w:t xml:space="preserve">No Single Countermeasure Is Sufficient</w:t>
      </w:r>
    </w:p>
    <w:p>
      <w:pPr>
        <w:spacing w:before="80" w:after="120" w:line="276"/>
        <w:jc w:val="both"/>
      </w:pPr>
      <w:r>
        <w:rPr>
          <w:rFonts w:ascii="Arial" w:cs="Arial" w:eastAsia="Arial" w:hAnsi="Arial"/>
          <w:b w:val="false"/>
          <w:bCs w:val="false"/>
          <w:i w:val="false"/>
          <w:iCs w:val="false"/>
          <w:color w:val="000000"/>
          <w:sz w:val="22"/>
          <w:szCs w:val="22"/>
        </w:rPr>
        <w:t xml:space="preserve">The temptation to frame biodefense primarily as either a public health problem or a national security problem consistently produces gaps at the seam between the two. The institutional separation between health surveillance, intelligence, and policy — in the U.S. and across allied governments — is the most operationally significant near-term vulnerability. Closing that seam is a higher-priority investment than any single capability addition within either sector alone.</w:t>
      </w:r>
    </w:p>
    <w:p>
      <w:pPr>
        <w:spacing w:before="0" w:after="120"/>
      </w:pPr>
    </w:p>
    <w:p>
      <w:r>
        <w:br w:type="page"/>
      </w:r>
    </w:p>
    <w:p>
      <w:pPr>
        <w:spacing w:before="0" w:after="40"/>
      </w:pPr>
      <w:r>
        <w:rPr>
          <w:rFonts w:ascii="Arial" w:cs="Arial" w:eastAsia="Arial" w:hAnsi="Arial"/>
          <w:b/>
          <w:bCs/>
          <w:color w:val="C00000"/>
          <w:sz w:val="18"/>
          <w:szCs w:val="18"/>
        </w:rPr>
        <w:t xml:space="preserve">PART IV</w:t>
      </w:r>
    </w:p>
    <w:p>
      <w:pPr>
        <w:spacing w:before="200" w:after="80"/>
      </w:pPr>
      <w:r>
        <w:rPr>
          <w:rFonts w:ascii="Arial" w:cs="Arial" w:eastAsia="Arial" w:hAnsi="Arial"/>
          <w:b/>
          <w:bCs/>
          <w:color w:val="1F3864"/>
          <w:sz w:val="30"/>
          <w:szCs w:val="30"/>
        </w:rPr>
        <w:t xml:space="preserve">Priority Recommendations</w:t>
      </w:r>
    </w:p>
    <w:p>
      <w:pPr>
        <w:pBdr>
          <w:bottom w:val="single" w:color="1F3864" w:sz="4" w:space="1"/>
        </w:pBdr>
        <w:spacing w:before="40" w:after="40"/>
      </w:pPr>
    </w:p>
    <w:p>
      <w:pPr>
        <w:spacing w:before="0" w:after="60"/>
      </w:pPr>
    </w:p>
    <w:p>
      <w:pPr>
        <w:spacing w:before="60" w:after="80" w:line="276"/>
        <w:jc w:val="both"/>
      </w:pPr>
      <w:r>
        <w:rPr>
          <w:rFonts w:ascii="Arial" w:cs="Arial" w:eastAsia="Arial" w:hAnsi="Arial"/>
          <w:b w:val="false"/>
          <w:bCs w:val="false"/>
          <w:i/>
          <w:iCs/>
          <w:color w:val="595959"/>
          <w:sz w:val="20"/>
          <w:szCs w:val="20"/>
        </w:rPr>
        <w:t xml:space="preserve">Five priority recommendations drawn from the full assessment. Each maps to a specific finding or gap identified in the threat analysis and countermeasure review. All are defensive, lawful, and grounded in existing institutional authority.</w:t>
      </w:r>
    </w:p>
    <w:p>
      <w:pPr>
        <w:spacing w:before="0" w:after="100"/>
      </w:pPr>
    </w:p>
    <w:tbl>
      <w:tblPr>
        <w:tblW w:type="dxa" w:w="9360"/>
        <w:tblBorders>
          <w:top w:val="none" w:color="FFFFFF" w:sz="0"/>
          <w:left w:val="none" w:color="FFFFFF" w:sz="0"/>
          <w:bottom w:val="single" w:color="BFBFBF" w:sz="2"/>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F3864" w:val="clear"/>
            <w:tcMar>
              <w:top w:type="dxa" w:w="90"/>
              <w:left w:type="dxa" w:w="60"/>
              <w:bottom w:type="dxa" w:w="0"/>
              <w:right w:type="dxa" w:w="60"/>
            </w:tcMar>
            <w:vAlign w:val="top"/>
          </w:tcPr>
          <w:p>
            <w:pPr>
              <w:jc w:val="center"/>
            </w:pPr>
            <w:r>
              <w:rPr>
                <w:rFonts w:ascii="Arial" w:cs="Arial" w:eastAsia="Arial" w:hAnsi="Arial"/>
                <w:b/>
                <w:bCs/>
                <w:color w:val="FFFFFF"/>
                <w:sz w:val="20"/>
                <w:szCs w:val="20"/>
              </w:rPr>
              <w:t xml:space="preserve">1</w:t>
            </w:r>
          </w:p>
        </w:tc>
        <w:tc>
          <w:tcPr>
            <w:tcW w:type="dxa" w:w="8960"/>
            <w:tcBorders>
              <w:top w:val="none" w:color="FFFFFF" w:sz="0"/>
              <w:left w:val="single" w:color="1F3864" w:sz="6"/>
              <w:bottom w:val="single" w:color="BFBFBF" w:sz="2"/>
              <w:right w:val="none" w:color="FFFFFF" w:sz="0"/>
            </w:tcBorders>
            <w:tcMar>
              <w:top w:type="dxa" w:w="90"/>
              <w:left w:type="dxa" w:w="160"/>
              <w:bottom w:type="dxa" w:w="90"/>
              <w:right w:type="dxa" w:w="100"/>
            </w:tcMar>
          </w:tcPr>
          <w:p>
            <w:pPr>
              <w:spacing w:before="0" w:after="40"/>
            </w:pPr>
            <w:r>
              <w:rPr>
                <w:rFonts w:ascii="Arial" w:cs="Arial" w:eastAsia="Arial" w:hAnsi="Arial"/>
                <w:b/>
                <w:bCs/>
                <w:color w:val="1F3864"/>
                <w:sz w:val="20"/>
                <w:szCs w:val="20"/>
              </w:rPr>
              <w:t xml:space="preserve">Increase pressure for BWC transparency and CBM participation quality.</w:t>
            </w:r>
          </w:p>
          <w:p>
            <w:pPr>
              <w:spacing w:before="0" w:after="50"/>
              <w:jc w:val="both"/>
            </w:pPr>
            <w:r>
              <w:rPr>
                <w:rFonts w:ascii="Arial" w:cs="Arial" w:eastAsia="Arial" w:hAnsi="Arial"/>
                <w:sz w:val="18"/>
                <w:szCs w:val="18"/>
              </w:rPr>
              <w:t xml:space="preserve">Make Confidence-Building Measure participation and quality a visible bilateral and multilateral issue with each named state. Tie compliance behavior to other bilateral agenda items where diplomatic leverage exists. Press allied governments to raise CBM standards through coordinated representation at BWC intersessional meetings. The goal is not confrontation but sustained transparency pressure within existing treaty architecture.</w:t>
            </w:r>
          </w:p>
          <w:p>
            <w:pPr>
              <w:spacing w:before="0" w:after="0"/>
            </w:pPr>
            <w:r>
              <w:rPr>
                <w:rFonts w:ascii="Arial" w:cs="Arial" w:eastAsia="Arial" w:hAnsi="Arial"/>
                <w:i/>
                <w:iCs/>
                <w:color w:val="595959"/>
                <w:sz w:val="16"/>
                <w:szCs w:val="16"/>
              </w:rPr>
              <w:t xml:space="preserve">Traces to: Key Judgment 3; Implications Section; full assessment Section X.1 and XI</w:t>
            </w:r>
          </w:p>
        </w:tc>
      </w:tr>
    </w:tbl>
    <w:p>
      <w:pPr>
        <w:spacing w:before="0" w:after="80"/>
      </w:pPr>
    </w:p>
    <w:tbl>
      <w:tblPr>
        <w:tblW w:type="dxa" w:w="9360"/>
        <w:tblBorders>
          <w:top w:val="none" w:color="FFFFFF" w:sz="0"/>
          <w:left w:val="none" w:color="FFFFFF" w:sz="0"/>
          <w:bottom w:val="single" w:color="BFBFBF" w:sz="2"/>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F3864" w:val="clear"/>
            <w:tcMar>
              <w:top w:type="dxa" w:w="90"/>
              <w:left w:type="dxa" w:w="60"/>
              <w:bottom w:type="dxa" w:w="0"/>
              <w:right w:type="dxa" w:w="60"/>
            </w:tcMar>
            <w:vAlign w:val="top"/>
          </w:tcPr>
          <w:p>
            <w:pPr>
              <w:jc w:val="center"/>
            </w:pPr>
            <w:r>
              <w:rPr>
                <w:rFonts w:ascii="Arial" w:cs="Arial" w:eastAsia="Arial" w:hAnsi="Arial"/>
                <w:b/>
                <w:bCs/>
                <w:color w:val="FFFFFF"/>
                <w:sz w:val="20"/>
                <w:szCs w:val="20"/>
              </w:rPr>
              <w:t xml:space="preserve">2</w:t>
            </w:r>
          </w:p>
        </w:tc>
        <w:tc>
          <w:tcPr>
            <w:tcW w:type="dxa" w:w="8960"/>
            <w:tcBorders>
              <w:top w:val="none" w:color="FFFFFF" w:sz="0"/>
              <w:left w:val="single" w:color="1F3864" w:sz="6"/>
              <w:bottom w:val="single" w:color="BFBFBF" w:sz="2"/>
              <w:right w:val="none" w:color="FFFFFF" w:sz="0"/>
            </w:tcBorders>
            <w:tcMar>
              <w:top w:type="dxa" w:w="90"/>
              <w:left w:type="dxa" w:w="160"/>
              <w:bottom w:type="dxa" w:w="90"/>
              <w:right w:type="dxa" w:w="100"/>
            </w:tcMar>
          </w:tcPr>
          <w:p>
            <w:pPr>
              <w:spacing w:before="0" w:after="40"/>
            </w:pPr>
            <w:r>
              <w:rPr>
                <w:rFonts w:ascii="Arial" w:cs="Arial" w:eastAsia="Arial" w:hAnsi="Arial"/>
                <w:b/>
                <w:bCs/>
                <w:color w:val="1F3864"/>
                <w:sz w:val="20"/>
                <w:szCs w:val="20"/>
              </w:rPr>
              <w:t xml:space="preserve">Invest in allied genomic and syndromic surveillance integration.</w:t>
            </w:r>
          </w:p>
          <w:p>
            <w:pPr>
              <w:spacing w:before="0" w:after="50"/>
              <w:jc w:val="both"/>
            </w:pPr>
            <w:r>
              <w:rPr>
                <w:rFonts w:ascii="Arial" w:cs="Arial" w:eastAsia="Arial" w:hAnsi="Arial"/>
                <w:sz w:val="18"/>
                <w:szCs w:val="18"/>
              </w:rPr>
              <w:t xml:space="preserve">The principal detection gap is speed and integration across jurisdictions. Invest in data-sharing frameworks with Five Eyes, EU, and Indo-Pacific partners that allow comparative epidemiological baseline assessment. Build and exercise protocols specifically designed to accelerate recognition of a deliberate event initially presenting as natural disease. This is the most direct near-term countermeasure to the delayed-recognition vulnerability identified in Key Judgment 4.</w:t>
            </w:r>
          </w:p>
          <w:p>
            <w:pPr>
              <w:spacing w:before="0" w:after="0"/>
            </w:pPr>
            <w:r>
              <w:rPr>
                <w:rFonts w:ascii="Arial" w:cs="Arial" w:eastAsia="Arial" w:hAnsi="Arial"/>
                <w:i/>
                <w:iCs/>
                <w:color w:val="595959"/>
                <w:sz w:val="16"/>
                <w:szCs w:val="16"/>
              </w:rPr>
              <w:t xml:space="preserve">Traces to: Key Judgment 4; Implications Section; full assessment Section X.2</w:t>
            </w:r>
          </w:p>
        </w:tc>
      </w:tr>
    </w:tbl>
    <w:p>
      <w:pPr>
        <w:spacing w:before="0" w:after="80"/>
      </w:pPr>
    </w:p>
    <w:tbl>
      <w:tblPr>
        <w:tblW w:type="dxa" w:w="9360"/>
        <w:tblBorders>
          <w:top w:val="none" w:color="FFFFFF" w:sz="0"/>
          <w:left w:val="none" w:color="FFFFFF" w:sz="0"/>
          <w:bottom w:val="single" w:color="BFBFBF" w:sz="2"/>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F3864" w:val="clear"/>
            <w:tcMar>
              <w:top w:type="dxa" w:w="90"/>
              <w:left w:type="dxa" w:w="60"/>
              <w:bottom w:type="dxa" w:w="0"/>
              <w:right w:type="dxa" w:w="60"/>
            </w:tcMar>
            <w:vAlign w:val="top"/>
          </w:tcPr>
          <w:p>
            <w:pPr>
              <w:jc w:val="center"/>
            </w:pPr>
            <w:r>
              <w:rPr>
                <w:rFonts w:ascii="Arial" w:cs="Arial" w:eastAsia="Arial" w:hAnsi="Arial"/>
                <w:b/>
                <w:bCs/>
                <w:color w:val="FFFFFF"/>
                <w:sz w:val="20"/>
                <w:szCs w:val="20"/>
              </w:rPr>
              <w:t xml:space="preserve">3</w:t>
            </w:r>
          </w:p>
        </w:tc>
        <w:tc>
          <w:tcPr>
            <w:tcW w:type="dxa" w:w="8960"/>
            <w:tcBorders>
              <w:top w:val="none" w:color="FFFFFF" w:sz="0"/>
              <w:left w:val="single" w:color="1F3864" w:sz="6"/>
              <w:bottom w:val="single" w:color="BFBFBF" w:sz="2"/>
              <w:right w:val="none" w:color="FFFFFF" w:sz="0"/>
            </w:tcBorders>
            <w:tcMar>
              <w:top w:type="dxa" w:w="90"/>
              <w:left w:type="dxa" w:w="160"/>
              <w:bottom w:type="dxa" w:w="90"/>
              <w:right w:type="dxa" w:w="100"/>
            </w:tcMar>
          </w:tcPr>
          <w:p>
            <w:pPr>
              <w:spacing w:before="0" w:after="40"/>
            </w:pPr>
            <w:r>
              <w:rPr>
                <w:rFonts w:ascii="Arial" w:cs="Arial" w:eastAsia="Arial" w:hAnsi="Arial"/>
                <w:b/>
                <w:bCs/>
                <w:color w:val="1F3864"/>
                <w:sz w:val="20"/>
                <w:szCs w:val="20"/>
              </w:rPr>
              <w:t xml:space="preserve">Build standing bioforensics and attribution-support protocols before an event occurs.</w:t>
            </w:r>
          </w:p>
          <w:p>
            <w:pPr>
              <w:spacing w:before="0" w:after="50"/>
              <w:jc w:val="both"/>
            </w:pPr>
            <w:r>
              <w:rPr>
                <w:rFonts w:ascii="Arial" w:cs="Arial" w:eastAsia="Arial" w:hAnsi="Arial"/>
                <w:sz w:val="18"/>
                <w:szCs w:val="18"/>
              </w:rPr>
              <w:t xml:space="preserve">Prearrange evidence-preservation standards, forensic chain-of-custody agreements with key allies, and joint attribution protocols. Run allied tabletop exercises that begin under natural-disease assumptions and introduce a deliberate-state-action hypothesis midway — this is the scenario most likely to surface attribution, communication, and coordination gaps that standard public health exercises do not reveal. Attribution preparation cannot begin after an event is underway.</w:t>
            </w:r>
          </w:p>
          <w:p>
            <w:pPr>
              <w:spacing w:before="0" w:after="0"/>
            </w:pPr>
            <w:r>
              <w:rPr>
                <w:rFonts w:ascii="Arial" w:cs="Arial" w:eastAsia="Arial" w:hAnsi="Arial"/>
                <w:i/>
                <w:iCs/>
                <w:color w:val="595959"/>
                <w:sz w:val="16"/>
                <w:szCs w:val="16"/>
              </w:rPr>
              <w:t xml:space="preserve">Traces to: Key Judgment 4; full assessment Section X.5 and XIII.4</w:t>
            </w:r>
          </w:p>
        </w:tc>
      </w:tr>
    </w:tbl>
    <w:p>
      <w:pPr>
        <w:spacing w:before="0" w:after="80"/>
      </w:pPr>
    </w:p>
    <w:tbl>
      <w:tblPr>
        <w:tblW w:type="dxa" w:w="9360"/>
        <w:tblBorders>
          <w:top w:val="none" w:color="FFFFFF" w:sz="0"/>
          <w:left w:val="none" w:color="FFFFFF" w:sz="0"/>
          <w:bottom w:val="single" w:color="BFBFBF" w:sz="2"/>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F3864" w:val="clear"/>
            <w:tcMar>
              <w:top w:type="dxa" w:w="90"/>
              <w:left w:type="dxa" w:w="60"/>
              <w:bottom w:type="dxa" w:w="0"/>
              <w:right w:type="dxa" w:w="60"/>
            </w:tcMar>
            <w:vAlign w:val="top"/>
          </w:tcPr>
          <w:p>
            <w:pPr>
              <w:jc w:val="center"/>
            </w:pPr>
            <w:r>
              <w:rPr>
                <w:rFonts w:ascii="Arial" w:cs="Arial" w:eastAsia="Arial" w:hAnsi="Arial"/>
                <w:b/>
                <w:bCs/>
                <w:color w:val="FFFFFF"/>
                <w:sz w:val="20"/>
                <w:szCs w:val="20"/>
              </w:rPr>
              <w:t xml:space="preserve">4</w:t>
            </w:r>
          </w:p>
        </w:tc>
        <w:tc>
          <w:tcPr>
            <w:tcW w:type="dxa" w:w="8960"/>
            <w:tcBorders>
              <w:top w:val="none" w:color="FFFFFF" w:sz="0"/>
              <w:left w:val="single" w:color="1F3864" w:sz="6"/>
              <w:bottom w:val="single" w:color="BFBFBF" w:sz="2"/>
              <w:right w:val="none" w:color="FFFFFF" w:sz="0"/>
            </w:tcBorders>
            <w:tcMar>
              <w:top w:type="dxa" w:w="90"/>
              <w:left w:type="dxa" w:w="160"/>
              <w:bottom w:type="dxa" w:w="90"/>
              <w:right w:type="dxa" w:w="100"/>
            </w:tcMar>
          </w:tcPr>
          <w:p>
            <w:pPr>
              <w:spacing w:before="0" w:after="40"/>
            </w:pPr>
            <w:r>
              <w:rPr>
                <w:rFonts w:ascii="Arial" w:cs="Arial" w:eastAsia="Arial" w:hAnsi="Arial"/>
                <w:b/>
                <w:bCs/>
                <w:color w:val="1F3864"/>
                <w:sz w:val="20"/>
                <w:szCs w:val="20"/>
              </w:rPr>
              <w:t xml:space="preserve">Deepen intelligence-public health information integration at the national and allied levels.</w:t>
            </w:r>
          </w:p>
          <w:p>
            <w:pPr>
              <w:spacing w:before="0" w:after="50"/>
              <w:jc w:val="both"/>
            </w:pPr>
            <w:r>
              <w:rPr>
                <w:rFonts w:ascii="Arial" w:cs="Arial" w:eastAsia="Arial" w:hAnsi="Arial"/>
                <w:sz w:val="18"/>
                <w:szCs w:val="18"/>
              </w:rPr>
              <w:t xml:space="preserve">The institutional seam between national security reporting and public health surveillance is the most operationally significant near-term structural vulnerability. Compress the classification and coordination gap that currently delays health-system recognition of deliberate events. This is a structural change in how public health and national security institutions communicate — not a capability addition within either sector alone.</w:t>
            </w:r>
          </w:p>
          <w:p>
            <w:pPr>
              <w:spacing w:before="0" w:after="0"/>
            </w:pPr>
            <w:r>
              <w:rPr>
                <w:rFonts w:ascii="Arial" w:cs="Arial" w:eastAsia="Arial" w:hAnsi="Arial"/>
                <w:i/>
                <w:iCs/>
                <w:color w:val="595959"/>
                <w:sz w:val="16"/>
                <w:szCs w:val="16"/>
              </w:rPr>
              <w:t xml:space="preserve">Traces to: Strategic Implications; full assessment Section X.2 and XIII.7</w:t>
            </w:r>
          </w:p>
        </w:tc>
      </w:tr>
    </w:tbl>
    <w:p>
      <w:pPr>
        <w:spacing w:before="0" w:after="80"/>
      </w:pPr>
    </w:p>
    <w:tbl>
      <w:tblPr>
        <w:tblW w:type="dxa" w:w="9360"/>
        <w:tblBorders>
          <w:top w:val="none" w:color="FFFFFF" w:sz="0"/>
          <w:left w:val="none" w:color="FFFFFF" w:sz="0"/>
          <w:bottom w:val="single" w:color="BFBFBF" w:sz="2"/>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F3864" w:val="clear"/>
            <w:tcMar>
              <w:top w:type="dxa" w:w="90"/>
              <w:left w:type="dxa" w:w="60"/>
              <w:bottom w:type="dxa" w:w="0"/>
              <w:right w:type="dxa" w:w="60"/>
            </w:tcMar>
            <w:vAlign w:val="top"/>
          </w:tcPr>
          <w:p>
            <w:pPr>
              <w:jc w:val="center"/>
            </w:pPr>
            <w:r>
              <w:rPr>
                <w:rFonts w:ascii="Arial" w:cs="Arial" w:eastAsia="Arial" w:hAnsi="Arial"/>
                <w:b/>
                <w:bCs/>
                <w:color w:val="FFFFFF"/>
                <w:sz w:val="20"/>
                <w:szCs w:val="20"/>
              </w:rPr>
              <w:t xml:space="preserve">5</w:t>
            </w:r>
          </w:p>
        </w:tc>
        <w:tc>
          <w:tcPr>
            <w:tcW w:type="dxa" w:w="8960"/>
            <w:tcBorders>
              <w:top w:val="none" w:color="FFFFFF" w:sz="0"/>
              <w:left w:val="single" w:color="1F3864" w:sz="6"/>
              <w:bottom w:val="single" w:color="BFBFBF" w:sz="2"/>
              <w:right w:val="none" w:color="FFFFFF" w:sz="0"/>
            </w:tcBorders>
            <w:tcMar>
              <w:top w:type="dxa" w:w="90"/>
              <w:left w:type="dxa" w:w="160"/>
              <w:bottom w:type="dxa" w:w="90"/>
              <w:right w:type="dxa" w:w="100"/>
            </w:tcMar>
          </w:tcPr>
          <w:p>
            <w:pPr>
              <w:spacing w:before="0" w:after="40"/>
            </w:pPr>
            <w:r>
              <w:rPr>
                <w:rFonts w:ascii="Arial" w:cs="Arial" w:eastAsia="Arial" w:hAnsi="Arial"/>
                <w:b/>
                <w:bCs/>
                <w:color w:val="1F3864"/>
                <w:sz w:val="20"/>
                <w:szCs w:val="20"/>
              </w:rPr>
              <w:t xml:space="preserve">Apply export controls and procurement interdiction against biological-relevant supply chains where legally supportable.</w:t>
            </w:r>
          </w:p>
          <w:p>
            <w:pPr>
              <w:spacing w:before="0" w:after="50"/>
              <w:jc w:val="both"/>
            </w:pPr>
            <w:r>
              <w:rPr>
                <w:rFonts w:ascii="Arial" w:cs="Arial" w:eastAsia="Arial" w:hAnsi="Arial"/>
                <w:sz w:val="18"/>
                <w:szCs w:val="18"/>
              </w:rPr>
              <w:t xml:space="preserve">Use existing UNSCR 1540 authority and allied export-control coordination to limit material inputs to prohibited programs. Focus on procurement networks relevant to the states with the clearest official concern language — Russia and Iran — while maintaining monitoring pressure on dual-use biotechnology flows relevant to China and North Korea. This is the most direct legal tool available short of diplomatic escalation.</w:t>
            </w:r>
          </w:p>
          <w:p>
            <w:pPr>
              <w:spacing w:before="0" w:after="0"/>
            </w:pPr>
            <w:r>
              <w:rPr>
                <w:rFonts w:ascii="Arial" w:cs="Arial" w:eastAsia="Arial" w:hAnsi="Arial"/>
                <w:i/>
                <w:iCs/>
                <w:color w:val="595959"/>
                <w:sz w:val="16"/>
                <w:szCs w:val="16"/>
              </w:rPr>
              <w:t xml:space="preserve">Traces to: Key Judgment 5; full assessment Section X.1, XI, and XIII.6</w:t>
            </w:r>
          </w:p>
        </w:tc>
      </w:tr>
    </w:tbl>
    <w:p>
      <w:pPr>
        <w:spacing w:before="0" w:after="160"/>
      </w:pPr>
    </w:p>
    <w:p>
      <w:pPr>
        <w:pBdr>
          <w:bottom w:val="single" w:color="1F3864" w:sz="4" w:space="1"/>
        </w:pBdr>
        <w:spacing w:before="40" w:after="40"/>
      </w:pPr>
    </w:p>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F3864" w:sz="3"/>
              <w:left w:val="single" w:color="1F3864" w:sz="14"/>
              <w:bottom w:val="single" w:color="1F3864" w:sz="3"/>
              <w:right w:val="none" w:color="FFFFFF" w:sz="0"/>
            </w:tcBorders>
            <w:shd w:fill="F0F4FF" w:val="clear"/>
            <w:tcMar>
              <w:top w:type="dxa" w:w="100"/>
              <w:left w:type="dxa" w:w="180"/>
              <w:bottom w:type="dxa" w:w="100"/>
              <w:right w:type="dxa" w:w="180"/>
            </w:tcMar>
          </w:tcPr>
          <w:p>
            <w:pPr>
              <w:spacing w:before="0" w:after="60"/>
            </w:pPr>
            <w:r>
              <w:rPr>
                <w:rFonts w:ascii="Arial" w:cs="Arial" w:eastAsia="Arial" w:hAnsi="Arial"/>
                <w:b/>
                <w:bCs/>
                <w:color w:val="1F3864"/>
                <w:sz w:val="20"/>
                <w:szCs w:val="20"/>
              </w:rPr>
              <w:t xml:space="preserve">Document Note</w:t>
            </w:r>
          </w:p>
          <w:p>
            <w:pPr>
              <w:spacing w:before="0" w:after="50"/>
              <w:jc w:val="both"/>
            </w:pPr>
            <w:r>
              <w:rPr>
                <w:rFonts w:ascii="Arial" w:cs="Arial" w:eastAsia="Arial" w:hAnsi="Arial"/>
                <w:sz w:val="20"/>
                <w:szCs w:val="20"/>
              </w:rPr>
              <w:t xml:space="preserve">This executive derivative is drawn exclusively from the companion full assessment. All sourcing, confidence standards, and analytic rules governing that document apply here. Full citations, evidence-type tagging, country-chapter analysis, legal authority mapping, and intelligence gap discussion appear in the complete paper.</w:t>
            </w:r>
          </w:p>
          <w:p>
            <w:pPr>
              <w:spacing w:before="0" w:after="0"/>
              <w:jc w:val="both"/>
            </w:pPr>
            <w:r>
              <w:rPr>
                <w:rFonts w:ascii="Arial" w:cs="Arial" w:eastAsia="Arial" w:hAnsi="Arial"/>
                <w:sz w:val="20"/>
                <w:szCs w:val="20"/>
              </w:rPr>
              <w:t xml:space="preserve">Both documents are unclassified, public-source, and defensive in framing. Neither is operational reporting, a technical biological-weapons document, or a substitute for classified intelligence review.</w:t>
            </w:r>
          </w:p>
        </w:tc>
      </w:tr>
    </w:tbl>
    <w:p>
      <w:pPr>
        <w:spacing w:before="0" w:after="100"/>
      </w:pPr>
    </w:p>
    <w:p>
      <w:pPr>
        <w:pBdr>
          <w:bottom w:val="single" w:color="C00000" w:sz="6" w:space="1"/>
        </w:pBdr>
        <w:spacing w:before="40" w:after="40"/>
      </w:pPr>
    </w:p>
    <w:p>
      <w:pPr>
        <w:spacing w:before="60" w:after="0"/>
        <w:jc w:val="center"/>
      </w:pPr>
      <w:r>
        <w:rPr>
          <w:rFonts w:ascii="Arial" w:cs="Arial" w:eastAsia="Arial" w:hAnsi="Arial"/>
          <w:b/>
          <w:bCs/>
          <w:color w:val="C00000"/>
          <w:sz w:val="20"/>
          <w:szCs w:val="20"/>
        </w:rPr>
        <w:t xml:space="preserve">UNCLASSIFIED // PUBLIC-SOURCE DEFENSIVE ASSESSMENT</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tabs>
        <w:tab w:val="right" w:pos="9360"/>
      </w:tabs>
      <w:spacing w:before="60"/>
    </w:pPr>
    <w:r>
      <w:rPr>
        <w:rFonts w:ascii="Arial" w:cs="Arial" w:eastAsia="Arial" w:hAnsi="Arial"/>
        <w:b/>
        <w:bCs/>
        <w:color w:val="C00000"/>
        <w:sz w:val="18"/>
        <w:szCs w:val="18"/>
      </w:rPr>
      <w:t xml:space="preserve">UNCLASSIFIED</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tabs>
        <w:tab w:val="right" w:pos="9360"/>
      </w:tabs>
      <w:spacing w:after="60"/>
    </w:pPr>
    <w:r>
      <w:rPr>
        <w:rFonts w:ascii="Arial" w:cs="Arial" w:eastAsia="Arial" w:hAnsi="Arial"/>
        <w:b/>
        <w:bCs/>
        <w:color w:val="C00000"/>
        <w:sz w:val="18"/>
        <w:szCs w:val="18"/>
      </w:rPr>
      <w:t xml:space="preserve">UNCLASSIFIED // PUBLIC-SOURCE DEFENSIVE ASSESSMENT</w:t>
    </w:r>
    <w:r>
      <w:rPr>
        <w:rFonts w:ascii="Arial" w:cs="Arial" w:eastAsia="Arial" w:hAnsi="Arial"/>
        <w:color w:val="595959"/>
        <w:sz w:val="18"/>
        <w:szCs w:val="18"/>
      </w:rPr>
      <w:t xml:space="preserve">	Executive Derivative  |  Countering State Biological Weapons Risk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2026-03-11T06:20:40.353Z</dcterms:created>
  <dcterms:modified xsi:type="dcterms:W3CDTF">2026-03-11T06:20:40.354Z</dcterms:modified>
</cp:coreProperties>
</file>

<file path=docProps/custom.xml><?xml version="1.0" encoding="utf-8"?>
<Properties xmlns="http://schemas.openxmlformats.org/officeDocument/2006/custom-properties" xmlns:vt="http://schemas.openxmlformats.org/officeDocument/2006/docPropsVTypes"/>
</file>