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C00000"/>
          <w:sz w:val="20"/>
          <w:szCs w:val="20"/>
        </w:rPr>
        <w:t xml:space="preserve">UNCLASSIFIED // PUBLIC-SOURCE DEFENSIVE ASSESSMENT</w:t>
      </w:r>
    </w:p>
    <w:p>
      <w:pPr>
        <w:pBdr>
          <w:bottom w:val="single" w:color="C00000" w:sz="6" w:space="1"/>
        </w:pBdr>
        <w:spacing w:before="40" w:after="40"/>
      </w:pPr>
    </w:p>
    <w:p>
      <w:pPr>
        <w:spacing w:before="0" w:after="480"/>
      </w:pPr>
    </w:p>
    <w:p>
      <w:pPr>
        <w:spacing w:before="0" w:after="200"/>
        <w:jc w:val="center"/>
      </w:pPr>
      <w:r>
        <w:rPr>
          <w:rFonts w:ascii="Arial" w:cs="Arial" w:eastAsia="Arial" w:hAnsi="Arial"/>
          <w:b/>
          <w:bCs/>
          <w:color w:val="1F3864"/>
          <w:sz w:val="56"/>
          <w:szCs w:val="56"/>
        </w:rPr>
        <w:t xml:space="preserve">Countering State Biological Weapons Risk</w:t>
      </w:r>
    </w:p>
    <w:p>
      <w:pPr>
        <w:spacing w:before="0" w:after="160"/>
        <w:jc w:val="center"/>
      </w:pPr>
      <w:r>
        <w:rPr>
          <w:rFonts w:ascii="Arial" w:cs="Arial" w:eastAsia="Arial" w:hAnsi="Arial"/>
          <w:b/>
          <w:bCs/>
          <w:color w:val="1F3864"/>
          <w:sz w:val="36"/>
          <w:szCs w:val="36"/>
        </w:rPr>
        <w:t xml:space="preserve">China, Russia, Iran, and North Korea</w:t>
      </w:r>
    </w:p>
    <w:p>
      <w:pPr>
        <w:spacing w:before="0" w:after="560"/>
        <w:jc w:val="center"/>
      </w:pPr>
      <w:r>
        <w:rPr>
          <w:rFonts w:ascii="Arial" w:cs="Arial" w:eastAsia="Arial" w:hAnsi="Arial"/>
          <w:i/>
          <w:iCs/>
          <w:color w:val="595959"/>
          <w:sz w:val="26"/>
          <w:szCs w:val="26"/>
        </w:rPr>
        <w:t xml:space="preserve">Capabilities, Compliance Concerns, Intelligence Gaps, and
U.S./Allied Prevention, Detection, and Mitigation Options</w:t>
      </w:r>
    </w:p>
    <w:p>
      <w:pPr>
        <w:pBdr>
          <w:bottom w:val="single" w:color="1F3864" w:sz="4" w:space="1"/>
        </w:pBdr>
        <w:spacing w:before="40" w:after="40"/>
      </w:pPr>
    </w:p>
    <w:p>
      <w:pPr>
        <w:spacing w:before="0" w:after="200"/>
      </w:pPr>
    </w:p>
    <w:p>
      <w:pPr>
        <w:spacing w:before="0" w:after="80"/>
        <w:jc w:val="center"/>
      </w:pPr>
      <w:r>
        <w:rPr>
          <w:rFonts w:ascii="Arial" w:cs="Arial" w:eastAsia="Arial" w:hAnsi="Arial"/>
          <w:color w:val="595959"/>
          <w:sz w:val="22"/>
          <w:szCs w:val="22"/>
        </w:rPr>
        <w:t xml:space="preserve">An Unclassified, Public-Source Defensive Assessment</w:t>
      </w:r>
    </w:p>
    <w:p>
      <w:pPr>
        <w:spacing w:before="0" w:after="80"/>
        <w:jc w:val="center"/>
      </w:pPr>
      <w:r>
        <w:rPr>
          <w:rFonts w:ascii="Arial" w:cs="Arial" w:eastAsia="Arial" w:hAnsi="Arial"/>
          <w:b/>
          <w:bCs/>
          <w:color w:val="595959"/>
          <w:sz w:val="22"/>
          <w:szCs w:val="22"/>
        </w:rPr>
        <w:t xml:space="preserve">March 2026</w:t>
      </w:r>
    </w:p>
    <w:p>
      <w:pPr>
        <w:spacing w:before="0" w:after="600"/>
      </w:pPr>
    </w:p>
    <w:p>
      <w:pPr>
        <w:pBdr>
          <w:bottom w:val="single" w:color="C00000" w:sz="6" w:space="1"/>
        </w:pBdr>
        <w:spacing w:before="40" w:after="40"/>
      </w:pPr>
    </w:p>
    <w:p>
      <w:pPr>
        <w:spacing w:before="80" w:after="0"/>
        <w:jc w:val="center"/>
      </w:pPr>
      <w:r>
        <w:rPr>
          <w:rFonts w:ascii="Arial" w:cs="Arial" w:eastAsia="Arial" w:hAnsi="Arial"/>
          <w:b/>
          <w:bCs/>
          <w:color w:val="C00000"/>
          <w:sz w:val="20"/>
          <w:szCs w:val="20"/>
        </w:rPr>
        <w:t xml:space="preserve">UNCLASSIFIED</w:t>
      </w:r>
    </w:p>
    <w:p>
      <w:r>
        <w:br w:type="page"/>
      </w:r>
    </w:p>
    <w:p>
      <w:pPr>
        <w:spacing w:before="0" w:after="60"/>
        <w:jc w:val="center"/>
      </w:pPr>
      <w:r>
        <w:rPr>
          <w:rFonts w:ascii="Arial" w:cs="Arial" w:eastAsia="Arial" w:hAnsi="Arial"/>
          <w:b/>
          <w:bCs/>
          <w:color w:val="1F3864"/>
          <w:sz w:val="26"/>
          <w:szCs w:val="26"/>
        </w:rPr>
        <w:t xml:space="preserve">ANALYTIC STANDARDS AND CONFIDENCE FRAMEWORK</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iCs/>
          <w:color w:val="000000"/>
          <w:sz w:val="22"/>
          <w:szCs w:val="22"/>
        </w:rPr>
        <w:t xml:space="preserve">This paper applies a two-axis analytic framework to all substantive judgments. Every major claim is tagged by confidence level and evidence type.</w:t>
      </w:r>
    </w:p>
    <w:p>
      <w:pPr>
        <w:spacing w:before="0" w:after="80"/>
      </w:pPr>
    </w:p>
    <w:p>
      <w:pPr>
        <w:pStyle w:val="Heading2"/>
        <w:spacing w:before="240" w:after="80"/>
      </w:pPr>
      <w:r>
        <w:rPr>
          <w:rFonts w:ascii="Arial" w:cs="Arial" w:eastAsia="Arial" w:hAnsi="Arial"/>
          <w:b/>
          <w:bCs/>
          <w:color w:val="1F3864"/>
          <w:sz w:val="26"/>
          <w:szCs w:val="26"/>
        </w:rPr>
        <w:t xml:space="preserve">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Level</w:t>
            </w:r>
          </w:p>
        </w:tc>
        <w:tc>
          <w:tcPr>
            <w:tcW w:type="dxa" w:w="7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Definition</w:t>
            </w:r>
          </w:p>
        </w:tc>
      </w:tr>
      <w:tr>
        <w:tc>
          <w:tcPr>
            <w:tcW w:type="dxa" w:w="2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High Confidence</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Directly supported by official U.S. or multilateral sources with clear, repeated language. The evidentiary record is robust and consistent.</w:t>
            </w:r>
          </w:p>
        </w:tc>
      </w:tr>
      <w:tr>
        <w:tc>
          <w:tcPr>
            <w:tcW w:type="dxa" w:w="2160"/>
            <w:tcBorders>
              <w:top w:val="single" w:color="BFBFBF" w:sz="1"/>
              <w:left w:val="single" w:color="BFBFBF" w:sz="1"/>
              <w:bottom w:val="single" w:color="BFBFBF" w:sz="1"/>
              <w:right w:val="single" w:color="BFBFBF" w:sz="1"/>
            </w:tcBorders>
            <w:shd w:fill="FFFDE7" w:val="clear"/>
            <w:tcMar>
              <w:top w:type="dxa" w:w="80"/>
              <w:left w:type="dxa" w:w="120"/>
              <w:bottom w:type="dxa" w:w="80"/>
              <w:right w:type="dxa" w:w="120"/>
            </w:tcMar>
          </w:tcPr>
          <w:p>
            <w:r>
              <w:rPr>
                <w:rFonts w:ascii="Arial" w:cs="Arial" w:eastAsia="Arial" w:hAnsi="Arial"/>
                <w:b/>
                <w:bCs/>
                <w:color w:val="7F6000"/>
                <w:sz w:val="18"/>
                <w:szCs w:val="18"/>
              </w:rPr>
              <w:t xml:space="preserve">Moderate Confidence</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Supported by official reporting, but with material evidentiary gaps, ambiguous source language, or mixed-source findings.</w:t>
            </w:r>
          </w:p>
        </w:tc>
      </w:tr>
      <w:tr>
        <w:tc>
          <w:tcPr>
            <w:tcW w:type="dxa" w:w="2160"/>
            <w:tcBorders>
              <w:top w:val="single" w:color="BFBFBF" w:sz="1"/>
              <w:left w:val="single" w:color="BFBFBF" w:sz="1"/>
              <w:bottom w:val="single" w:color="BFBFBF" w:sz="1"/>
              <w:right w:val="single" w:color="BFBFBF" w:sz="1"/>
            </w:tcBorders>
            <w:shd w:fill="FDF0E8" w:val="clear"/>
            <w:tcMar>
              <w:top w:type="dxa" w:w="80"/>
              <w:left w:type="dxa" w:w="120"/>
              <w:bottom w:type="dxa" w:w="80"/>
              <w:right w:type="dxa" w:w="120"/>
            </w:tcMar>
          </w:tcPr>
          <w:p>
            <w:r>
              <w:rPr>
                <w:rFonts w:ascii="Arial" w:cs="Arial" w:eastAsia="Arial" w:hAnsi="Arial"/>
                <w:b/>
                <w:bCs/>
                <w:color w:val="843C0C"/>
                <w:sz w:val="18"/>
                <w:szCs w:val="18"/>
              </w:rPr>
              <w:t xml:space="preserve">Low Confidence</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 plausible inference from available public reporting, but not directly established in the official record.</w:t>
            </w:r>
          </w:p>
        </w:tc>
      </w:tr>
    </w:tbl>
    <w:p>
      <w:pPr>
        <w:spacing w:before="0" w:after="160"/>
      </w:pPr>
    </w:p>
    <w:p>
      <w:pPr>
        <w:pStyle w:val="Heading2"/>
        <w:spacing w:before="240" w:after="80"/>
      </w:pPr>
      <w:r>
        <w:rPr>
          <w:rFonts w:ascii="Arial" w:cs="Arial" w:eastAsia="Arial" w:hAnsi="Arial"/>
          <w:b/>
          <w:bCs/>
          <w:color w:val="1F3864"/>
          <w:sz w:val="26"/>
          <w:szCs w:val="26"/>
        </w:rPr>
        <w:t xml:space="preserve">Evidence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684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Meaning</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Observed / Officially Reported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Statements or findings that appear directly in cited official sources. Attributed explicitly.</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8"/>
                <w:szCs w:val="18"/>
              </w:rPr>
              <w:t xml:space="preserve">Assessment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An analytic judgment about the meaning or significance of the observed evidence. Explicitly distinguished from underlying reporting.</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Implication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 downstream consequence or inference drawn from assessed evidence. One or more inferential steps from the source.</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8"/>
                <w:szCs w:val="18"/>
              </w:rPr>
              <w:t xml:space="preserve">Strategic Significance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Analysis of why a finding matters for U.S. and allied planning and policy.</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Unknowns / Intelligence Gaps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 recognized area where public evidence is insufficient to support a judgment. Identified explicitly.</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2F2F2" w:val="clear"/>
            <w:tcMar>
              <w:top w:type="dxa" w:w="120"/>
              <w:left w:type="dxa" w:w="200"/>
              <w:bottom w:type="dxa" w:w="120"/>
              <w:right w:type="dxa" w:w="200"/>
            </w:tcMar>
          </w:tcPr>
          <w:p>
            <w:pPr>
              <w:spacing w:before="0" w:after="60"/>
            </w:pPr>
            <w:r>
              <w:rPr>
                <w:rFonts w:ascii="Arial" w:cs="Arial" w:eastAsia="Arial" w:hAnsi="Arial"/>
                <w:b/>
                <w:bCs/>
                <w:color w:val="1F3864"/>
                <w:sz w:val="20"/>
                <w:szCs w:val="20"/>
              </w:rPr>
              <w:t xml:space="preserve">Source Hierarchy Note</w:t>
            </w:r>
          </w:p>
          <w:p>
            <w:pPr>
              <w:spacing w:before="0" w:after="0"/>
              <w:jc w:val="both"/>
            </w:pPr>
            <w:r>
              <w:rPr>
                <w:rFonts w:ascii="Arial" w:cs="Arial" w:eastAsia="Arial" w:hAnsi="Arial"/>
                <w:sz w:val="20"/>
                <w:szCs w:val="20"/>
              </w:rPr>
              <w:t xml:space="preserve">Official sources outrank secondary commentary. The public record does not equal the complete intelligence record. Absence of evidence in open reporting is not evidence of absence of activity. These principles apply throughout.</w:t>
            </w:r>
          </w:p>
        </w:tc>
      </w:tr>
    </w:tbl>
    <w:p>
      <w:r>
        <w:br w:type="page"/>
      </w:r>
    </w:p>
    <w:p>
      <w:pPr>
        <w:spacing w:before="0" w:after="60"/>
      </w:pPr>
      <w:r>
        <w:rPr>
          <w:rFonts w:ascii="Arial" w:cs="Arial" w:eastAsia="Arial" w:hAnsi="Arial"/>
          <w:b/>
          <w:bCs/>
          <w:color w:val="C00000"/>
          <w:sz w:val="18"/>
          <w:szCs w:val="18"/>
        </w:rPr>
        <w:t xml:space="preserve">SECTION I</w:t>
      </w:r>
    </w:p>
    <w:p>
      <w:pPr>
        <w:pStyle w:val="Heading1"/>
        <w:spacing w:before="360" w:after="120"/>
      </w:pPr>
      <w:r>
        <w:rPr>
          <w:rFonts w:ascii="Arial" w:cs="Arial" w:eastAsia="Arial" w:hAnsi="Arial"/>
          <w:b/>
          <w:bCs/>
          <w:color w:val="1F3864"/>
          <w:sz w:val="32"/>
          <w:szCs w:val="32"/>
        </w:rPr>
        <w:t xml:space="preserve">Framing Note and Scope</w:t>
      </w:r>
    </w:p>
    <w:p>
      <w:pPr>
        <w:pBdr>
          <w:bottom w:val="single" w:color="1F3864" w:sz="4" w:space="1"/>
        </w:pBdr>
        <w:spacing w:before="40" w:after="40"/>
      </w:pPr>
    </w:p>
    <w:p>
      <w:pPr>
        <w:spacing w:before="0" w:after="80"/>
      </w:pPr>
    </w:p>
    <w:p>
      <w:pPr>
        <w:pStyle w:val="Heading2"/>
        <w:spacing w:before="240" w:after="80"/>
      </w:pPr>
      <w:r>
        <w:rPr>
          <w:rFonts w:ascii="Arial" w:cs="Arial" w:eastAsia="Arial" w:hAnsi="Arial"/>
          <w:b/>
          <w:bCs/>
          <w:color w:val="1F3864"/>
          <w:sz w:val="26"/>
          <w:szCs w:val="26"/>
        </w:rPr>
        <w:t xml:space="preserve">1.1  Purpose and Document Status</w:t>
      </w:r>
    </w:p>
    <w:p>
      <w:pPr>
        <w:spacing w:before="80" w:after="120" w:line="276"/>
        <w:jc w:val="both"/>
      </w:pPr>
      <w:r>
        <w:rPr>
          <w:rFonts w:ascii="Arial" w:cs="Arial" w:eastAsia="Arial" w:hAnsi="Arial"/>
          <w:sz w:val="22"/>
          <w:szCs w:val="22"/>
        </w:rPr>
        <w:t xml:space="preserve">This paper is an unclassified, public-source, defensive assessment of state biological-weapons-related risk associated with China, Russia, Iran, and North Korea. Its purpose is to reduce analytic fragmentation across security studies, biodefense policy, public health preparedness, and national-security review by consolidating official threat judgments, treaty and regulatory authorities, and defensive countermeasure pathways into a single structured reference.  </w:t>
      </w:r>
      <w:r>
        <w:rPr>
          <w:rFonts w:ascii="Arial" w:cs="Arial" w:eastAsia="Arial" w:hAnsi="Arial"/>
          <w:sz w:val="18"/>
          <w:szCs w:val="18"/>
          <w:vertAlign w:val="superscript"/>
        </w:rPr>
        <w:t xml:space="preserve">¹</w:t>
      </w:r>
    </w:p>
    <w:p>
      <w:pPr>
        <w:spacing w:before="80" w:after="120" w:line="276"/>
        <w:jc w:val="both"/>
      </w:pPr>
      <w:r>
        <w:rPr>
          <w:rFonts w:ascii="Arial" w:cs="Arial" w:eastAsia="Arial" w:hAnsi="Arial"/>
          <w:b w:val="false"/>
          <w:bCs w:val="false"/>
          <w:i w:val="false"/>
          <w:iCs w:val="false"/>
          <w:color w:val="000000"/>
          <w:sz w:val="22"/>
          <w:szCs w:val="22"/>
        </w:rPr>
        <w:t xml:space="preserve">It is not an operational dossier, not a targeting aid, not a collection plan, and not a substitute for classified intelligence review. Explicit exclusions include facility mapping, technical agent optimization, collection tasking, delivery-chain enablement, and operational plans of any kind.</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2F2F2" w:val="clear"/>
            <w:tcMar>
              <w:top w:type="dxa" w:w="120"/>
              <w:left w:type="dxa" w:w="200"/>
              <w:bottom w:type="dxa" w:w="120"/>
              <w:right w:type="dxa" w:w="200"/>
            </w:tcMar>
          </w:tcPr>
          <w:p>
            <w:pPr>
              <w:spacing w:before="0" w:after="60"/>
            </w:pPr>
            <w:r>
              <w:rPr>
                <w:rFonts w:ascii="Arial" w:cs="Arial" w:eastAsia="Arial" w:hAnsi="Arial"/>
                <w:b/>
                <w:bCs/>
                <w:color w:val="1F3864"/>
                <w:sz w:val="20"/>
                <w:szCs w:val="20"/>
              </w:rPr>
              <w:t xml:space="preserve">Document Status</w:t>
            </w:r>
          </w:p>
          <w:p>
            <w:pPr>
              <w:spacing w:before="0" w:after="40"/>
            </w:pPr>
            <w:r>
              <w:rPr>
                <w:rFonts w:ascii="Arial" w:cs="Arial" w:eastAsia="Arial" w:hAnsi="Arial"/>
                <w:b/>
                <w:bCs/>
                <w:sz w:val="20"/>
                <w:szCs w:val="20"/>
              </w:rPr>
              <w:t xml:space="preserve">Classification:  </w:t>
            </w:r>
            <w:r>
              <w:rPr>
                <w:rFonts w:ascii="Arial" w:cs="Arial" w:eastAsia="Arial" w:hAnsi="Arial"/>
                <w:sz w:val="20"/>
                <w:szCs w:val="20"/>
              </w:rPr>
              <w:t xml:space="preserve">UNCLASSIFIED</w:t>
            </w:r>
          </w:p>
          <w:p>
            <w:pPr>
              <w:spacing w:before="0" w:after="40"/>
            </w:pPr>
            <w:r>
              <w:rPr>
                <w:rFonts w:ascii="Arial" w:cs="Arial" w:eastAsia="Arial" w:hAnsi="Arial"/>
                <w:b/>
                <w:bCs/>
                <w:sz w:val="20"/>
                <w:szCs w:val="20"/>
              </w:rPr>
              <w:t xml:space="preserve">Source base:  </w:t>
            </w:r>
            <w:r>
              <w:rPr>
                <w:rFonts w:ascii="Arial" w:cs="Arial" w:eastAsia="Arial" w:hAnsi="Arial"/>
                <w:sz w:val="20"/>
                <w:szCs w:val="20"/>
              </w:rPr>
              <w:t xml:space="preserve">Official U.S. and multilateral public sources only</w:t>
            </w:r>
          </w:p>
          <w:p>
            <w:pPr>
              <w:spacing w:before="0" w:after="40"/>
            </w:pPr>
            <w:r>
              <w:rPr>
                <w:rFonts w:ascii="Arial" w:cs="Arial" w:eastAsia="Arial" w:hAnsi="Arial"/>
                <w:b/>
                <w:bCs/>
                <w:sz w:val="20"/>
                <w:szCs w:val="20"/>
              </w:rPr>
              <w:t xml:space="preserve">Purpose:  </w:t>
            </w:r>
            <w:r>
              <w:rPr>
                <w:rFonts w:ascii="Arial" w:cs="Arial" w:eastAsia="Arial" w:hAnsi="Arial"/>
                <w:sz w:val="20"/>
                <w:szCs w:val="20"/>
              </w:rPr>
              <w:t xml:space="preserve">Defensive: prevention, detection, and mitigation framing only</w:t>
            </w:r>
          </w:p>
          <w:p>
            <w:pPr>
              <w:spacing w:before="0" w:after="40"/>
            </w:pPr>
            <w:r>
              <w:rPr>
                <w:rFonts w:ascii="Arial" w:cs="Arial" w:eastAsia="Arial" w:hAnsi="Arial"/>
                <w:b/>
                <w:bCs/>
                <w:sz w:val="20"/>
                <w:szCs w:val="20"/>
              </w:rPr>
              <w:t xml:space="preserve">Not intended as:  </w:t>
            </w:r>
            <w:r>
              <w:rPr>
                <w:rFonts w:ascii="Arial" w:cs="Arial" w:eastAsia="Arial" w:hAnsi="Arial"/>
                <w:sz w:val="20"/>
                <w:szCs w:val="20"/>
              </w:rPr>
              <w:t xml:space="preserve">Operational reporting, technical weapons document, or substitute for classified review</w:t>
            </w:r>
          </w:p>
        </w:tc>
      </w:tr>
    </w:tbl>
    <w:p>
      <w:pPr>
        <w:spacing w:before="0" w:after="140"/>
      </w:pPr>
    </w:p>
    <w:p>
      <w:pPr>
        <w:pStyle w:val="Heading2"/>
        <w:spacing w:before="240" w:after="80"/>
      </w:pPr>
      <w:r>
        <w:rPr>
          <w:rFonts w:ascii="Arial" w:cs="Arial" w:eastAsia="Arial" w:hAnsi="Arial"/>
          <w:b/>
          <w:bCs/>
          <w:color w:val="1F3864"/>
          <w:sz w:val="26"/>
          <w:szCs w:val="26"/>
        </w:rPr>
        <w:t xml:space="preserve">1.2  Why This Topic Matters</w:t>
      </w:r>
    </w:p>
    <w:p>
      <w:pPr>
        <w:spacing w:before="80" w:after="120" w:line="276"/>
        <w:jc w:val="both"/>
      </w:pPr>
      <w:r>
        <w:rPr>
          <w:rFonts w:ascii="Arial" w:cs="Arial" w:eastAsia="Arial" w:hAnsi="Arial"/>
          <w:sz w:val="22"/>
          <w:szCs w:val="22"/>
        </w:rPr>
        <w:t xml:space="preserve">Biological risk is structurally difficult. The Biological Weapons Convention prohibits the development, production, acquisition, transfer, stockpiling, and use of biological and toxin weapons, but the international regime does not provide an IAEA-style verification architecture.  </w:t>
      </w:r>
      <w:r>
        <w:rPr>
          <w:rFonts w:ascii="Arial" w:cs="Arial" w:eastAsia="Arial" w:hAnsi="Arial"/>
          <w:sz w:val="18"/>
          <w:szCs w:val="18"/>
          <w:vertAlign w:val="superscript"/>
        </w:rPr>
        <w:t xml:space="preserve">²</w:t>
      </w:r>
    </w:p>
    <w:p>
      <w:pPr>
        <w:spacing w:before="80" w:after="120" w:line="276"/>
        <w:jc w:val="both"/>
      </w:pPr>
      <w:r>
        <w:rPr>
          <w:rFonts w:ascii="Arial" w:cs="Arial" w:eastAsia="Arial" w:hAnsi="Arial"/>
          <w:sz w:val="22"/>
          <w:szCs w:val="22"/>
        </w:rPr>
        <w:t xml:space="preserve">The BWC Confidence-Building Measures process was created specifically to reduce ambiguities, doubts, and suspicions among states parties — which is itself evidence that transparency remains a central challenge in this domain.  </w:t>
      </w:r>
      <w:r>
        <w:rPr>
          <w:rFonts w:ascii="Arial" w:cs="Arial" w:eastAsia="Arial" w:hAnsi="Arial"/>
          <w:sz w:val="18"/>
          <w:szCs w:val="18"/>
          <w:vertAlign w:val="superscript"/>
        </w:rPr>
        <w:t xml:space="preserve">³</w:t>
      </w:r>
    </w:p>
    <w:p>
      <w:pPr>
        <w:spacing w:before="80" w:after="120" w:line="276"/>
        <w:jc w:val="both"/>
      </w:pPr>
      <w:r>
        <w:rPr>
          <w:rFonts w:ascii="Arial" w:cs="Arial" w:eastAsia="Arial" w:hAnsi="Arial"/>
          <w:b w:val="false"/>
          <w:bCs w:val="false"/>
          <w:i w:val="false"/>
          <w:iCs w:val="false"/>
          <w:color w:val="000000"/>
          <w:sz w:val="22"/>
          <w:szCs w:val="22"/>
        </w:rPr>
        <w:t xml:space="preserve">Second, dual-use biology complicates attribution and verification. The same infrastructure that supports vaccines, diagnostics, pharmaceuticals, and pandemic preparedness can, under different intent and direction, raise compliance and biosecurity concerns. This is the structural feature that has made biological arms control persistently more difficult than nuclear arms control, and the feature that most benefits state actors that choose opacity over transparency.</w:t>
      </w:r>
    </w:p>
    <w:p>
      <w:pPr>
        <w:spacing w:before="80" w:after="120" w:line="276"/>
        <w:jc w:val="both"/>
      </w:pPr>
      <w:r>
        <w:rPr>
          <w:rFonts w:ascii="Arial" w:cs="Arial" w:eastAsia="Arial" w:hAnsi="Arial"/>
          <w:b w:val="false"/>
          <w:bCs w:val="false"/>
          <w:i w:val="false"/>
          <w:iCs w:val="false"/>
          <w:color w:val="000000"/>
          <w:sz w:val="22"/>
          <w:szCs w:val="22"/>
        </w:rPr>
        <w:t xml:space="preserve">Third, the attribution problem is not merely technical. A deliberate biological event can be engineered to resemble a natural outbreak or accidental release. The evidentiary and political burden required to assign state responsibility is high, the timeline for attribution is long, and the window for a credible policy response narrows the longer recognition is delayed.</w:t>
      </w:r>
    </w:p>
    <w:p>
      <w:pPr>
        <w:spacing w:before="0" w:after="80"/>
      </w:pPr>
    </w:p>
    <w:p>
      <w:pPr>
        <w:pStyle w:val="Heading2"/>
        <w:spacing w:before="240" w:after="80"/>
      </w:pPr>
      <w:r>
        <w:rPr>
          <w:rFonts w:ascii="Arial" w:cs="Arial" w:eastAsia="Arial" w:hAnsi="Arial"/>
          <w:b/>
          <w:bCs/>
          <w:color w:val="1F3864"/>
          <w:sz w:val="26"/>
          <w:szCs w:val="26"/>
        </w:rPr>
        <w:t xml:space="preserve">1.3  Scope</w:t>
      </w:r>
    </w:p>
    <w:p>
      <w:pPr>
        <w:spacing w:before="80" w:after="120" w:line="276"/>
        <w:jc w:val="both"/>
      </w:pPr>
      <w:r>
        <w:rPr>
          <w:rFonts w:ascii="Arial" w:cs="Arial" w:eastAsia="Arial" w:hAnsi="Arial"/>
          <w:b w:val="false"/>
          <w:bCs w:val="false"/>
          <w:i w:val="false"/>
          <w:iCs w:val="false"/>
          <w:color w:val="000000"/>
          <w:sz w:val="22"/>
          <w:szCs w:val="22"/>
        </w:rPr>
        <w:t xml:space="preserve">This paper addresses the following: the four named state actors; public-source capability judgments drawn from official U.S. and multilateral reporting; compliance concerns under the BWC and related frameworks; and countermeasure options available to the United States and allied partners across the prevention, detection, denial, attribution, mitigation, and resilience spectrum.</w:t>
      </w:r>
    </w:p>
    <w:p>
      <w:pPr>
        <w:spacing w:before="0" w:after="60"/>
      </w:pPr>
    </w:p>
    <w:p>
      <w:pPr>
        <w:pStyle w:val="ListParagraph"/>
        <w:numPr>
          <w:ilvl w:val="0"/>
          <w:numId w:val="2"/>
        </w:numPr>
        <w:spacing w:before="40" w:after="40"/>
      </w:pPr>
      <w:r>
        <w:rPr>
          <w:rFonts w:ascii="Arial" w:cs="Arial" w:eastAsia="Arial" w:hAnsi="Arial"/>
          <w:sz w:val="22"/>
          <w:szCs w:val="22"/>
        </w:rPr>
        <w:t xml:space="preserve">States assessed: China, Russia, Iran, North Korea</w:t>
      </w:r>
    </w:p>
    <w:p>
      <w:pPr>
        <w:pStyle w:val="ListParagraph"/>
        <w:numPr>
          <w:ilvl w:val="0"/>
          <w:numId w:val="2"/>
        </w:numPr>
        <w:spacing w:before="40" w:after="40"/>
      </w:pPr>
      <w:r>
        <w:rPr>
          <w:rFonts w:ascii="Arial" w:cs="Arial" w:eastAsia="Arial" w:hAnsi="Arial"/>
          <w:sz w:val="22"/>
          <w:szCs w:val="22"/>
        </w:rPr>
        <w:t xml:space="preserve">Source basis: Official U.S. and multilateral public reporting only</w:t>
      </w:r>
    </w:p>
    <w:p>
      <w:pPr>
        <w:pStyle w:val="ListParagraph"/>
        <w:numPr>
          <w:ilvl w:val="0"/>
          <w:numId w:val="2"/>
        </w:numPr>
        <w:spacing w:before="40" w:after="40"/>
      </w:pPr>
      <w:r>
        <w:rPr>
          <w:rFonts w:ascii="Arial" w:cs="Arial" w:eastAsia="Arial" w:hAnsi="Arial"/>
          <w:sz w:val="22"/>
          <w:szCs w:val="22"/>
        </w:rPr>
        <w:t xml:space="preserve">Countermeasure frame: Defensive, lawful, and layered</w:t>
      </w:r>
    </w:p>
    <w:p>
      <w:pPr>
        <w:pStyle w:val="ListParagraph"/>
        <w:numPr>
          <w:ilvl w:val="0"/>
          <w:numId w:val="2"/>
        </w:numPr>
        <w:spacing w:before="40" w:after="40"/>
      </w:pPr>
      <w:r>
        <w:rPr>
          <w:rFonts w:ascii="Arial" w:cs="Arial" w:eastAsia="Arial" w:hAnsi="Arial"/>
          <w:sz w:val="22"/>
          <w:szCs w:val="22"/>
        </w:rPr>
        <w:t xml:space="preserve">Evidence standard: Two-axis confidence and evidence-type tagging throughout</w:t>
      </w:r>
    </w:p>
    <w:p>
      <w:pPr>
        <w:spacing w:before="0" w:after="100"/>
      </w:pPr>
    </w:p>
    <w:p>
      <w:pPr>
        <w:pStyle w:val="Heading2"/>
        <w:spacing w:before="240" w:after="80"/>
      </w:pPr>
      <w:r>
        <w:rPr>
          <w:rFonts w:ascii="Arial" w:cs="Arial" w:eastAsia="Arial" w:hAnsi="Arial"/>
          <w:b/>
          <w:bCs/>
          <w:color w:val="1F3864"/>
          <w:sz w:val="26"/>
          <w:szCs w:val="26"/>
        </w:rPr>
        <w:t xml:space="preserve">1.4  Explicit Exclusions</w:t>
      </w:r>
    </w:p>
    <w:p>
      <w:pPr>
        <w:spacing w:before="80" w:after="120" w:line="276"/>
        <w:jc w:val="both"/>
      </w:pPr>
      <w:r>
        <w:rPr>
          <w:rFonts w:ascii="Arial" w:cs="Arial" w:eastAsia="Arial" w:hAnsi="Arial"/>
          <w:b w:val="false"/>
          <w:bCs w:val="false"/>
          <w:i w:val="false"/>
          <w:iCs w:val="false"/>
          <w:color w:val="000000"/>
          <w:sz w:val="22"/>
          <w:szCs w:val="22"/>
        </w:rPr>
        <w:t xml:space="preserve">The following are explicitly outside the scope of this paper: specific facility identification or mapping; technical optimization of biological agents or toxins; intelligence collection tasking or source identification; delivery system design or weaponization guidance; and operational plans for offensive or covert action.</w:t>
      </w:r>
    </w:p>
    <w:p>
      <w:pPr>
        <w:spacing w:before="80" w:after="120" w:line="276"/>
        <w:jc w:val="both"/>
      </w:pPr>
      <w:r>
        <w:rPr>
          <w:rFonts w:ascii="Arial" w:cs="Arial" w:eastAsia="Arial" w:hAnsi="Arial"/>
          <w:b w:val="false"/>
          <w:bCs w:val="false"/>
          <w:i w:val="false"/>
          <w:iCs w:val="false"/>
          <w:color w:val="000000"/>
          <w:sz w:val="22"/>
          <w:szCs w:val="22"/>
        </w:rPr>
        <w:t xml:space="preserve">These exclusions protect the paper's credibility and appropriateness for unclassified submission. A defensive threat and countermeasure assessment does not require this material to be analytically serious.</w:t>
      </w:r>
    </w:p>
    <w:p>
      <w:pPr>
        <w:spacing w:before="0" w:after="80"/>
      </w:pPr>
    </w:p>
    <w:p>
      <w:pPr>
        <w:pStyle w:val="Heading2"/>
        <w:spacing w:before="240" w:after="80"/>
      </w:pPr>
      <w:r>
        <w:rPr>
          <w:rFonts w:ascii="Arial" w:cs="Arial" w:eastAsia="Arial" w:hAnsi="Arial"/>
          <w:b/>
          <w:bCs/>
          <w:color w:val="1F3864"/>
          <w:sz w:val="26"/>
          <w:szCs w:val="26"/>
        </w:rPr>
        <w:t xml:space="preserve">1.5  Why These Four States</w:t>
      </w:r>
    </w:p>
    <w:p>
      <w:pPr>
        <w:spacing w:before="80" w:after="120" w:line="276"/>
        <w:jc w:val="both"/>
      </w:pPr>
      <w:r>
        <w:rPr>
          <w:rFonts w:ascii="Arial" w:cs="Arial" w:eastAsia="Arial" w:hAnsi="Arial"/>
          <w:sz w:val="22"/>
          <w:szCs w:val="22"/>
        </w:rPr>
        <w:t xml:space="preserve">China, Russia, Iran, and North Korea appear in ODNI's 2025 Annual Threat Assessment with explicit language describing chemical or biological warfare capabilities, offensive-purpose intent, or both. ODNI also states directly that cooperation among these four states has been growing more rapidly in recent years, reinforcing individual threats and creating new challenges to U.S. power.  </w:t>
      </w:r>
      <w:r>
        <w:rPr>
          <w:rFonts w:ascii="Arial" w:cs="Arial" w:eastAsia="Arial" w:hAnsi="Arial"/>
          <w:sz w:val="18"/>
          <w:szCs w:val="18"/>
          <w:vertAlign w:val="superscript"/>
        </w:rPr>
        <w:t xml:space="preserve">¹⁵</w:t>
      </w:r>
    </w:p>
    <w:p>
      <w:pPr>
        <w:spacing w:before="80" w:after="120" w:line="276"/>
        <w:jc w:val="both"/>
      </w:pPr>
      <w:r>
        <w:rPr>
          <w:rFonts w:ascii="Arial" w:cs="Arial" w:eastAsia="Arial" w:hAnsi="Arial"/>
          <w:b w:val="false"/>
          <w:bCs w:val="false"/>
          <w:i w:val="false"/>
          <w:iCs w:val="false"/>
          <w:color w:val="000000"/>
          <w:sz w:val="22"/>
          <w:szCs w:val="22"/>
        </w:rPr>
        <w:t xml:space="preserve">This paper therefore reads biological risk from each state within that broader pattern of adversarial cooperation, while maintaining distinct country-level treatment. The four states do not present identical risk profiles; the cooperative dimension adds strategic complexity that country-specific analysis conducted in isolation would miss.</w:t>
      </w:r>
    </w:p>
    <w:p>
      <w:pPr>
        <w:spacing w:before="0" w:after="80"/>
      </w:pPr>
    </w:p>
    <w:p>
      <w:pPr>
        <w:pStyle w:val="Heading2"/>
        <w:spacing w:before="240" w:after="80"/>
      </w:pPr>
      <w:r>
        <w:rPr>
          <w:rFonts w:ascii="Arial" w:cs="Arial" w:eastAsia="Arial" w:hAnsi="Arial"/>
          <w:b/>
          <w:bCs/>
          <w:color w:val="1F3864"/>
          <w:sz w:val="26"/>
          <w:szCs w:val="26"/>
        </w:rPr>
        <w:t xml:space="preserve">1.6  Source Hierarchy</w:t>
      </w:r>
    </w:p>
    <w:p>
      <w:pPr>
        <w:spacing w:before="80" w:after="120" w:line="276"/>
        <w:jc w:val="both"/>
      </w:pPr>
      <w:r>
        <w:rPr>
          <w:rFonts w:ascii="Arial" w:cs="Arial" w:eastAsia="Arial" w:hAnsi="Arial"/>
          <w:b w:val="false"/>
          <w:bCs w:val="false"/>
          <w:i w:val="false"/>
          <w:iCs w:val="false"/>
          <w:color w:val="000000"/>
          <w:sz w:val="22"/>
          <w:szCs w:val="22"/>
        </w:rPr>
        <w:t xml:space="preserve">The following source hierarchy governs all judgments in this paper, in descending order of analytic authority:</w:t>
      </w:r>
    </w:p>
    <w:p>
      <w:pPr>
        <w:spacing w:before="0" w:after="60"/>
      </w:pPr>
    </w:p>
    <w:p>
      <w:pPr>
        <w:pStyle w:val="ListParagraph"/>
        <w:numPr>
          <w:ilvl w:val="0"/>
          <w:numId w:val="3"/>
        </w:numPr>
        <w:spacing w:before="40" w:after="40"/>
      </w:pPr>
      <w:r>
        <w:rPr>
          <w:rFonts w:ascii="Arial" w:cs="Arial" w:eastAsia="Arial" w:hAnsi="Arial"/>
          <w:sz w:val="22"/>
          <w:szCs w:val="22"/>
        </w:rPr>
        <w:t xml:space="preserve">ODNI Annual Threat Assessment 2025 (ATA-2025)</w:t>
      </w:r>
    </w:p>
    <w:p>
      <w:pPr>
        <w:pStyle w:val="ListParagraph"/>
        <w:numPr>
          <w:ilvl w:val="0"/>
          <w:numId w:val="3"/>
        </w:numPr>
        <w:spacing w:before="40" w:after="40"/>
      </w:pPr>
      <w:r>
        <w:rPr>
          <w:rFonts w:ascii="Arial" w:cs="Arial" w:eastAsia="Arial" w:hAnsi="Arial"/>
          <w:sz w:val="22"/>
          <w:szCs w:val="22"/>
        </w:rPr>
        <w:t xml:space="preserve">U.S. Department of State 2025 Arms Control Treaty Compliance Report</w:t>
      </w:r>
    </w:p>
    <w:p>
      <w:pPr>
        <w:pStyle w:val="ListParagraph"/>
        <w:numPr>
          <w:ilvl w:val="0"/>
          <w:numId w:val="3"/>
        </w:numPr>
        <w:spacing w:before="40" w:after="40"/>
      </w:pPr>
      <w:r>
        <w:rPr>
          <w:rFonts w:ascii="Arial" w:cs="Arial" w:eastAsia="Arial" w:hAnsi="Arial"/>
          <w:sz w:val="22"/>
          <w:szCs w:val="22"/>
        </w:rPr>
        <w:t xml:space="preserve">HHS/ASPR National Biodefense Strategy and DURC/PEPP Policy (2024)</w:t>
      </w:r>
    </w:p>
    <w:p>
      <w:pPr>
        <w:pStyle w:val="ListParagraph"/>
        <w:numPr>
          <w:ilvl w:val="0"/>
          <w:numId w:val="3"/>
        </w:numPr>
        <w:spacing w:before="40" w:after="40"/>
      </w:pPr>
      <w:r>
        <w:rPr>
          <w:rFonts w:ascii="Arial" w:cs="Arial" w:eastAsia="Arial" w:hAnsi="Arial"/>
          <w:sz w:val="22"/>
          <w:szCs w:val="22"/>
        </w:rPr>
        <w:t xml:space="preserve">CDC Federal Select Agent Program materials</w:t>
      </w:r>
    </w:p>
    <w:p>
      <w:pPr>
        <w:pStyle w:val="ListParagraph"/>
        <w:numPr>
          <w:ilvl w:val="0"/>
          <w:numId w:val="3"/>
        </w:numPr>
        <w:spacing w:before="40" w:after="40"/>
      </w:pPr>
      <w:r>
        <w:rPr>
          <w:rFonts w:ascii="Arial" w:cs="Arial" w:eastAsia="Arial" w:hAnsi="Arial"/>
          <w:sz w:val="22"/>
          <w:szCs w:val="22"/>
        </w:rPr>
        <w:t xml:space="preserve">UNODA BWC and CBM materials</w:t>
      </w:r>
    </w:p>
    <w:p>
      <w:pPr>
        <w:pStyle w:val="ListParagraph"/>
        <w:numPr>
          <w:ilvl w:val="0"/>
          <w:numId w:val="3"/>
        </w:numPr>
        <w:spacing w:before="40" w:after="40"/>
      </w:pPr>
      <w:r>
        <w:rPr>
          <w:rFonts w:ascii="Arial" w:cs="Arial" w:eastAsia="Arial" w:hAnsi="Arial"/>
          <w:sz w:val="22"/>
          <w:szCs w:val="22"/>
        </w:rPr>
        <w:t xml:space="preserve">WHO Laboratory Biosecurity Guidance (including WHA77.7, 2024)</w:t>
      </w:r>
    </w:p>
    <w:p>
      <w:pPr>
        <w:pStyle w:val="ListParagraph"/>
        <w:numPr>
          <w:ilvl w:val="0"/>
          <w:numId w:val="3"/>
        </w:numPr>
        <w:spacing w:before="40" w:after="40"/>
      </w:pPr>
      <w:r>
        <w:rPr>
          <w:rFonts w:ascii="Arial" w:cs="Arial" w:eastAsia="Arial" w:hAnsi="Arial"/>
          <w:sz w:val="22"/>
          <w:szCs w:val="22"/>
        </w:rPr>
        <w:t xml:space="preserve">UN Security Council Resolution 1540 materials</w:t>
      </w:r>
    </w:p>
    <w:p>
      <w:pPr>
        <w:spacing w:before="0" w:after="100"/>
      </w:pPr>
    </w:p>
    <w:p>
      <w:pPr>
        <w:spacing w:before="80" w:after="120" w:line="276"/>
        <w:jc w:val="both"/>
      </w:pPr>
      <w:r>
        <w:rPr>
          <w:rFonts w:ascii="Arial" w:cs="Arial" w:eastAsia="Arial" w:hAnsi="Arial"/>
          <w:b w:val="false"/>
          <w:bCs w:val="false"/>
          <w:i w:val="false"/>
          <w:iCs w:val="false"/>
          <w:color w:val="000000"/>
          <w:sz w:val="22"/>
          <w:szCs w:val="22"/>
        </w:rPr>
        <w:t xml:space="preserve">Official sources outrank think tank or journal commentary. The public record does not equal the complete intelligence record. Absence of evidence in open reporting is not evidence of absence of activity.</w:t>
      </w:r>
    </w:p>
    <w:p>
      <w:pPr>
        <w:spacing w:before="0" w:after="80"/>
      </w:pPr>
    </w:p>
    <w:p>
      <w:pPr>
        <w:pStyle w:val="Heading2"/>
        <w:spacing w:before="240" w:after="80"/>
      </w:pPr>
      <w:r>
        <w:rPr>
          <w:rFonts w:ascii="Arial" w:cs="Arial" w:eastAsia="Arial" w:hAnsi="Arial"/>
          <w:b/>
          <w:bCs/>
          <w:color w:val="1F3864"/>
          <w:sz w:val="26"/>
          <w:szCs w:val="26"/>
        </w:rPr>
        <w:t xml:space="preserve">1.7  Limitations of the Public Record</w:t>
      </w:r>
    </w:p>
    <w:p>
      <w:pPr>
        <w:spacing w:before="80" w:after="120" w:line="276"/>
        <w:jc w:val="both"/>
      </w:pPr>
      <w:r>
        <w:rPr>
          <w:rFonts w:ascii="Arial" w:cs="Arial" w:eastAsia="Arial" w:hAnsi="Arial"/>
          <w:b w:val="false"/>
          <w:bCs w:val="false"/>
          <w:i w:val="false"/>
          <w:iCs w:val="false"/>
          <w:color w:val="000000"/>
          <w:sz w:val="22"/>
          <w:szCs w:val="22"/>
        </w:rPr>
        <w:t xml:space="preserve">Public-source reporting varies substantially by country in detail, specificity, and age. Official assessments are authoritative but not exhaustive. Open-source evidence may understate or overstate actual capability or intent, and the direction of that error is not always determinable from the public record.</w:t>
      </w:r>
    </w:p>
    <w:p>
      <w:pPr>
        <w:spacing w:before="80" w:after="120" w:line="276"/>
        <w:jc w:val="both"/>
      </w:pPr>
      <w:r>
        <w:rPr>
          <w:rFonts w:ascii="Arial" w:cs="Arial" w:eastAsia="Arial" w:hAnsi="Arial"/>
          <w:b w:val="false"/>
          <w:bCs w:val="false"/>
          <w:i w:val="false"/>
          <w:iCs w:val="false"/>
          <w:color w:val="000000"/>
          <w:sz w:val="22"/>
          <w:szCs w:val="22"/>
        </w:rPr>
        <w:t xml:space="preserve">This paper therefore evaluates institutional concern, treaty compliance risk, and defensive countermeasure relevance — not the full operational scope of any foreign biological program. That constraint should be understood as a feature of disciplined public-source work, not as a limitation of the underlying analytic argument.</w:t>
      </w:r>
    </w:p>
    <w:p>
      <w:pPr>
        <w:spacing w:before="0" w:after="80"/>
      </w:pPr>
    </w:p>
    <w:p>
      <w:pPr>
        <w:pStyle w:val="Heading2"/>
        <w:spacing w:before="240" w:after="80"/>
      </w:pPr>
      <w:r>
        <w:rPr>
          <w:rFonts w:ascii="Arial" w:cs="Arial" w:eastAsia="Arial" w:hAnsi="Arial"/>
          <w:b/>
          <w:bCs/>
          <w:color w:val="1F3864"/>
          <w:sz w:val="26"/>
          <w:szCs w:val="26"/>
        </w:rPr>
        <w:t xml:space="preserve">1.8  The Verification Gap as a Structural Theme</w:t>
      </w:r>
    </w:p>
    <w:p>
      <w:pPr>
        <w:spacing w:before="80" w:after="120" w:line="276"/>
        <w:jc w:val="both"/>
      </w:pPr>
      <w:r>
        <w:rPr>
          <w:rFonts w:ascii="Arial" w:cs="Arial" w:eastAsia="Arial" w:hAnsi="Arial"/>
          <w:b w:val="false"/>
          <w:bCs w:val="false"/>
          <w:i w:val="false"/>
          <w:iCs w:val="false"/>
          <w:color w:val="000000"/>
          <w:sz w:val="22"/>
          <w:szCs w:val="22"/>
        </w:rPr>
        <w:t xml:space="preserve">One argument runs through every section of this paper: the verification gap in biological arms control has concrete strategic consequences. Any state that chooses opacity over transparency in its biological programs faces no standing technical consequence from treaty law. That absence of consequence is a persistent structural problem for U.S. and allied risk management — and the feature of the current arms control environment most likely to widen the gap between stated prohibition and actual compliance behavior.</w:t>
      </w:r>
    </w:p>
    <w:p>
      <w:pPr>
        <w:spacing w:before="80" w:after="120" w:line="276"/>
        <w:jc w:val="both"/>
      </w:pPr>
      <w:r>
        <w:rPr>
          <w:rFonts w:ascii="Arial" w:cs="Arial" w:eastAsia="Arial" w:hAnsi="Arial"/>
          <w:b w:val="false"/>
          <w:bCs w:val="false"/>
          <w:i w:val="false"/>
          <w:iCs w:val="false"/>
          <w:color w:val="000000"/>
          <w:sz w:val="22"/>
          <w:szCs w:val="22"/>
        </w:rPr>
        <w:t xml:space="preserve">The verification gap is identified throughout this paper not as an analytic complaint but as a concrete policy problem with identifiable, actionable, defensive solutions.</w:t>
      </w:r>
    </w:p>
    <w:p>
      <w:pPr>
        <w:spacing w:before="0" w:after="160"/>
      </w:pPr>
    </w:p>
    <w:p>
      <w:pPr>
        <w:pBdr>
          <w:bottom w:val="single" w:color="C00000" w:sz="4" w:space="1"/>
        </w:pBdr>
        <w:spacing w:before="40" w:after="40"/>
      </w:pPr>
    </w:p>
    <w:p>
      <w:pPr>
        <w:spacing w:before="60" w:after="80" w:line="276"/>
        <w:jc w:val="both"/>
      </w:pPr>
      <w:r>
        <w:rPr>
          <w:rFonts w:ascii="Arial" w:cs="Arial" w:eastAsia="Arial" w:hAnsi="Arial"/>
          <w:b w:val="false"/>
          <w:bCs w:val="false"/>
          <w:i/>
          <w:iCs/>
          <w:color w:val="595959"/>
          <w:sz w:val="20"/>
          <w:szCs w:val="20"/>
        </w:rPr>
        <w:t xml:space="preserve">Section II presents the Executive Summary. Section III describes the full methodology and source hierarchy.</w:t>
      </w:r>
    </w:p>
    <w:p>
      <w:r>
        <w:br w:type="page"/>
      </w:r>
    </w:p>
    <w:p>
      <w:pPr>
        <w:spacing w:before="0" w:after="60"/>
      </w:pPr>
      <w:r>
        <w:rPr>
          <w:rFonts w:ascii="Arial" w:cs="Arial" w:eastAsia="Arial" w:hAnsi="Arial"/>
          <w:b/>
          <w:bCs/>
          <w:color w:val="C00000"/>
          <w:sz w:val="18"/>
          <w:szCs w:val="18"/>
        </w:rPr>
        <w:t xml:space="preserve">SECTION II</w:t>
      </w:r>
    </w:p>
    <w:p>
      <w:pPr>
        <w:pStyle w:val="Heading1"/>
        <w:spacing w:before="360" w:after="120"/>
      </w:pPr>
      <w:r>
        <w:rPr>
          <w:rFonts w:ascii="Arial" w:cs="Arial" w:eastAsia="Arial" w:hAnsi="Arial"/>
          <w:b/>
          <w:bCs/>
          <w:color w:val="1F3864"/>
          <w:sz w:val="32"/>
          <w:szCs w:val="32"/>
        </w:rPr>
        <w:t xml:space="preserve">Executive Summary</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iCs/>
          <w:color w:val="000000"/>
          <w:sz w:val="22"/>
          <w:szCs w:val="22"/>
        </w:rPr>
        <w:t xml:space="preserve">This paper assesses state biological-weapons-related risk associated with China, Russia, Iran, and North Korea and evaluates the principal legal, policy, and biodefense tools available to the United States and its allies to reduce that risk.</w:t>
      </w:r>
    </w:p>
    <w:p>
      <w:pPr>
        <w:spacing w:before="0" w:after="120"/>
      </w:pPr>
    </w:p>
    <w:p>
      <w:pPr>
        <w:pStyle w:val="Heading2"/>
        <w:spacing w:before="240" w:after="80"/>
      </w:pPr>
      <w:r>
        <w:rPr>
          <w:rFonts w:ascii="Arial" w:cs="Arial" w:eastAsia="Arial" w:hAnsi="Arial"/>
          <w:b/>
          <w:bCs/>
          <w:color w:val="1F3864"/>
          <w:sz w:val="26"/>
          <w:szCs w:val="26"/>
        </w:rPr>
        <w:t xml:space="preserve">Key Judgments</w:t>
      </w:r>
    </w:p>
    <w:p>
      <w:pPr>
        <w:spacing w:before="60" w:after="80" w:line="276"/>
        <w:jc w:val="both"/>
      </w:pPr>
      <w:r>
        <w:rPr>
          <w:rFonts w:ascii="Arial" w:cs="Arial" w:eastAsia="Arial" w:hAnsi="Arial"/>
          <w:b w:val="false"/>
          <w:bCs w:val="false"/>
          <w:i/>
          <w:iCs/>
          <w:color w:val="595959"/>
          <w:sz w:val="20"/>
          <w:szCs w:val="20"/>
        </w:rPr>
        <w:t xml:space="preserve">The following six judgments summarize the principal findings of this assessment. Each judgment identifies its confidence level and evidence type. Country-level detail appears in Sections V through VIII; comparative analysis in Section IX; countermeasure options in Section X.</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1</w:t>
            </w:r>
          </w:p>
        </w:tc>
        <w:tc>
          <w:tcPr>
            <w:tcW w:type="dxa" w:w="876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6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Observed / Officially Reported</w:t>
            </w:r>
          </w:p>
          <w:p>
            <w:pPr>
              <w:spacing w:before="0" w:after="80"/>
              <w:jc w:val="both"/>
            </w:pPr>
            <w:r>
              <w:rPr>
                <w:rFonts w:ascii="Arial" w:cs="Arial" w:eastAsia="Arial" w:hAnsi="Arial"/>
                <w:sz w:val="22"/>
                <w:szCs w:val="22"/>
              </w:rPr>
              <w:t xml:space="preserve">Official U.S. reporting supports the assessment that all four states present biological-weapons-related concern. ODNI's 2025 Annual Threat Assessment states that China most likely possesses capabilities relevant to chemical and biological warfare; that Russia's CBW threat is expanding; that Iran very likely aims to continue R&amp;D of chemical and biological agents for offensive purposes; and that North Korea maintains CBW capabilities and may use them in conflict or in an unconventional or clandestine attack.</w:t>
            </w:r>
          </w:p>
          <w:p>
            <w:pPr>
              <w:spacing w:before="0" w:after="0"/>
              <w:jc w:val="both"/>
            </w:pPr>
            <w:r>
              <w:rPr>
                <w:rFonts w:ascii="Arial" w:cs="Arial" w:eastAsia="Arial" w:hAnsi="Arial"/>
                <w:i/>
                <w:iCs/>
                <w:color w:val="595959"/>
                <w:sz w:val="18"/>
                <w:szCs w:val="18"/>
              </w:rPr>
              <w:t xml:space="preserve">Source: ODNI Annual Threat Assessment 2025, country-specific sections for each named state.</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2</w:t>
            </w:r>
          </w:p>
        </w:tc>
        <w:tc>
          <w:tcPr>
            <w:tcW w:type="dxa" w:w="876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6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Observed / Officially Reported</w:t>
            </w:r>
          </w:p>
          <w:p>
            <w:pPr>
              <w:spacing w:before="0" w:after="80"/>
              <w:jc w:val="both"/>
            </w:pPr>
            <w:r>
              <w:rPr>
                <w:rFonts w:ascii="Arial" w:cs="Arial" w:eastAsia="Arial" w:hAnsi="Arial"/>
                <w:sz w:val="22"/>
                <w:szCs w:val="22"/>
              </w:rPr>
              <w:t xml:space="preserve">The BWC prohibits biological weapons, and the CBM system exists to reduce ambiguities and suspicions, but the regime remains substantially less transparent and less verifiable than nuclear nonproliferation arrangements. This transparency and verification deficit is not a temporary condition; it is a structural feature of the current biological arms control regime.</w:t>
            </w:r>
          </w:p>
          <w:p>
            <w:pPr>
              <w:spacing w:before="0" w:after="0"/>
              <w:jc w:val="both"/>
            </w:pPr>
            <w:r>
              <w:rPr>
                <w:rFonts w:ascii="Arial" w:cs="Arial" w:eastAsia="Arial" w:hAnsi="Arial"/>
                <w:i/>
                <w:iCs/>
                <w:color w:val="595959"/>
                <w:sz w:val="18"/>
                <w:szCs w:val="18"/>
              </w:rPr>
              <w:t xml:space="preserve">Sources: UNODA BWC summary materials; BWC Articles I, IV–VII; UNODA CBM documentation.</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3</w:t>
            </w:r>
          </w:p>
        </w:tc>
        <w:tc>
          <w:tcPr>
            <w:tcW w:type="dxa" w:w="876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6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Observed / Officially Reported</w:t>
            </w:r>
          </w:p>
          <w:p>
            <w:pPr>
              <w:spacing w:before="0" w:after="80"/>
              <w:jc w:val="both"/>
            </w:pPr>
            <w:r>
              <w:rPr>
                <w:rFonts w:ascii="Arial" w:cs="Arial" w:eastAsia="Arial" w:hAnsi="Arial"/>
                <w:sz w:val="22"/>
                <w:szCs w:val="22"/>
              </w:rPr>
              <w:t xml:space="preserve">Adversarial cooperation among these four states increases the policy significance of biological risk. ODNI assesses that cooperation among China, Russia, Iran, and North Korea has been growing more rapidly, reinforcing their individual and collective capacity to threaten U.S. interests. This cooperative pattern means biological risk from any one state should not be assessed in full isolation from the others.</w:t>
            </w:r>
          </w:p>
          <w:p>
            <w:pPr>
              <w:spacing w:before="0" w:after="0"/>
              <w:jc w:val="both"/>
            </w:pPr>
            <w:r>
              <w:rPr>
                <w:rFonts w:ascii="Arial" w:cs="Arial" w:eastAsia="Arial" w:hAnsi="Arial"/>
                <w:i/>
                <w:iCs/>
                <w:color w:val="595959"/>
                <w:sz w:val="18"/>
                <w:szCs w:val="18"/>
              </w:rPr>
              <w:t xml:space="preserve">Source: ODNI Annual Threat Assessment 2025, geopolitical overview section.</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4</w:t>
            </w:r>
          </w:p>
        </w:tc>
        <w:tc>
          <w:tcPr>
            <w:tcW w:type="dxa" w:w="8760"/>
            <w:tcBorders>
              <w:top w:val="none" w:color="FFFFFF" w:sz="0"/>
              <w:left w:val="single" w:color="7F6000" w:sz="8"/>
              <w:bottom w:val="single" w:color="BFBFBF" w:sz="2"/>
              <w:right w:val="none" w:color="FFFFFF" w:sz="0"/>
            </w:tcBorders>
            <w:shd w:fill="FFFDE7" w:val="clear"/>
            <w:tcMar>
              <w:top w:type="dxa" w:w="100"/>
              <w:left w:type="dxa" w:w="180"/>
              <w:bottom w:type="dxa" w:w="100"/>
              <w:right w:type="dxa" w:w="160"/>
            </w:tcMar>
          </w:tcPr>
          <w:p>
            <w:pPr>
              <w:spacing w:before="0" w:after="60"/>
            </w:pPr>
            <w:r>
              <w:rPr>
                <w:rFonts w:ascii="Arial" w:cs="Arial" w:eastAsia="Arial" w:hAnsi="Arial"/>
                <w:b/>
                <w:bCs/>
                <w:color w:val="7F6000"/>
                <w:sz w:val="18"/>
                <w:szCs w:val="18"/>
              </w:rPr>
              <w:t xml:space="preserve">MODERATE CONFIDENCE</w:t>
            </w:r>
            <w:r>
              <w:rPr>
                <w:rFonts w:ascii="Arial" w:cs="Arial" w:eastAsia="Arial" w:hAnsi="Arial"/>
                <w:i/>
                <w:iCs/>
                <w:color w:val="595959"/>
                <w:sz w:val="18"/>
                <w:szCs w:val="18"/>
              </w:rPr>
              <w:t xml:space="preserve">   |   Implication</w:t>
            </w:r>
          </w:p>
          <w:p>
            <w:pPr>
              <w:spacing w:before="0" w:after="80"/>
              <w:jc w:val="both"/>
            </w:pPr>
            <w:r>
              <w:rPr>
                <w:rFonts w:ascii="Arial" w:cs="Arial" w:eastAsia="Arial" w:hAnsi="Arial"/>
                <w:sz w:val="22"/>
                <w:szCs w:val="22"/>
              </w:rPr>
              <w:t xml:space="preserve">The most policy-relevant vulnerability is likely not a highly stylized precision biological scenario, but delayed recognition, weak attribution, fragmented preparedness, and uneven coordination across agencies and allied systems. That inference is consistent with the structure of current biodefense and arms control architecture, including the National Biodefense Strategy's all-hazards framing and WHO laboratory biosecurity guidance.</w:t>
            </w:r>
          </w:p>
          <w:p>
            <w:pPr>
              <w:spacing w:before="0" w:after="0"/>
              <w:jc w:val="both"/>
            </w:pPr>
            <w:r>
              <w:rPr>
                <w:rFonts w:ascii="Arial" w:cs="Arial" w:eastAsia="Arial" w:hAnsi="Arial"/>
                <w:i/>
                <w:iCs/>
                <w:color w:val="595959"/>
                <w:sz w:val="18"/>
                <w:szCs w:val="18"/>
              </w:rPr>
              <w:t xml:space="preserve">Implication drawn from National Biodefense Strategy, WHO laboratory biosecurity guidance, and the structural features of the BWC transparency regime. Not directly stated in official sources.</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5</w:t>
            </w:r>
          </w:p>
        </w:tc>
        <w:tc>
          <w:tcPr>
            <w:tcW w:type="dxa" w:w="876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6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Assessment</w:t>
            </w:r>
          </w:p>
          <w:p>
            <w:pPr>
              <w:spacing w:before="0" w:after="80"/>
              <w:jc w:val="both"/>
            </w:pPr>
            <w:r>
              <w:rPr>
                <w:rFonts w:ascii="Arial" w:cs="Arial" w:eastAsia="Arial" w:hAnsi="Arial"/>
                <w:sz w:val="22"/>
                <w:szCs w:val="22"/>
              </w:rPr>
              <w:t xml:space="preserve">The response best supported by the public record is layered and defensive. No single instrument is sufficient. A credible U.S. and allied response requires integrated activity across prevention, detection, denial, mitigation, attribution support, and resilience — and those components already have partial grounding in existing legal and institutional authority.</w:t>
            </w:r>
          </w:p>
          <w:p>
            <w:pPr>
              <w:spacing w:before="0" w:after="0"/>
              <w:jc w:val="both"/>
            </w:pPr>
            <w:r>
              <w:rPr>
                <w:rFonts w:ascii="Arial" w:cs="Arial" w:eastAsia="Arial" w:hAnsi="Arial"/>
                <w:i/>
                <w:iCs/>
                <w:color w:val="595959"/>
                <w:sz w:val="18"/>
                <w:szCs w:val="18"/>
              </w:rPr>
              <w:t xml:space="preserve">Assessment grounded in National Biodefense Strategy, Federal Select Agent Program, 2024 DURC/PEPP Policy, BWC/CBM framework, WHO biosecurity guidance, and UNSCR 1540.</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6</w:t>
            </w:r>
          </w:p>
        </w:tc>
        <w:tc>
          <w:tcPr>
            <w:tcW w:type="dxa" w:w="8760"/>
            <w:tcBorders>
              <w:top w:val="none" w:color="FFFFFF" w:sz="0"/>
              <w:left w:val="single" w:color="375623" w:sz="8"/>
              <w:bottom w:val="single" w:color="BFBFBF" w:sz="2"/>
              <w:right w:val="none" w:color="FFFFFF" w:sz="0"/>
            </w:tcBorders>
            <w:shd w:fill="E2EFDA" w:val="clear"/>
            <w:tcMar>
              <w:top w:type="dxa" w:w="100"/>
              <w:left w:type="dxa" w:w="180"/>
              <w:bottom w:type="dxa" w:w="100"/>
              <w:right w:type="dxa" w:w="160"/>
            </w:tcMar>
          </w:tcPr>
          <w:p>
            <w:pPr>
              <w:spacing w:before="0" w:after="60"/>
            </w:pPr>
            <w:r>
              <w:rPr>
                <w:rFonts w:ascii="Arial" w:cs="Arial" w:eastAsia="Arial" w:hAnsi="Arial"/>
                <w:b/>
                <w:bCs/>
                <w:color w:val="375623"/>
                <w:sz w:val="18"/>
                <w:szCs w:val="18"/>
              </w:rPr>
              <w:t xml:space="preserve">HIGH CONFIDENCE</w:t>
            </w:r>
            <w:r>
              <w:rPr>
                <w:rFonts w:ascii="Arial" w:cs="Arial" w:eastAsia="Arial" w:hAnsi="Arial"/>
                <w:i/>
                <w:iCs/>
                <w:color w:val="595959"/>
                <w:sz w:val="18"/>
                <w:szCs w:val="18"/>
              </w:rPr>
              <w:t xml:space="preserve">   |   Observed / Officially Reported</w:t>
            </w:r>
          </w:p>
          <w:p>
            <w:pPr>
              <w:spacing w:before="0" w:after="80"/>
              <w:jc w:val="both"/>
            </w:pPr>
            <w:r>
              <w:rPr>
                <w:rFonts w:ascii="Arial" w:cs="Arial" w:eastAsia="Arial" w:hAnsi="Arial"/>
                <w:sz w:val="22"/>
                <w:szCs w:val="22"/>
              </w:rPr>
              <w:t xml:space="preserve">Existing legal and regulatory authorities provide the United States with actionable tools across the countermeasure spectrum, including the BWC, UNSCR 1540 binding obligations, the Federal Select Agent Program, the 2024 DURC/PEPP oversight policy, the National Biodefense Strategy, and relevant law-enforcement authority.</w:t>
            </w:r>
          </w:p>
          <w:p>
            <w:pPr>
              <w:spacing w:before="0" w:after="0"/>
              <w:jc w:val="both"/>
            </w:pPr>
            <w:r>
              <w:rPr>
                <w:rFonts w:ascii="Arial" w:cs="Arial" w:eastAsia="Arial" w:hAnsi="Arial"/>
                <w:i/>
                <w:iCs/>
                <w:color w:val="595959"/>
                <w:sz w:val="18"/>
                <w:szCs w:val="18"/>
              </w:rPr>
              <w:t xml:space="preserve">Sources: UNODA BWC and UNSCR 1540 materials; CDC Federal Select Agent Program; HHS/ASPR National Biodefense Strategy; 2024 USG DURC/PEPP Policy.   //   Assessment (High Confidence): The principal gap is not in legal authority. It is in consistent implementation, allied coordination, and sustained investment across all countermeasure components.</w:t>
            </w:r>
          </w:p>
        </w:tc>
      </w:tr>
    </w:tbl>
    <w:p>
      <w:pPr>
        <w:spacing w:before="0" w:after="160"/>
      </w:pPr>
    </w:p>
    <w:p>
      <w:pPr>
        <w:pStyle w:val="Heading2"/>
        <w:spacing w:before="240" w:after="80"/>
      </w:pPr>
      <w:r>
        <w:rPr>
          <w:rFonts w:ascii="Arial" w:cs="Arial" w:eastAsia="Arial" w:hAnsi="Arial"/>
          <w:b/>
          <w:bCs/>
          <w:color w:val="1F3864"/>
          <w:sz w:val="26"/>
          <w:szCs w:val="26"/>
        </w:rPr>
        <w:t xml:space="preserve">The Core Strategic Problem</w:t>
      </w:r>
    </w:p>
    <w:p>
      <w:pPr>
        <w:spacing w:before="80" w:after="120" w:line="276"/>
        <w:jc w:val="both"/>
      </w:pPr>
      <w:r>
        <w:rPr>
          <w:rFonts w:ascii="Arial" w:cs="Arial" w:eastAsia="Arial" w:hAnsi="Arial"/>
          <w:b w:val="false"/>
          <w:bCs w:val="false"/>
          <w:i w:val="false"/>
          <w:iCs w:val="false"/>
          <w:color w:val="000000"/>
          <w:sz w:val="22"/>
          <w:szCs w:val="22"/>
        </w:rPr>
        <w:t xml:space="preserve">The central challenge this paper addresses is not simply that four U.S. adversaries maintain biological-weapons-related programs or capabilities. The challenge is structural. Biology is harder to verify than nuclear material. Prohibited research is difficult to distinguish from legitimate pharmaceutical, agricultural, and public health work. Attribution after a biological event is slow, contested, and often inconclusive. And the international legal framework, though clear in its prohibitions, lacks the inspection and enforcement architecture that gives the nuclear regime its operational weight.</w:t>
      </w:r>
    </w:p>
    <w:p>
      <w:pPr>
        <w:spacing w:before="80" w:after="120" w:line="276"/>
        <w:jc w:val="both"/>
      </w:pPr>
      <w:r>
        <w:rPr>
          <w:rFonts w:ascii="Arial" w:cs="Arial" w:eastAsia="Arial" w:hAnsi="Arial"/>
          <w:b w:val="false"/>
          <w:bCs w:val="false"/>
          <w:i w:val="false"/>
          <w:iCs w:val="false"/>
          <w:color w:val="000000"/>
          <w:sz w:val="22"/>
          <w:szCs w:val="22"/>
        </w:rPr>
        <w:t xml:space="preserve">These structural features benefit any state that chooses opacity. They raise the cost of detection, attribution, and response for the United States and its allies. The most dangerous failure mode in a deliberate biological event may not be a failure of military response, but a failure of recognition, attribution, and coordinated preparedness before the nature of an event is understood.</w:t>
      </w:r>
    </w:p>
    <w:p>
      <w:pPr>
        <w:spacing w:before="0" w:after="100"/>
      </w:pPr>
    </w:p>
    <w:p>
      <w:pPr>
        <w:pStyle w:val="Heading2"/>
        <w:spacing w:before="240" w:after="80"/>
      </w:pPr>
      <w:r>
        <w:rPr>
          <w:rFonts w:ascii="Arial" w:cs="Arial" w:eastAsia="Arial" w:hAnsi="Arial"/>
          <w:b/>
          <w:bCs/>
          <w:color w:val="1F3864"/>
          <w:sz w:val="26"/>
          <w:szCs w:val="26"/>
        </w:rPr>
        <w:t xml:space="preserve">Countermeasure Logic</w:t>
      </w:r>
    </w:p>
    <w:p>
      <w:pPr>
        <w:spacing w:before="80" w:after="120" w:line="276"/>
        <w:jc w:val="both"/>
      </w:pPr>
      <w:r>
        <w:rPr>
          <w:rFonts w:ascii="Arial" w:cs="Arial" w:eastAsia="Arial" w:hAnsi="Arial"/>
          <w:b w:val="false"/>
          <w:bCs w:val="false"/>
          <w:i w:val="false"/>
          <w:iCs w:val="false"/>
          <w:color w:val="000000"/>
          <w:sz w:val="22"/>
          <w:szCs w:val="22"/>
        </w:rPr>
        <w:t xml:space="preserve">A layered architecture is required across six components:</w:t>
      </w:r>
    </w:p>
    <w:p>
      <w:pPr>
        <w:spacing w:before="0" w:after="60"/>
      </w:pPr>
    </w:p>
    <w:tbl>
      <w:tblPr>
        <w:tblW w:type="dxa" w:w="9360"/>
        <w:tblBorders>
          <w:top w:val="none" w:color="FFFFFF" w:sz="0"/>
          <w:left w:val="none" w:color="FFFFFF" w:sz="0"/>
          <w:bottom w:val="single" w:color="BFBFBF" w:sz="1"/>
          <w:right w:val="none" w:color="FFFFFF" w:sz="0"/>
          <w:insideH w:val="single" w:color="auto" w:sz="4"/>
          <w:insideV w:val="single" w:color="auto" w:sz="4"/>
        </w:tblBorders>
      </w:tblPr>
      <w:tblGrid>
        <w:gridCol w:w="1800"/>
        <w:gridCol w:w="7560"/>
      </w:tblGrid>
      <w:tr>
        <w:tc>
          <w:tcPr>
            <w:tcW w:type="dxa" w:w="1800"/>
            <w:tcBorders>
              <w:top w:val="none" w:color="FFFFFF" w:sz="0"/>
              <w:left w:val="single" w:color="1F3864" w:sz="8"/>
              <w:bottom w:val="single" w:color="BFBFBF" w:sz="1"/>
              <w:right w:val="none" w:color="FFFFFF" w:sz="0"/>
            </w:tcBorders>
            <w:shd w:fill="F2F2F2" w:val="clear"/>
            <w:tcMar>
              <w:top w:type="dxa" w:w="80"/>
              <w:left w:type="dxa" w:w="160"/>
              <w:bottom w:type="dxa" w:w="80"/>
              <w:right w:type="dxa" w:w="120"/>
            </w:tcMar>
            <w:vAlign w:val="center"/>
          </w:tcPr>
          <w:p>
            <w:r>
              <w:rPr>
                <w:rFonts w:ascii="Arial" w:cs="Arial" w:eastAsia="Arial" w:hAnsi="Arial"/>
                <w:b/>
                <w:bCs/>
                <w:color w:val="1F3864"/>
                <w:sz w:val="20"/>
                <w:szCs w:val="20"/>
              </w:rPr>
              <w:t xml:space="preserve">Prevention</w:t>
            </w:r>
          </w:p>
        </w:tc>
        <w:tc>
          <w:tcPr>
            <w:tcW w:type="dxa" w:w="7560"/>
            <w:tcBorders>
              <w:top w:val="none" w:color="FFFFFF" w:sz="0"/>
              <w:left w:val="none" w:color="FFFFFF" w:sz="0"/>
              <w:bottom w:val="single" w:color="BFBFBF" w:sz="1"/>
              <w:right w:val="none" w:color="FFFFFF" w:sz="0"/>
            </w:tcBorders>
            <w:tcMar>
              <w:top w:type="dxa" w:w="80"/>
              <w:left w:type="dxa" w:w="160"/>
              <w:bottom w:type="dxa" w:w="80"/>
              <w:right w:type="dxa" w:w="100"/>
            </w:tcMar>
          </w:tcPr>
          <w:p>
            <w:pPr>
              <w:jc w:val="both"/>
            </w:pPr>
            <w:r>
              <w:rPr>
                <w:rFonts w:ascii="Arial" w:cs="Arial" w:eastAsia="Arial" w:hAnsi="Arial"/>
                <w:sz w:val="20"/>
                <w:szCs w:val="20"/>
              </w:rPr>
              <w:t xml:space="preserve">BWC diplomacy, CBM pressure, UNSCR 1540 implementation, export controls, and domestic and allied biosecurity governance.</w:t>
            </w:r>
          </w:p>
        </w:tc>
      </w:tr>
    </w:tbl>
    <w:tbl>
      <w:tblPr>
        <w:tblW w:type="dxa" w:w="9360"/>
        <w:tblBorders>
          <w:top w:val="none" w:color="FFFFFF" w:sz="0"/>
          <w:left w:val="none" w:color="FFFFFF" w:sz="0"/>
          <w:bottom w:val="single" w:color="BFBFBF" w:sz="1"/>
          <w:right w:val="none" w:color="FFFFFF" w:sz="0"/>
          <w:insideH w:val="single" w:color="auto" w:sz="4"/>
          <w:insideV w:val="single" w:color="auto" w:sz="4"/>
        </w:tblBorders>
      </w:tblPr>
      <w:tblGrid>
        <w:gridCol w:w="1800"/>
        <w:gridCol w:w="7560"/>
      </w:tblGrid>
      <w:tr>
        <w:tc>
          <w:tcPr>
            <w:tcW w:type="dxa" w:w="1800"/>
            <w:tcBorders>
              <w:top w:val="none" w:color="FFFFFF" w:sz="0"/>
              <w:left w:val="single" w:color="1F3864" w:sz="8"/>
              <w:bottom w:val="single" w:color="BFBFBF" w:sz="1"/>
              <w:right w:val="none" w:color="FFFFFF" w:sz="0"/>
            </w:tcBorders>
            <w:shd w:fill="F2F2F2" w:val="clear"/>
            <w:tcMar>
              <w:top w:type="dxa" w:w="80"/>
              <w:left w:type="dxa" w:w="160"/>
              <w:bottom w:type="dxa" w:w="80"/>
              <w:right w:type="dxa" w:w="120"/>
            </w:tcMar>
            <w:vAlign w:val="center"/>
          </w:tcPr>
          <w:p>
            <w:r>
              <w:rPr>
                <w:rFonts w:ascii="Arial" w:cs="Arial" w:eastAsia="Arial" w:hAnsi="Arial"/>
                <w:b/>
                <w:bCs/>
                <w:color w:val="1F3864"/>
                <w:sz w:val="20"/>
                <w:szCs w:val="20"/>
              </w:rPr>
              <w:t xml:space="preserve">Detection</w:t>
            </w:r>
          </w:p>
        </w:tc>
        <w:tc>
          <w:tcPr>
            <w:tcW w:type="dxa" w:w="7560"/>
            <w:tcBorders>
              <w:top w:val="none" w:color="FFFFFF" w:sz="0"/>
              <w:left w:val="none" w:color="FFFFFF" w:sz="0"/>
              <w:bottom w:val="single" w:color="BFBFBF" w:sz="1"/>
              <w:right w:val="none" w:color="FFFFFF" w:sz="0"/>
            </w:tcBorders>
            <w:tcMar>
              <w:top w:type="dxa" w:w="80"/>
              <w:left w:type="dxa" w:w="160"/>
              <w:bottom w:type="dxa" w:w="80"/>
              <w:right w:type="dxa" w:w="100"/>
            </w:tcMar>
          </w:tcPr>
          <w:p>
            <w:pPr>
              <w:jc w:val="both"/>
            </w:pPr>
            <w:r>
              <w:rPr>
                <w:rFonts w:ascii="Arial" w:cs="Arial" w:eastAsia="Arial" w:hAnsi="Arial"/>
                <w:sz w:val="20"/>
                <w:szCs w:val="20"/>
              </w:rPr>
              <w:t xml:space="preserve">Integrated syndromic and genomic surveillance, intelligence and public health coordination, and supply-chain anomaly monitoring.</w:t>
            </w:r>
          </w:p>
        </w:tc>
      </w:tr>
    </w:tbl>
    <w:tbl>
      <w:tblPr>
        <w:tblW w:type="dxa" w:w="9360"/>
        <w:tblBorders>
          <w:top w:val="none" w:color="FFFFFF" w:sz="0"/>
          <w:left w:val="none" w:color="FFFFFF" w:sz="0"/>
          <w:bottom w:val="single" w:color="BFBFBF" w:sz="1"/>
          <w:right w:val="none" w:color="FFFFFF" w:sz="0"/>
          <w:insideH w:val="single" w:color="auto" w:sz="4"/>
          <w:insideV w:val="single" w:color="auto" w:sz="4"/>
        </w:tblBorders>
      </w:tblPr>
      <w:tblGrid>
        <w:gridCol w:w="1800"/>
        <w:gridCol w:w="7560"/>
      </w:tblGrid>
      <w:tr>
        <w:tc>
          <w:tcPr>
            <w:tcW w:type="dxa" w:w="1800"/>
            <w:tcBorders>
              <w:top w:val="none" w:color="FFFFFF" w:sz="0"/>
              <w:left w:val="single" w:color="1F3864" w:sz="8"/>
              <w:bottom w:val="single" w:color="BFBFBF" w:sz="1"/>
              <w:right w:val="none" w:color="FFFFFF" w:sz="0"/>
            </w:tcBorders>
            <w:shd w:fill="F2F2F2" w:val="clear"/>
            <w:tcMar>
              <w:top w:type="dxa" w:w="80"/>
              <w:left w:type="dxa" w:w="160"/>
              <w:bottom w:type="dxa" w:w="80"/>
              <w:right w:type="dxa" w:w="120"/>
            </w:tcMar>
            <w:vAlign w:val="center"/>
          </w:tcPr>
          <w:p>
            <w:r>
              <w:rPr>
                <w:rFonts w:ascii="Arial" w:cs="Arial" w:eastAsia="Arial" w:hAnsi="Arial"/>
                <w:b/>
                <w:bCs/>
                <w:color w:val="1F3864"/>
                <w:sz w:val="20"/>
                <w:szCs w:val="20"/>
              </w:rPr>
              <w:t xml:space="preserve">Denial</w:t>
            </w:r>
          </w:p>
        </w:tc>
        <w:tc>
          <w:tcPr>
            <w:tcW w:type="dxa" w:w="7560"/>
            <w:tcBorders>
              <w:top w:val="none" w:color="FFFFFF" w:sz="0"/>
              <w:left w:val="none" w:color="FFFFFF" w:sz="0"/>
              <w:bottom w:val="single" w:color="BFBFBF" w:sz="1"/>
              <w:right w:val="none" w:color="FFFFFF" w:sz="0"/>
            </w:tcBorders>
            <w:tcMar>
              <w:top w:type="dxa" w:w="80"/>
              <w:left w:type="dxa" w:w="160"/>
              <w:bottom w:type="dxa" w:w="80"/>
              <w:right w:type="dxa" w:w="100"/>
            </w:tcMar>
          </w:tcPr>
          <w:p>
            <w:pPr>
              <w:jc w:val="both"/>
            </w:pPr>
            <w:r>
              <w:rPr>
                <w:rFonts w:ascii="Arial" w:cs="Arial" w:eastAsia="Arial" w:hAnsi="Arial"/>
                <w:sz w:val="20"/>
                <w:szCs w:val="20"/>
              </w:rPr>
              <w:t xml:space="preserve">Federal Select Agent oversight, personnel vetting, security risk assessments, and governance of high-consequence research.</w:t>
            </w:r>
          </w:p>
        </w:tc>
      </w:tr>
    </w:tbl>
    <w:tbl>
      <w:tblPr>
        <w:tblW w:type="dxa" w:w="9360"/>
        <w:tblBorders>
          <w:top w:val="none" w:color="FFFFFF" w:sz="0"/>
          <w:left w:val="none" w:color="FFFFFF" w:sz="0"/>
          <w:bottom w:val="single" w:color="BFBFBF" w:sz="1"/>
          <w:right w:val="none" w:color="FFFFFF" w:sz="0"/>
          <w:insideH w:val="single" w:color="auto" w:sz="4"/>
          <w:insideV w:val="single" w:color="auto" w:sz="4"/>
        </w:tblBorders>
      </w:tblPr>
      <w:tblGrid>
        <w:gridCol w:w="1800"/>
        <w:gridCol w:w="7560"/>
      </w:tblGrid>
      <w:tr>
        <w:tc>
          <w:tcPr>
            <w:tcW w:type="dxa" w:w="1800"/>
            <w:tcBorders>
              <w:top w:val="none" w:color="FFFFFF" w:sz="0"/>
              <w:left w:val="single" w:color="1F3864" w:sz="8"/>
              <w:bottom w:val="single" w:color="BFBFBF" w:sz="1"/>
              <w:right w:val="none" w:color="FFFFFF" w:sz="0"/>
            </w:tcBorders>
            <w:shd w:fill="F2F2F2" w:val="clear"/>
            <w:tcMar>
              <w:top w:type="dxa" w:w="80"/>
              <w:left w:type="dxa" w:w="160"/>
              <w:bottom w:type="dxa" w:w="80"/>
              <w:right w:type="dxa" w:w="120"/>
            </w:tcMar>
            <w:vAlign w:val="center"/>
          </w:tcPr>
          <w:p>
            <w:r>
              <w:rPr>
                <w:rFonts w:ascii="Arial" w:cs="Arial" w:eastAsia="Arial" w:hAnsi="Arial"/>
                <w:b/>
                <w:bCs/>
                <w:color w:val="1F3864"/>
                <w:sz w:val="20"/>
                <w:szCs w:val="20"/>
              </w:rPr>
              <w:t xml:space="preserve">Mitigation</w:t>
            </w:r>
          </w:p>
        </w:tc>
        <w:tc>
          <w:tcPr>
            <w:tcW w:type="dxa" w:w="7560"/>
            <w:tcBorders>
              <w:top w:val="none" w:color="FFFFFF" w:sz="0"/>
              <w:left w:val="none" w:color="FFFFFF" w:sz="0"/>
              <w:bottom w:val="single" w:color="BFBFBF" w:sz="1"/>
              <w:right w:val="none" w:color="FFFFFF" w:sz="0"/>
            </w:tcBorders>
            <w:tcMar>
              <w:top w:type="dxa" w:w="80"/>
              <w:left w:type="dxa" w:w="160"/>
              <w:bottom w:type="dxa" w:w="80"/>
              <w:right w:type="dxa" w:w="100"/>
            </w:tcMar>
          </w:tcPr>
          <w:p>
            <w:pPr>
              <w:jc w:val="both"/>
            </w:pPr>
            <w:r>
              <w:rPr>
                <w:rFonts w:ascii="Arial" w:cs="Arial" w:eastAsia="Arial" w:hAnsi="Arial"/>
                <w:sz w:val="20"/>
                <w:szCs w:val="20"/>
              </w:rPr>
              <w:t xml:space="preserve">Medical countermeasure platforms, diagnostics, stockpile management, surge planning, and allied mutual-support arrangements.</w:t>
            </w:r>
          </w:p>
        </w:tc>
      </w:tr>
    </w:tbl>
    <w:tbl>
      <w:tblPr>
        <w:tblW w:type="dxa" w:w="9360"/>
        <w:tblBorders>
          <w:top w:val="none" w:color="FFFFFF" w:sz="0"/>
          <w:left w:val="none" w:color="FFFFFF" w:sz="0"/>
          <w:bottom w:val="single" w:color="BFBFBF" w:sz="1"/>
          <w:right w:val="none" w:color="FFFFFF" w:sz="0"/>
          <w:insideH w:val="single" w:color="auto" w:sz="4"/>
          <w:insideV w:val="single" w:color="auto" w:sz="4"/>
        </w:tblBorders>
      </w:tblPr>
      <w:tblGrid>
        <w:gridCol w:w="1800"/>
        <w:gridCol w:w="7560"/>
      </w:tblGrid>
      <w:tr>
        <w:tc>
          <w:tcPr>
            <w:tcW w:type="dxa" w:w="1800"/>
            <w:tcBorders>
              <w:top w:val="none" w:color="FFFFFF" w:sz="0"/>
              <w:left w:val="single" w:color="1F3864" w:sz="8"/>
              <w:bottom w:val="single" w:color="BFBFBF" w:sz="1"/>
              <w:right w:val="none" w:color="FFFFFF" w:sz="0"/>
            </w:tcBorders>
            <w:shd w:fill="F2F2F2" w:val="clear"/>
            <w:tcMar>
              <w:top w:type="dxa" w:w="80"/>
              <w:left w:type="dxa" w:w="160"/>
              <w:bottom w:type="dxa" w:w="80"/>
              <w:right w:type="dxa" w:w="120"/>
            </w:tcMar>
            <w:vAlign w:val="center"/>
          </w:tcPr>
          <w:p>
            <w:r>
              <w:rPr>
                <w:rFonts w:ascii="Arial" w:cs="Arial" w:eastAsia="Arial" w:hAnsi="Arial"/>
                <w:b/>
                <w:bCs/>
                <w:color w:val="1F3864"/>
                <w:sz w:val="20"/>
                <w:szCs w:val="20"/>
              </w:rPr>
              <w:t xml:space="preserve">Attribution Support</w:t>
            </w:r>
          </w:p>
        </w:tc>
        <w:tc>
          <w:tcPr>
            <w:tcW w:type="dxa" w:w="7560"/>
            <w:tcBorders>
              <w:top w:val="none" w:color="FFFFFF" w:sz="0"/>
              <w:left w:val="none" w:color="FFFFFF" w:sz="0"/>
              <w:bottom w:val="single" w:color="BFBFBF" w:sz="1"/>
              <w:right w:val="none" w:color="FFFFFF" w:sz="0"/>
            </w:tcBorders>
            <w:tcMar>
              <w:top w:type="dxa" w:w="80"/>
              <w:left w:type="dxa" w:w="160"/>
              <w:bottom w:type="dxa" w:w="80"/>
              <w:right w:type="dxa" w:w="100"/>
            </w:tcMar>
          </w:tcPr>
          <w:p>
            <w:pPr>
              <w:jc w:val="both"/>
            </w:pPr>
            <w:r>
              <w:rPr>
                <w:rFonts w:ascii="Arial" w:cs="Arial" w:eastAsia="Arial" w:hAnsi="Arial"/>
                <w:sz w:val="20"/>
                <w:szCs w:val="20"/>
              </w:rPr>
              <w:t xml:space="preserve">Prearranged forensic protocols, evidence preservation standards, and multilateral consultation pathways under BWC Articles V and VI.</w:t>
            </w:r>
          </w:p>
        </w:tc>
      </w:tr>
    </w:tbl>
    <w:tbl>
      <w:tblPr>
        <w:tblW w:type="dxa" w:w="9360"/>
        <w:tblBorders>
          <w:top w:val="none" w:color="FFFFFF" w:sz="0"/>
          <w:left w:val="none" w:color="FFFFFF" w:sz="0"/>
          <w:bottom w:val="single" w:color="BFBFBF" w:sz="1"/>
          <w:right w:val="none" w:color="FFFFFF" w:sz="0"/>
          <w:insideH w:val="single" w:color="auto" w:sz="4"/>
          <w:insideV w:val="single" w:color="auto" w:sz="4"/>
        </w:tblBorders>
      </w:tblPr>
      <w:tblGrid>
        <w:gridCol w:w="1800"/>
        <w:gridCol w:w="7560"/>
      </w:tblGrid>
      <w:tr>
        <w:tc>
          <w:tcPr>
            <w:tcW w:type="dxa" w:w="1800"/>
            <w:tcBorders>
              <w:top w:val="none" w:color="FFFFFF" w:sz="0"/>
              <w:left w:val="single" w:color="1F3864" w:sz="8"/>
              <w:bottom w:val="single" w:color="BFBFBF" w:sz="1"/>
              <w:right w:val="none" w:color="FFFFFF" w:sz="0"/>
            </w:tcBorders>
            <w:shd w:fill="F2F2F2" w:val="clear"/>
            <w:tcMar>
              <w:top w:type="dxa" w:w="80"/>
              <w:left w:type="dxa" w:w="160"/>
              <w:bottom w:type="dxa" w:w="80"/>
              <w:right w:type="dxa" w:w="120"/>
            </w:tcMar>
            <w:vAlign w:val="center"/>
          </w:tcPr>
          <w:p>
            <w:r>
              <w:rPr>
                <w:rFonts w:ascii="Arial" w:cs="Arial" w:eastAsia="Arial" w:hAnsi="Arial"/>
                <w:b/>
                <w:bCs/>
                <w:color w:val="1F3864"/>
                <w:sz w:val="20"/>
                <w:szCs w:val="20"/>
              </w:rPr>
              <w:t xml:space="preserve">Resilience</w:t>
            </w:r>
          </w:p>
        </w:tc>
        <w:tc>
          <w:tcPr>
            <w:tcW w:type="dxa" w:w="7560"/>
            <w:tcBorders>
              <w:top w:val="none" w:color="FFFFFF" w:sz="0"/>
              <w:left w:val="none" w:color="FFFFFF" w:sz="0"/>
              <w:bottom w:val="single" w:color="BFBFBF" w:sz="1"/>
              <w:right w:val="none" w:color="FFFFFF" w:sz="0"/>
            </w:tcBorders>
            <w:tcMar>
              <w:top w:type="dxa" w:w="80"/>
              <w:left w:type="dxa" w:w="160"/>
              <w:bottom w:type="dxa" w:w="80"/>
              <w:right w:type="dxa" w:w="100"/>
            </w:tcMar>
          </w:tcPr>
          <w:p>
            <w:pPr>
              <w:jc w:val="both"/>
            </w:pPr>
            <w:r>
              <w:rPr>
                <w:rFonts w:ascii="Arial" w:cs="Arial" w:eastAsia="Arial" w:hAnsi="Arial"/>
                <w:sz w:val="20"/>
                <w:szCs w:val="20"/>
              </w:rPr>
              <w:t xml:space="preserve">Public communication planning, health-system interoperability, continuity of government, and allied crisis information-sharing.</w:t>
            </w:r>
          </w:p>
        </w:tc>
      </w:tr>
    </w:tbl>
    <w:p>
      <w:pPr>
        <w:spacing w:before="0" w:after="160"/>
      </w:pPr>
    </w:p>
    <w:p>
      <w:pPr>
        <w:pStyle w:val="Heading2"/>
        <w:spacing w:before="240" w:after="80"/>
      </w:pPr>
      <w:r>
        <w:rPr>
          <w:rFonts w:ascii="Arial" w:cs="Arial" w:eastAsia="Arial" w:hAnsi="Arial"/>
          <w:b/>
          <w:bCs/>
          <w:color w:val="1F3864"/>
          <w:sz w:val="26"/>
          <w:szCs w:val="26"/>
        </w:rPr>
        <w:t xml:space="preserve">Limitations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0F4FF" w:val="clear"/>
            <w:tcMar>
              <w:top w:type="dxa" w:w="120"/>
              <w:left w:type="dxa" w:w="200"/>
              <w:bottom w:type="dxa" w:w="120"/>
              <w:right w:type="dxa" w:w="200"/>
            </w:tcMar>
          </w:tcPr>
          <w:p>
            <w:pPr>
              <w:spacing w:before="0" w:after="80"/>
            </w:pPr>
            <w:r>
              <w:rPr>
                <w:rFonts w:ascii="Arial" w:cs="Arial" w:eastAsia="Arial" w:hAnsi="Arial"/>
                <w:b/>
                <w:bCs/>
                <w:color w:val="1F3864"/>
                <w:sz w:val="20"/>
                <w:szCs w:val="20"/>
              </w:rPr>
              <w:t xml:space="preserve">Evidentiary Scope</w:t>
            </w:r>
          </w:p>
          <w:p>
            <w:pPr>
              <w:jc w:val="both"/>
            </w:pPr>
            <w:r>
              <w:rPr>
                <w:rFonts w:ascii="Arial" w:cs="Arial" w:eastAsia="Arial" w:hAnsi="Arial"/>
                <w:sz w:val="20"/>
                <w:szCs w:val="20"/>
              </w:rPr>
              <w:t xml:space="preserve">The public record does not establish the full operational scope of any named state's biological program. Evidentiary depth varies by country: the public record on Russia and Iran is more extensively supported by direct official warning language than the public record on China and North Korea, which involves more inferential assessment. This paper is strongest as a structured threat and countermeasure assessment grounded in official sources. It is not a comprehensive intelligence estimate.</w:t>
            </w:r>
          </w:p>
        </w:tc>
      </w:tr>
    </w:tbl>
    <w:p>
      <w:pPr>
        <w:spacing w:before="0" w:after="160"/>
      </w:pPr>
    </w:p>
    <w:p>
      <w:pPr>
        <w:pBdr>
          <w:bottom w:val="single" w:color="C00000" w:sz="4" w:space="1"/>
        </w:pBdr>
        <w:spacing w:before="40" w:after="40"/>
      </w:pPr>
    </w:p>
    <w:p>
      <w:pPr>
        <w:spacing w:before="60" w:after="80" w:line="276"/>
        <w:jc w:val="both"/>
      </w:pPr>
      <w:r>
        <w:rPr>
          <w:rFonts w:ascii="Arial" w:cs="Arial" w:eastAsia="Arial" w:hAnsi="Arial"/>
          <w:b w:val="false"/>
          <w:bCs w:val="false"/>
          <w:i/>
          <w:iCs/>
          <w:color w:val="595959"/>
          <w:sz w:val="20"/>
          <w:szCs w:val="20"/>
        </w:rPr>
        <w:t xml:space="preserve">Section III presents full methodology. Sections V–VIII present country chapters. Section IX provides comparative analysis.</w:t>
      </w:r>
    </w:p>
    <w:p>
      <w:r>
        <w:br w:type="page"/>
      </w:r>
    </w:p>
    <w:p>
      <w:pPr>
        <w:spacing w:before="0" w:after="60"/>
      </w:pPr>
      <w:r>
        <w:rPr>
          <w:rFonts w:ascii="Arial" w:cs="Arial" w:eastAsia="Arial" w:hAnsi="Arial"/>
          <w:b/>
          <w:bCs/>
          <w:color w:val="C00000"/>
          <w:sz w:val="18"/>
          <w:szCs w:val="18"/>
        </w:rPr>
        <w:t xml:space="preserve">SECTION III</w:t>
      </w:r>
    </w:p>
    <w:p>
      <w:pPr>
        <w:pStyle w:val="Heading1"/>
        <w:spacing w:before="360" w:after="120"/>
      </w:pPr>
      <w:r>
        <w:rPr>
          <w:rFonts w:ascii="Arial" w:cs="Arial" w:eastAsia="Arial" w:hAnsi="Arial"/>
          <w:b/>
          <w:bCs/>
          <w:color w:val="1F3864"/>
          <w:sz w:val="32"/>
          <w:szCs w:val="32"/>
        </w:rPr>
        <w:t xml:space="preserve">Methodology and Source Hierarchy</w:t>
      </w:r>
    </w:p>
    <w:p>
      <w:pPr>
        <w:pBdr>
          <w:bottom w:val="single" w:color="1F3864" w:sz="4" w:space="1"/>
        </w:pBdr>
        <w:spacing w:before="40" w:after="40"/>
      </w:pPr>
    </w:p>
    <w:p>
      <w:pPr>
        <w:spacing w:before="0" w:after="80"/>
      </w:pPr>
    </w:p>
    <w:p>
      <w:pPr>
        <w:pStyle w:val="Heading2"/>
        <w:spacing w:before="240" w:after="80"/>
      </w:pPr>
      <w:r>
        <w:rPr>
          <w:rFonts w:ascii="Arial" w:cs="Arial" w:eastAsia="Arial" w:hAnsi="Arial"/>
          <w:b/>
          <w:bCs/>
          <w:color w:val="1F3864"/>
          <w:sz w:val="26"/>
          <w:szCs w:val="26"/>
        </w:rPr>
        <w:t xml:space="preserve">3.1  Source Priority</w:t>
      </w:r>
    </w:p>
    <w:p>
      <w:pPr>
        <w:spacing w:before="80" w:after="120" w:line="276"/>
        <w:jc w:val="both"/>
      </w:pPr>
      <w:r>
        <w:rPr>
          <w:rFonts w:ascii="Arial" w:cs="Arial" w:eastAsia="Arial" w:hAnsi="Arial"/>
          <w:sz w:val="22"/>
          <w:szCs w:val="22"/>
        </w:rPr>
        <w:t xml:space="preserve">This assessment uses official U.S. government and multilateral sources as its primary evidentiary base. The source hierarchy, in descending order of analytic authority, is: (1) ODNI Annual Threat Assessment 2025; (2) State Department 2025 compliance reporting; (3) HHS/ASPR National Biodefense Strategy and DURC/PEPP policy; (4) CDC Federal Select Agent Program materials; (5) UNODA BWC and CBM materials; (6) WHO laboratory biosecurity guidance; (7) UNSCR 1540 materials.  </w:t>
      </w:r>
      <w:r>
        <w:rPr>
          <w:rFonts w:ascii="Arial" w:cs="Arial" w:eastAsia="Arial" w:hAnsi="Arial"/>
          <w:sz w:val="18"/>
          <w:szCs w:val="18"/>
          <w:vertAlign w:val="superscript"/>
        </w:rPr>
        <w:t xml:space="preserve">¹⁻⁹</w:t>
      </w:r>
    </w:p>
    <w:p>
      <w:pPr>
        <w:spacing w:before="80" w:after="120" w:line="276"/>
        <w:jc w:val="both"/>
      </w:pPr>
      <w:r>
        <w:rPr>
          <w:rFonts w:ascii="Arial" w:cs="Arial" w:eastAsia="Arial" w:hAnsi="Arial"/>
          <w:b w:val="false"/>
          <w:bCs w:val="false"/>
          <w:i w:val="false"/>
          <w:iCs w:val="false"/>
          <w:color w:val="000000"/>
          <w:sz w:val="22"/>
          <w:szCs w:val="22"/>
        </w:rPr>
        <w:t xml:space="preserve">Official sources outrank think tank, academic, or media commentary. Where secondary sources are cited, they are explicitly labeled and used only to contextualize, not to substitute for, official reporting. Where official sources conflict or contain ambiguous language, that ambiguity is noted rather than resolved by assertion.</w:t>
      </w:r>
    </w:p>
    <w:p>
      <w:pPr>
        <w:spacing w:before="0" w:after="80"/>
      </w:pPr>
    </w:p>
    <w:p>
      <w:pPr>
        <w:pStyle w:val="Heading2"/>
        <w:spacing w:before="240" w:after="80"/>
      </w:pPr>
      <w:r>
        <w:rPr>
          <w:rFonts w:ascii="Arial" w:cs="Arial" w:eastAsia="Arial" w:hAnsi="Arial"/>
          <w:b/>
          <w:bCs/>
          <w:color w:val="1F3864"/>
          <w:sz w:val="26"/>
          <w:szCs w:val="26"/>
        </w:rPr>
        <w:t xml:space="preserve">3.2  Analytic Rules</w:t>
      </w:r>
    </w:p>
    <w:p>
      <w:pPr>
        <w:spacing w:before="80" w:after="120" w:line="276"/>
        <w:jc w:val="both"/>
      </w:pPr>
      <w:r>
        <w:rPr>
          <w:rFonts w:ascii="Arial" w:cs="Arial" w:eastAsia="Arial" w:hAnsi="Arial"/>
          <w:b w:val="false"/>
          <w:bCs w:val="false"/>
          <w:i w:val="false"/>
          <w:iCs w:val="false"/>
          <w:color w:val="000000"/>
          <w:sz w:val="22"/>
          <w:szCs w:val="22"/>
        </w:rPr>
        <w:t xml:space="preserve">Three analytic rules govern all judgments:</w:t>
      </w:r>
    </w:p>
    <w:p>
      <w:pPr>
        <w:spacing w:before="0" w:after="60"/>
      </w:pPr>
    </w:p>
    <w:p>
      <w:pPr>
        <w:pStyle w:val="ListParagraph"/>
        <w:numPr>
          <w:ilvl w:val="0"/>
          <w:numId w:val="2"/>
        </w:numPr>
        <w:spacing w:before="40" w:after="40"/>
      </w:pPr>
      <w:r>
        <w:rPr>
          <w:rFonts w:ascii="Arial" w:cs="Arial" w:eastAsia="Arial" w:hAnsi="Arial"/>
          <w:sz w:val="22"/>
          <w:szCs w:val="22"/>
        </w:rPr>
        <w:t xml:space="preserve">Official reporting and analyst assessment are explicitly separated in every substantive paragraph. The reader should always be able to tell whether a claim comes from an official source or from this paper's analytic synthesis.</w:t>
      </w:r>
    </w:p>
    <w:p>
      <w:pPr>
        <w:pStyle w:val="ListParagraph"/>
        <w:numPr>
          <w:ilvl w:val="0"/>
          <w:numId w:val="2"/>
        </w:numPr>
        <w:spacing w:before="40" w:after="40"/>
      </w:pPr>
      <w:r>
        <w:rPr>
          <w:rFonts w:ascii="Arial" w:cs="Arial" w:eastAsia="Arial" w:hAnsi="Arial"/>
          <w:sz w:val="22"/>
          <w:szCs w:val="22"/>
        </w:rPr>
        <w:t xml:space="preserve">The open-source record does not equal the complete intelligence record. This paper does not attempt to infer classified information from unclassified sources.</w:t>
      </w:r>
    </w:p>
    <w:p>
      <w:pPr>
        <w:pStyle w:val="ListParagraph"/>
        <w:numPr>
          <w:ilvl w:val="0"/>
          <w:numId w:val="2"/>
        </w:numPr>
        <w:spacing w:before="40" w:after="40"/>
      </w:pPr>
      <w:r>
        <w:rPr>
          <w:rFonts w:ascii="Arial" w:cs="Arial" w:eastAsia="Arial" w:hAnsi="Arial"/>
          <w:sz w:val="22"/>
          <w:szCs w:val="22"/>
        </w:rPr>
        <w:t xml:space="preserve">Where the evidentiary record is incomplete, this paper states that explicitly. Gaps are labeled as gaps, not resolved silently by assertion or left as implicit evidence of a clean compliance record.</w:t>
      </w:r>
    </w:p>
    <w:p>
      <w:pPr>
        <w:spacing w:before="0" w:after="100"/>
      </w:pPr>
    </w:p>
    <w:p>
      <w:pPr>
        <w:pStyle w:val="Heading2"/>
        <w:spacing w:before="240" w:after="80"/>
      </w:pPr>
      <w:r>
        <w:rPr>
          <w:rFonts w:ascii="Arial" w:cs="Arial" w:eastAsia="Arial" w:hAnsi="Arial"/>
          <w:b/>
          <w:bCs/>
          <w:color w:val="1F3864"/>
          <w:sz w:val="26"/>
          <w:szCs w:val="26"/>
        </w:rPr>
        <w:t xml:space="preserve">3.3  Structural Convention</w:t>
      </w:r>
    </w:p>
    <w:p>
      <w:pPr>
        <w:spacing w:before="80" w:after="120" w:line="276"/>
        <w:jc w:val="both"/>
      </w:pPr>
      <w:r>
        <w:rPr>
          <w:rFonts w:ascii="Arial" w:cs="Arial" w:eastAsia="Arial" w:hAnsi="Arial"/>
          <w:b w:val="false"/>
          <w:bCs w:val="false"/>
          <w:i w:val="false"/>
          <w:iCs w:val="false"/>
          <w:color w:val="000000"/>
          <w:sz w:val="22"/>
          <w:szCs w:val="22"/>
        </w:rPr>
        <w:t xml:space="preserve">Each country chapter (Sections V–VIII) follows the same four-part structure: Observed / Officially Reported; Assessment; Strategic Significance; and Unknowns / Intelligence Gaps. A fifth element — Implications for U.S. and Allied Policy — is added where analytically useful. That parallel structure is intentional. It disciplines the analysis, limits speculation in proportion to evidence, and makes comparative judgments in Section IX more defensible.</w:t>
      </w:r>
    </w:p>
    <w:p>
      <w:pPr>
        <w:spacing w:before="0" w:after="80"/>
      </w:pPr>
    </w:p>
    <w:p>
      <w:pPr>
        <w:pStyle w:val="Heading2"/>
        <w:spacing w:before="240" w:after="80"/>
      </w:pPr>
      <w:r>
        <w:rPr>
          <w:rFonts w:ascii="Arial" w:cs="Arial" w:eastAsia="Arial" w:hAnsi="Arial"/>
          <w:b/>
          <w:bCs/>
          <w:color w:val="1F3864"/>
          <w:sz w:val="26"/>
          <w:szCs w:val="26"/>
        </w:rPr>
        <w:t xml:space="preserve">3.4  Confidence and Probability Language</w:t>
      </w:r>
    </w:p>
    <w:p>
      <w:pPr>
        <w:spacing w:before="80" w:after="120" w:line="276"/>
        <w:jc w:val="both"/>
      </w:pPr>
      <w:r>
        <w:rPr>
          <w:rFonts w:ascii="Arial" w:cs="Arial" w:eastAsia="Arial" w:hAnsi="Arial"/>
          <w:b w:val="false"/>
          <w:bCs w:val="false"/>
          <w:i w:val="false"/>
          <w:iCs w:val="false"/>
          <w:color w:val="000000"/>
          <w:sz w:val="22"/>
          <w:szCs w:val="22"/>
        </w:rPr>
        <w:t xml:space="preserve">Every major claim is tagged by two dimensions: (1) confidence level — high, moderate, or low, reflecting the strength and completeness of the evidentiary basis; and (2) probability language — from 'almost certainly' through 'unlikely' — reflecting the assessed likelihood of a judgment being correct. These are separate and are used separately. A judgment can be probable but supported only by moderate-confidence sourcing; a judgment can be less probable but well-supported by strong official language.</w:t>
      </w:r>
    </w:p>
    <w:p>
      <w:pPr>
        <w:spacing w:before="0" w:after="80"/>
      </w:pPr>
    </w:p>
    <w:p>
      <w:pPr>
        <w:pStyle w:val="Heading2"/>
        <w:spacing w:before="240" w:after="80"/>
      </w:pPr>
      <w:r>
        <w:rPr>
          <w:rFonts w:ascii="Arial" w:cs="Arial" w:eastAsia="Arial" w:hAnsi="Arial"/>
          <w:b/>
          <w:bCs/>
          <w:color w:val="1F3864"/>
          <w:sz w:val="26"/>
          <w:szCs w:val="26"/>
        </w:rPr>
        <w:t xml:space="preserve">3.5  What This Paper Cannot Establish</w:t>
      </w:r>
    </w:p>
    <w:p>
      <w:pPr>
        <w:spacing w:before="80" w:after="120" w:line="276"/>
        <w:jc w:val="both"/>
      </w:pPr>
      <w:r>
        <w:rPr>
          <w:rFonts w:ascii="Arial" w:cs="Arial" w:eastAsia="Arial" w:hAnsi="Arial"/>
          <w:b w:val="false"/>
          <w:bCs w:val="false"/>
          <w:i w:val="false"/>
          <w:iCs w:val="false"/>
          <w:color w:val="000000"/>
          <w:sz w:val="22"/>
          <w:szCs w:val="22"/>
        </w:rPr>
        <w:t xml:space="preserve">This paper does not establish the full operational scope of any named state's biological program. It does not have access to classified reporting. It does not claim exhaustive knowledge of any state actor's biological posture, doctrine, or readiness. Its principal contribution is structured comparison, authority mapping, and defensive policy translation. Readers who require a comprehensive intelligence assessment should consult classified products and authorized analytic channels.</w:t>
      </w:r>
    </w:p>
    <w:p>
      <w:pPr>
        <w:spacing w:before="0" w:after="160"/>
      </w:pPr>
    </w:p>
    <w:p>
      <w:r>
        <w:br w:type="page"/>
      </w:r>
    </w:p>
    <w:p>
      <w:pPr>
        <w:spacing w:before="0" w:after="60"/>
      </w:pPr>
      <w:r>
        <w:rPr>
          <w:rFonts w:ascii="Arial" w:cs="Arial" w:eastAsia="Arial" w:hAnsi="Arial"/>
          <w:b/>
          <w:bCs/>
          <w:color w:val="C00000"/>
          <w:sz w:val="18"/>
          <w:szCs w:val="18"/>
        </w:rPr>
        <w:t xml:space="preserve">SECTION IV</w:t>
      </w:r>
    </w:p>
    <w:p>
      <w:pPr>
        <w:pStyle w:val="Heading1"/>
        <w:spacing w:before="360" w:after="120"/>
      </w:pPr>
      <w:r>
        <w:rPr>
          <w:rFonts w:ascii="Arial" w:cs="Arial" w:eastAsia="Arial" w:hAnsi="Arial"/>
          <w:b/>
          <w:bCs/>
          <w:color w:val="1F3864"/>
          <w:sz w:val="32"/>
          <w:szCs w:val="32"/>
        </w:rPr>
        <w:t xml:space="preserve">Threat Architecture Overview</w:t>
      </w:r>
    </w:p>
    <w:p>
      <w:pPr>
        <w:pBdr>
          <w:bottom w:val="single" w:color="1F3864" w:sz="4" w:space="1"/>
        </w:pBdr>
        <w:spacing w:before="40" w:after="40"/>
      </w:pPr>
    </w:p>
    <w:p>
      <w:pPr>
        <w:spacing w:before="0" w:after="80"/>
      </w:pPr>
    </w:p>
    <w:p>
      <w:pPr>
        <w:pStyle w:val="Heading2"/>
        <w:spacing w:before="240" w:after="80"/>
      </w:pPr>
      <w:r>
        <w:rPr>
          <w:rFonts w:ascii="Arial" w:cs="Arial" w:eastAsia="Arial" w:hAnsi="Arial"/>
          <w:b/>
          <w:bCs/>
          <w:color w:val="1F3864"/>
          <w:sz w:val="26"/>
          <w:szCs w:val="26"/>
        </w:rPr>
        <w:t xml:space="preserve">4.1  Why These Four States Belong in One Assessment</w:t>
      </w:r>
    </w:p>
    <w:p>
      <w:pPr>
        <w:spacing w:before="80" w:after="120" w:line="276"/>
        <w:jc w:val="both"/>
      </w:pPr>
      <w:r>
        <w:rPr>
          <w:rFonts w:ascii="Arial" w:cs="Arial" w:eastAsia="Arial" w:hAnsi="Arial"/>
          <w:sz w:val="22"/>
          <w:szCs w:val="22"/>
        </w:rPr>
        <w:t xml:space="preserve">The four states belong in one paper because the problem is not only country-specific capability. It is also a broader pattern of revisionist cooperation, strategic opacity, and dual-use science operating inside a weak verification environment. ODNI assesses that cooperation among China, Russia, Iran, and North Korea has been growing more rapidly in recent years, strengthening their individual and collective capacity to threaten U.S. interests and undermine U.S. alliances.  </w:t>
      </w:r>
      <w:r>
        <w:rPr>
          <w:rFonts w:ascii="Arial" w:cs="Arial" w:eastAsia="Arial" w:hAnsi="Arial"/>
          <w:sz w:val="18"/>
          <w:szCs w:val="18"/>
          <w:vertAlign w:val="superscript"/>
        </w:rPr>
        <w:t xml:space="preserve">¹⁵</w:t>
      </w:r>
    </w:p>
    <w:p>
      <w:pPr>
        <w:spacing w:before="80" w:after="120" w:line="276"/>
        <w:jc w:val="both"/>
      </w:pPr>
      <w:r>
        <w:rPr>
          <w:rFonts w:ascii="Arial" w:cs="Arial" w:eastAsia="Arial" w:hAnsi="Arial"/>
          <w:b w:val="false"/>
          <w:bCs w:val="false"/>
          <w:i w:val="false"/>
          <w:iCs w:val="false"/>
          <w:color w:val="000000"/>
          <w:sz w:val="22"/>
          <w:szCs w:val="22"/>
        </w:rPr>
        <w:t xml:space="preserve">That does not establish a unified biological enterprise. It does establish a strategic environment in which biological risk should be evaluated as part of a wider authoritarian threat architecture — not in isolation.</w:t>
      </w:r>
    </w:p>
    <w:p>
      <w:pPr>
        <w:spacing w:before="0" w:after="80"/>
      </w:pPr>
    </w:p>
    <w:p>
      <w:pPr>
        <w:pStyle w:val="Heading2"/>
        <w:spacing w:before="240" w:after="80"/>
      </w:pPr>
      <w:r>
        <w:rPr>
          <w:rFonts w:ascii="Arial" w:cs="Arial" w:eastAsia="Arial" w:hAnsi="Arial"/>
          <w:b/>
          <w:bCs/>
          <w:color w:val="1F3864"/>
          <w:sz w:val="26"/>
          <w:szCs w:val="26"/>
        </w:rPr>
        <w:t xml:space="preserve">4.2  Why Biology Fits Revisionist Toolkits</w:t>
      </w:r>
    </w:p>
    <w:p>
      <w:pPr>
        <w:spacing w:before="80" w:after="120" w:line="276"/>
        <w:jc w:val="both"/>
      </w:pPr>
      <w:r>
        <w:rPr>
          <w:rFonts w:ascii="Arial" w:cs="Arial" w:eastAsia="Arial" w:hAnsi="Arial"/>
          <w:b w:val="false"/>
          <w:bCs w:val="false"/>
          <w:i w:val="false"/>
          <w:iCs w:val="false"/>
          <w:color w:val="000000"/>
          <w:sz w:val="22"/>
          <w:szCs w:val="22"/>
        </w:rPr>
        <w:t xml:space="preserve">Biological capabilities are attractive for state actors with asymmetric interests in disruption, coercion, and deniability. They can be developed in dual-use facilities that complicate external monitoring. They can produce effects that are difficult to attribute rapidly to state action. They operate in a legal framework whose verification regime is substantially weaker than nuclear nonproliferation. And they do not require the same industrial-scale signatures as nuclear or large-scale conventional programs.</w:t>
      </w:r>
    </w:p>
    <w:p>
      <w:pPr>
        <w:spacing w:before="80" w:after="120" w:line="276"/>
        <w:jc w:val="both"/>
      </w:pPr>
      <w:r>
        <w:rPr>
          <w:rFonts w:ascii="Arial" w:cs="Arial" w:eastAsia="Arial" w:hAnsi="Arial"/>
          <w:b w:val="false"/>
          <w:bCs w:val="false"/>
          <w:i w:val="false"/>
          <w:iCs w:val="false"/>
          <w:color w:val="000000"/>
          <w:sz w:val="22"/>
          <w:szCs w:val="22"/>
        </w:rPr>
        <w:t xml:space="preserve">For state actors already invested in unconventional coercion — including cyber operations, proxy warfare, chemical weapons, and economic leverage — biological capabilities represent a plausible extension of that toolkit rather than a qualitative break from it.</w:t>
      </w:r>
    </w:p>
    <w:p>
      <w:pPr>
        <w:spacing w:before="0" w:after="80"/>
      </w:pPr>
    </w:p>
    <w:p>
      <w:pPr>
        <w:pStyle w:val="Heading2"/>
        <w:spacing w:before="240" w:after="80"/>
      </w:pPr>
      <w:r>
        <w:rPr>
          <w:rFonts w:ascii="Arial" w:cs="Arial" w:eastAsia="Arial" w:hAnsi="Arial"/>
          <w:b/>
          <w:bCs/>
          <w:color w:val="1F3864"/>
          <w:sz w:val="26"/>
          <w:szCs w:val="26"/>
        </w:rPr>
        <w:t xml:space="preserve">4.3  The Dual-Use Verification Problem</w:t>
      </w:r>
    </w:p>
    <w:p>
      <w:pPr>
        <w:spacing w:before="80" w:after="120" w:line="276"/>
        <w:jc w:val="both"/>
      </w:pPr>
      <w:r>
        <w:rPr>
          <w:rFonts w:ascii="Arial" w:cs="Arial" w:eastAsia="Arial" w:hAnsi="Arial"/>
          <w:b w:val="false"/>
          <w:bCs w:val="false"/>
          <w:i w:val="false"/>
          <w:iCs w:val="false"/>
          <w:color w:val="000000"/>
          <w:sz w:val="22"/>
          <w:szCs w:val="22"/>
        </w:rPr>
        <w:t xml:space="preserve">Dual-use biology is the central verification challenge. The same research infrastructure, the same technical personnel, and often the same physical facilities that support legitimate scientific activity can, under different intent and direction, support weapons-relevant work. WHO's laboratory biosecurity guidance explicitly addresses the need to prevent misuse across the full chain of handling high-consequence biological material, technology, and knowledge.</w:t>
      </w:r>
    </w:p>
    <w:p>
      <w:pPr>
        <w:spacing w:before="80" w:after="120" w:line="276"/>
        <w:jc w:val="both"/>
      </w:pPr>
      <w:r>
        <w:rPr>
          <w:rFonts w:ascii="Arial" w:cs="Arial" w:eastAsia="Arial" w:hAnsi="Arial"/>
          <w:b w:val="false"/>
          <w:bCs w:val="false"/>
          <w:i w:val="false"/>
          <w:iCs w:val="false"/>
          <w:color w:val="000000"/>
          <w:sz w:val="22"/>
          <w:szCs w:val="22"/>
        </w:rPr>
        <w:t xml:space="preserve">This dual-use reality is not exclusive to adversary states. It is a feature of modern biology everywhere. What distinguishes concern about the four states assessed here is the combination of dual-use scale, stated compliance concerns, offensive-purpose language in official reporting, and insufficient transparency to resolve those concerns through open-source assessment alone.</w:t>
      </w:r>
    </w:p>
    <w:p>
      <w:pPr>
        <w:spacing w:before="0" w:after="80"/>
      </w:pPr>
    </w:p>
    <w:p>
      <w:pPr>
        <w:pStyle w:val="Heading2"/>
        <w:spacing w:before="240" w:after="80"/>
      </w:pPr>
      <w:r>
        <w:rPr>
          <w:rFonts w:ascii="Arial" w:cs="Arial" w:eastAsia="Arial" w:hAnsi="Arial"/>
          <w:b/>
          <w:bCs/>
          <w:color w:val="1F3864"/>
          <w:sz w:val="26"/>
          <w:szCs w:val="26"/>
        </w:rPr>
        <w:t xml:space="preserve">4.4  Attribution Difficulty as a Strategic Multiplier</w:t>
      </w:r>
    </w:p>
    <w:p>
      <w:pPr>
        <w:spacing w:before="80" w:after="120" w:line="276"/>
        <w:jc w:val="both"/>
      </w:pPr>
      <w:r>
        <w:rPr>
          <w:rFonts w:ascii="Arial" w:cs="Arial" w:eastAsia="Arial" w:hAnsi="Arial"/>
          <w:b w:val="false"/>
          <w:bCs w:val="false"/>
          <w:i w:val="false"/>
          <w:iCs w:val="false"/>
          <w:color w:val="000000"/>
          <w:sz w:val="22"/>
          <w:szCs w:val="22"/>
        </w:rPr>
        <w:t xml:space="preserve">Attribution difficulty is not merely a technical obstacle. It is a strategic multiplier for any state that chooses to exploit it. A state-sponsored biological event designed to resemble a natural outbreak, accidental release, or epidemiological anomaly places the attribution burden entirely on the defending state. That burden — evidentiary, political, and temporal — is high enough to significantly constrain the credibility of coercive response, particularly in the early phase of an event when effects are still emerging.</w:t>
      </w:r>
    </w:p>
    <w:p>
      <w:pPr>
        <w:spacing w:before="80" w:after="120" w:line="276"/>
        <w:jc w:val="both"/>
      </w:pPr>
      <w:r>
        <w:rPr>
          <w:rFonts w:ascii="Arial" w:cs="Arial" w:eastAsia="Arial" w:hAnsi="Arial"/>
          <w:b w:val="false"/>
          <w:bCs w:val="false"/>
          <w:i w:val="false"/>
          <w:iCs w:val="false"/>
          <w:color w:val="000000"/>
          <w:sz w:val="22"/>
          <w:szCs w:val="22"/>
        </w:rPr>
        <w:t xml:space="preserve">This is why the countermeasure architecture in Section X places explicit weight on attribution support and why early recognition, syndromic surveillance, and allied information-sharing receive as much emphasis as traditional deterrence and denial instruments.</w:t>
      </w:r>
    </w:p>
    <w:p>
      <w:pPr>
        <w:spacing w:before="0" w:after="160"/>
      </w:pPr>
    </w:p>
    <w:p>
      <w:r>
        <w:br w:type="page"/>
      </w:r>
    </w:p>
    <w:p>
      <w:pPr>
        <w:spacing w:before="0" w:after="60"/>
      </w:pPr>
      <w:r>
        <w:rPr>
          <w:rFonts w:ascii="Arial" w:cs="Arial" w:eastAsia="Arial" w:hAnsi="Arial"/>
          <w:b/>
          <w:bCs/>
          <w:color w:val="C00000"/>
          <w:sz w:val="18"/>
          <w:szCs w:val="18"/>
        </w:rPr>
        <w:t xml:space="preserve">SECTION V</w:t>
      </w:r>
    </w:p>
    <w:p>
      <w:pPr>
        <w:pStyle w:val="Heading1"/>
        <w:spacing w:before="360" w:after="120"/>
      </w:pPr>
      <w:r>
        <w:rPr>
          <w:rFonts w:ascii="Arial" w:cs="Arial" w:eastAsia="Arial" w:hAnsi="Arial"/>
          <w:b/>
          <w:bCs/>
          <w:color w:val="1F3864"/>
          <w:sz w:val="32"/>
          <w:szCs w:val="32"/>
        </w:rPr>
        <w:t xml:space="preserve">China</w:t>
      </w:r>
    </w:p>
    <w:p>
      <w:pPr>
        <w:pBdr>
          <w:bottom w:val="single" w:color="1F3864" w:sz="4" w:space="1"/>
        </w:pBdr>
        <w:spacing w:before="40" w:after="40"/>
      </w:pP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Observed / Officially Reported</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ODNI's 2025 Annual Threat Assessment states that China most likely possesses capabilities relevant to chemical and biological warfare that pose a threat to U.S., allied, and partner forces as well as civilian populations. ODNI also describes China's broader role in global biological, medical, and health-related domains as presenting unique challenges.</w:t>
      </w:r>
    </w:p>
    <w:p>
      <w:pPr>
        <w:spacing w:before="80" w:after="120" w:line="276"/>
        <w:jc w:val="both"/>
      </w:pPr>
      <w:r>
        <w:rPr>
          <w:rFonts w:ascii="Arial" w:cs="Arial" w:eastAsia="Arial" w:hAnsi="Arial"/>
          <w:b w:val="false"/>
          <w:bCs w:val="false"/>
          <w:i w:val="false"/>
          <w:iCs w:val="false"/>
          <w:color w:val="000000"/>
          <w:sz w:val="22"/>
          <w:szCs w:val="22"/>
        </w:rPr>
        <w:t xml:space="preserve">The State Department's 2025 Arms Control Treaty Compliance Report states that China engaged in biological and toxin-related activities that raise compliance concerns under Article I of the Biological Weapons Convention. State compliance reporting has continued to identify China in this context across multiple reporting cycles.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F6000" w:sz="10"/>
              <w:bottom w:val="none" w:color="FFFFFF" w:sz="0"/>
              <w:right w:val="none" w:color="FFFFFF" w:sz="0"/>
            </w:tcBorders>
            <w:shd w:fill="FFFDE7" w:val="clear"/>
            <w:tcMar>
              <w:top w:type="dxa" w:w="60"/>
              <w:left w:type="dxa" w:w="160"/>
              <w:bottom w:type="dxa" w:w="60"/>
              <w:right w:type="dxa" w:w="120"/>
            </w:tcMar>
          </w:tcPr>
          <w:p>
            <w:pPr>
              <w:spacing w:before="0" w:after="0"/>
            </w:pPr>
            <w:r>
              <w:rPr>
                <w:rFonts w:ascii="Arial" w:cs="Arial" w:eastAsia="Arial" w:hAnsi="Arial"/>
                <w:b/>
                <w:bCs/>
                <w:color w:val="7F6000"/>
                <w:sz w:val="20"/>
                <w:szCs w:val="20"/>
              </w:rPr>
              <w:t xml:space="preserve">Assessment</w:t>
            </w:r>
            <w:r>
              <w:rPr>
                <w:rFonts w:ascii="Arial" w:cs="Arial" w:eastAsia="Arial" w:hAnsi="Arial"/>
                <w:color w:val="595959"/>
                <w:sz w:val="18"/>
                <w:szCs w:val="18"/>
              </w:rPr>
              <w:t xml:space="preserve">   |   MODERATE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China is best assessed in this paper as a dual-use bioindustrial power with strategic opacity, not as a publicly mapped, fully transparent offensive program. The public record supports the assessment that China’s scale, biotechnology base, military-civil fusion structure, and compliance concerns create a distinctive biological-risk profile that is more about systemic capability and opacity than about a neatly documented operational program.</w:t>
      </w:r>
    </w:p>
    <w:p>
      <w:pPr>
        <w:spacing w:before="80" w:after="120" w:line="276"/>
        <w:jc w:val="both"/>
      </w:pPr>
      <w:r>
        <w:rPr>
          <w:rFonts w:ascii="Arial" w:cs="Arial" w:eastAsia="Arial" w:hAnsi="Arial"/>
          <w:b w:val="false"/>
          <w:bCs w:val="false"/>
          <w:i w:val="false"/>
          <w:iCs w:val="false"/>
          <w:color w:val="000000"/>
          <w:sz w:val="22"/>
          <w:szCs w:val="22"/>
        </w:rPr>
        <w:t xml:space="preserve">The most policy-relevant feature of the China case is not a specific weapon or threat event; it is the difficulty of distinguishing prohibited work from legitimate activity at scale, the depth of China's biomedical and pharmaceutical supply-chain integration into U.S. and allied systems, and the absence of sufficient transparency to resolve compliance concerns through open-source means.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Strategic Significance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China's significance lies in scale and leverage. Its large biomedical, pharmaceutical, and research ecosystem can amplify both legitimate national capacity and the complexity of external monitoring. For U.S. and allied planning, the policy issue includes not only direct threat concern, but also how biotechnology scale, supply-chain dependencies, and insufficient transparency can constrain early warning, compliance assessment, and crisis response.</w:t>
      </w:r>
    </w:p>
    <w:p>
      <w:pPr>
        <w:spacing w:before="80" w:after="120" w:line="276"/>
        <w:jc w:val="both"/>
      </w:pPr>
      <w:r>
        <w:rPr>
          <w:rFonts w:ascii="Arial" w:cs="Arial" w:eastAsia="Arial" w:hAnsi="Arial"/>
          <w:b w:val="false"/>
          <w:bCs w:val="false"/>
          <w:i w:val="false"/>
          <w:iCs w:val="false"/>
          <w:color w:val="000000"/>
          <w:sz w:val="22"/>
          <w:szCs w:val="22"/>
        </w:rPr>
        <w:t xml:space="preserve">The military-civil fusion dimension is particularly significant. Research institutions, commercial biotech firms, and defense-related entities operate in an environment where the boundaries between civilian research and military application are not reliably maintained or independently verified by external actors.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Unknowns / Intelligence Gaps</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The public record does not establish the full scope of any current prohibited Chinese biological program, the precise command relationship between dual-use science and any military application, or the operational significance of officially reported compliance concerns.</w:t>
      </w:r>
    </w:p>
    <w:p>
      <w:pPr>
        <w:spacing w:before="80" w:after="120" w:line="276"/>
        <w:jc w:val="both"/>
      </w:pPr>
      <w:r>
        <w:rPr>
          <w:rFonts w:ascii="Arial" w:cs="Arial" w:eastAsia="Arial" w:hAnsi="Arial"/>
          <w:b w:val="false"/>
          <w:bCs w:val="false"/>
          <w:i w:val="false"/>
          <w:iCs w:val="false"/>
          <w:color w:val="000000"/>
          <w:sz w:val="22"/>
          <w:szCs w:val="22"/>
        </w:rPr>
        <w:t xml:space="preserve">The public record also does not establish whether State Department compliance-reporting language reflects an active prohibited program, historical activity, ambiguous dual-use research, or some combination. That uncertainty is analytically significant and should not be resolved by inference in a public-source assessment.</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Implications for U.S. and Allied Policy</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For U.S. and allied policy, the China case argues for: sustained pressure on BWC CBM transparency and participation quality; export control and procurement governance targeting dual-use biotechnology; intelligence-sharing with allies on supply-chain risk; and investment in surveillance and detection systems capable of operating even when direct access to Chinese biological programs is limited.</w:t>
      </w:r>
    </w:p>
    <w:p>
      <w:pPr>
        <w:spacing w:before="80" w:after="120" w:line="276"/>
        <w:jc w:val="both"/>
      </w:pPr>
      <w:r>
        <w:rPr>
          <w:rFonts w:ascii="Arial" w:cs="Arial" w:eastAsia="Arial" w:hAnsi="Arial"/>
          <w:b w:val="false"/>
          <w:bCs w:val="false"/>
          <w:i w:val="false"/>
          <w:iCs w:val="false"/>
          <w:color w:val="000000"/>
          <w:sz w:val="22"/>
          <w:szCs w:val="22"/>
        </w:rPr>
        <w:t xml:space="preserve">The strongest near-term policy lever is not confrontation but transparency pressure — institutionally, diplomatically, and through the CBM architecture — paired with domestic and allied biosecurity measures that reduce dependence on opaque supply chains.</w:t>
      </w:r>
    </w:p>
    <w:p>
      <w:pPr>
        <w:spacing w:before="0" w:after="160"/>
      </w:pPr>
    </w:p>
    <w:p>
      <w:pPr>
        <w:spacing w:before="0" w:after="60"/>
      </w:pPr>
      <w:r>
        <w:rPr>
          <w:rFonts w:ascii="Arial" w:cs="Arial" w:eastAsia="Arial" w:hAnsi="Arial"/>
          <w:b/>
          <w:bCs/>
          <w:color w:val="C00000"/>
          <w:sz w:val="18"/>
          <w:szCs w:val="18"/>
        </w:rPr>
        <w:t xml:space="preserve">SECTION VI</w:t>
      </w:r>
    </w:p>
    <w:p>
      <w:pPr>
        <w:pStyle w:val="Heading1"/>
        <w:spacing w:before="360" w:after="120"/>
      </w:pPr>
      <w:r>
        <w:rPr>
          <w:rFonts w:ascii="Arial" w:cs="Arial" w:eastAsia="Arial" w:hAnsi="Arial"/>
          <w:b/>
          <w:bCs/>
          <w:color w:val="1F3864"/>
          <w:sz w:val="32"/>
          <w:szCs w:val="32"/>
        </w:rPr>
        <w:t xml:space="preserve">Russia</w:t>
      </w:r>
    </w:p>
    <w:p>
      <w:pPr>
        <w:pBdr>
          <w:bottom w:val="single" w:color="1F3864" w:sz="4" w:space="1"/>
        </w:pBdr>
        <w:spacing w:before="40" w:after="40"/>
      </w:pP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Observed / Officially Reported</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ODNI's 2025 Annual Threat Assessment states that Russia's CBW threat is expanding and that Russian scientific institutes continue to research and develop CBW capabilities, including technologies to deliver CBW agents. ODNI places Russia's CBW program within its broader assessment of Russia's willingness to use unconventional capabilities and absorb strategic cost.</w:t>
      </w:r>
    </w:p>
    <w:p>
      <w:pPr>
        <w:spacing w:before="80" w:after="120" w:line="276"/>
        <w:jc w:val="both"/>
      </w:pPr>
      <w:r>
        <w:rPr>
          <w:rFonts w:ascii="Arial" w:cs="Arial" w:eastAsia="Arial" w:hAnsi="Arial"/>
          <w:b w:val="false"/>
          <w:bCs w:val="false"/>
          <w:i w:val="false"/>
          <w:iCs w:val="false"/>
          <w:color w:val="000000"/>
          <w:sz w:val="22"/>
          <w:szCs w:val="22"/>
        </w:rPr>
        <w:t xml:space="preserve">ODNI also separately notes Russia's undeclared chemical weapons program and its prior use of chemical weapons in assassination attempts, which is relevant context for assessing Russia's threshold for unconventional-weapon employment across the spectrum.</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Assessment</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Russia presents the sharpest publicly documented official warning language of the four states in relation to CBW expansion. In this paper, Russia is best assessed as a state with enduring CBW concern embedded inside a broader coercive and escalatory posture — one in which unconventional capabilities are treated as instruments of state power rather than weapons of last resort.</w:t>
      </w:r>
    </w:p>
    <w:p>
      <w:pPr>
        <w:spacing w:before="80" w:after="120" w:line="276"/>
        <w:jc w:val="both"/>
      </w:pPr>
      <w:r>
        <w:rPr>
          <w:rFonts w:ascii="Arial" w:cs="Arial" w:eastAsia="Arial" w:hAnsi="Arial"/>
          <w:b w:val="false"/>
          <w:bCs w:val="false"/>
          <w:i w:val="false"/>
          <w:iCs w:val="false"/>
          <w:color w:val="000000"/>
          <w:sz w:val="22"/>
          <w:szCs w:val="22"/>
        </w:rPr>
        <w:t xml:space="preserve">The public record supports a high-confidence judgment that Russia remains a major biosecurity concern. It does not, however, fully establish the contemporary biological program's exact scope, doctrine, or readiness in open sources. The confidence that is warranted here is confidence in the seriousness of the threat — not confidence in a complete operational picture.</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Strategic Significance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Russia's strategic significance is tied to state capacity, coercive doctrine, and demonstrated willingness to absorb reputational and legal cost. In policy terms, the biological question cannot be separated cleanly from Russia's larger escalation ecosystem, which includes nuclear, cyber, chemical, proxy, and information tools.</w:t>
      </w:r>
    </w:p>
    <w:p>
      <w:pPr>
        <w:spacing w:before="80" w:after="120" w:line="276"/>
        <w:jc w:val="both"/>
      </w:pPr>
      <w:r>
        <w:rPr>
          <w:rFonts w:ascii="Arial" w:cs="Arial" w:eastAsia="Arial" w:hAnsi="Arial"/>
          <w:b w:val="false"/>
          <w:bCs w:val="false"/>
          <w:i w:val="false"/>
          <w:iCs w:val="false"/>
          <w:color w:val="000000"/>
          <w:sz w:val="22"/>
          <w:szCs w:val="22"/>
        </w:rPr>
        <w:t xml:space="preserve">That integration matters for countermeasure design: deterring biological use cannot be isolated from broader deterrence posture, and any attribution effort following a Russian biological event would have to contend with the same information-environment manipulation Russia has demonstrated in other domains.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Unknowns / Intelligence Gaps</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The largest public-source uncertainties concern the current biological component's scope, military integration, delivery relevance, and thresholds for employment. These are real and consequential gaps.</w:t>
      </w:r>
    </w:p>
    <w:p>
      <w:pPr>
        <w:spacing w:before="80" w:after="120" w:line="276"/>
        <w:jc w:val="both"/>
      </w:pPr>
      <w:r>
        <w:rPr>
          <w:rFonts w:ascii="Arial" w:cs="Arial" w:eastAsia="Arial" w:hAnsi="Arial"/>
          <w:b w:val="false"/>
          <w:bCs w:val="false"/>
          <w:i w:val="false"/>
          <w:iCs w:val="false"/>
          <w:color w:val="000000"/>
          <w:sz w:val="22"/>
          <w:szCs w:val="22"/>
        </w:rPr>
        <w:t xml:space="preserve">The public record establishes concern and capability trend — not a comprehensive operational map. Official language about CBW threat expansion is clear; the specific programs, agents, and doctrine behind that language are not publicly established in sufficient detail to support granular assessment.</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Implications for U.S. and Allied Policy</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For U.S. and allied policy, the Russia case argues for: sustained deterrence signaling that includes unconventional capabilities; allied coordination on attribution protocols and evidence-preservation standards; treaty pressure through BWC Articles V and VI where applicable; and resilience investments that reduce the strategic value of coercive biological use.</w:t>
      </w:r>
    </w:p>
    <w:p>
      <w:pPr>
        <w:spacing w:before="80" w:after="120" w:line="276"/>
        <w:jc w:val="both"/>
      </w:pPr>
      <w:r>
        <w:rPr>
          <w:rFonts w:ascii="Arial" w:cs="Arial" w:eastAsia="Arial" w:hAnsi="Arial"/>
          <w:b w:val="false"/>
          <w:bCs w:val="false"/>
          <w:i w:val="false"/>
          <w:iCs w:val="false"/>
          <w:color w:val="000000"/>
          <w:sz w:val="22"/>
          <w:szCs w:val="22"/>
        </w:rPr>
        <w:t xml:space="preserve">The Russia case also argues for the most explicit treatment of escalation dynamics in the countermeasure architecture — because a biological event attributable to Russia would occur inside a broader geopolitical conflict environment, not in isolation.</w:t>
      </w:r>
    </w:p>
    <w:p>
      <w:pPr>
        <w:spacing w:before="0" w:after="160"/>
      </w:pPr>
    </w:p>
    <w:p>
      <w:pPr>
        <w:spacing w:before="0" w:after="60"/>
      </w:pPr>
      <w:r>
        <w:rPr>
          <w:rFonts w:ascii="Arial" w:cs="Arial" w:eastAsia="Arial" w:hAnsi="Arial"/>
          <w:b/>
          <w:bCs/>
          <w:color w:val="C00000"/>
          <w:sz w:val="18"/>
          <w:szCs w:val="18"/>
        </w:rPr>
        <w:t xml:space="preserve">SECTION VII</w:t>
      </w:r>
    </w:p>
    <w:p>
      <w:pPr>
        <w:pStyle w:val="Heading1"/>
        <w:spacing w:before="360" w:after="120"/>
      </w:pPr>
      <w:r>
        <w:rPr>
          <w:rFonts w:ascii="Arial" w:cs="Arial" w:eastAsia="Arial" w:hAnsi="Arial"/>
          <w:b/>
          <w:bCs/>
          <w:color w:val="1F3864"/>
          <w:sz w:val="32"/>
          <w:szCs w:val="32"/>
        </w:rPr>
        <w:t xml:space="preserve">Iran</w:t>
      </w:r>
    </w:p>
    <w:p>
      <w:pPr>
        <w:pBdr>
          <w:bottom w:val="single" w:color="1F3864" w:sz="4" w:space="1"/>
        </w:pBdr>
        <w:spacing w:before="40" w:after="40"/>
      </w:pP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Observed / Officially Reported</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ODNI's 2025 Annual Threat Assessment states that Iran very likely aims to continue R&amp;D of chemical and biological agents for offensive purposes. The same assessment places Iran inside a broader regional threat picture built around missiles, UAVs, proxy networks, cyber operations, and asymmetric deterrence.</w:t>
      </w:r>
    </w:p>
    <w:p>
      <w:pPr>
        <w:spacing w:before="80" w:after="120" w:line="276"/>
        <w:jc w:val="both"/>
      </w:pPr>
      <w:r>
        <w:rPr>
          <w:rFonts w:ascii="Arial" w:cs="Arial" w:eastAsia="Arial" w:hAnsi="Arial"/>
          <w:b w:val="false"/>
          <w:bCs w:val="false"/>
          <w:i w:val="false"/>
          <w:iCs w:val="false"/>
          <w:color w:val="000000"/>
          <w:sz w:val="22"/>
          <w:szCs w:val="22"/>
        </w:rPr>
        <w:t xml:space="preserve">The State Department's 2025 compliance reporting continues to identify Iran within the broader noncompliance-concern environment relevant to the BWC framework. Official U.S. language on Iran's biological-weapons-related concern has been sustained across multiple reporting cycles.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Assessment</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Iran is best assessed as a regional asymmetric disruptor whose biological-weapons-related risk should be read alongside a broader pattern of deniable pressure, coercive flexibility, and nontraditional escalation tools. Official U.S. language indicates offensive-purpose R&amp;D concern — but the public record remains limited on current scale, stockpiling, and deployment readiness.</w:t>
      </w:r>
    </w:p>
    <w:p>
      <w:pPr>
        <w:spacing w:before="80" w:after="120" w:line="276"/>
        <w:jc w:val="both"/>
      </w:pPr>
      <w:r>
        <w:rPr>
          <w:rFonts w:ascii="Arial" w:cs="Arial" w:eastAsia="Arial" w:hAnsi="Arial"/>
          <w:b w:val="false"/>
          <w:bCs w:val="false"/>
          <w:i w:val="false"/>
          <w:iCs w:val="false"/>
          <w:color w:val="000000"/>
          <w:sz w:val="22"/>
          <w:szCs w:val="22"/>
        </w:rPr>
        <w:t xml:space="preserve">The confidence warranted here is high on concern about intent and low-to-moderate on operational scope. That distinction matters: a state that aims to continue offensive-purpose R&amp;D is a different policy problem than a state with a mature, integrated, and deployable biological capability.</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Strategic Significance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Iran's significance lies in regional application and strategic ambiguity. Even absent public proof of a large mature biological force structure, offensive-purpose R&amp;D concern matters because Iran operates in a theater where proxy activity, maritime disruption, and deniable operations already complicate deterrence and attribution.</w:t>
      </w:r>
    </w:p>
    <w:p>
      <w:pPr>
        <w:spacing w:before="80" w:after="120" w:line="276"/>
        <w:jc w:val="both"/>
      </w:pPr>
      <w:r>
        <w:rPr>
          <w:rFonts w:ascii="Arial" w:cs="Arial" w:eastAsia="Arial" w:hAnsi="Arial"/>
          <w:b w:val="false"/>
          <w:bCs w:val="false"/>
          <w:i w:val="false"/>
          <w:iCs w:val="false"/>
          <w:color w:val="000000"/>
          <w:sz w:val="22"/>
          <w:szCs w:val="22"/>
        </w:rPr>
        <w:t xml:space="preserve">The risk of proxy-enabled or clandestine biological use is relevant here — not because the public record establishes such a capability today, but because Iran's demonstrated willingness to use proxy networks for coercive purposes creates a plausible transmission vector that would complicate attribution and response.</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Unknowns / Intelligence Gaps</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The public record does not establish the degree of military integration, operational doctrine, or readiness for biological employment. Intelligence gaps remain especially significant on command relationships, practical coupling between R&amp;D and usable capability, and political thresholds for use.</w:t>
      </w:r>
    </w:p>
    <w:p>
      <w:pPr>
        <w:spacing w:before="80" w:after="120" w:line="276"/>
        <w:jc w:val="both"/>
      </w:pPr>
      <w:r>
        <w:rPr>
          <w:rFonts w:ascii="Arial" w:cs="Arial" w:eastAsia="Arial" w:hAnsi="Arial"/>
          <w:b w:val="false"/>
          <w:bCs w:val="false"/>
          <w:i w:val="false"/>
          <w:iCs w:val="false"/>
          <w:color w:val="000000"/>
          <w:sz w:val="22"/>
          <w:szCs w:val="22"/>
        </w:rPr>
        <w:t xml:space="preserve">The absence of detailed public reporting on Iran's biological program specifics should not be read as evidence of a limited program — only as evidence of limited public visibility.</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Implications for U.S. and Allied Policy</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For U.S. and allied policy, the Iran case argues for: intelligence integration with regional partners on biological-related procurement and research activity; export and sanctions pressure targeting relevant procurement networks; attribution-support investment in the regional context; and deterrence communication that explicitly includes biological use scenarios.</w:t>
      </w:r>
    </w:p>
    <w:p>
      <w:pPr>
        <w:spacing w:before="80" w:after="120" w:line="276"/>
        <w:jc w:val="both"/>
      </w:pPr>
      <w:r>
        <w:rPr>
          <w:rFonts w:ascii="Arial" w:cs="Arial" w:eastAsia="Arial" w:hAnsi="Arial"/>
          <w:b w:val="false"/>
          <w:bCs w:val="false"/>
          <w:i w:val="false"/>
          <w:iCs w:val="false"/>
          <w:color w:val="000000"/>
          <w:sz w:val="22"/>
          <w:szCs w:val="22"/>
        </w:rPr>
        <w:t xml:space="preserve">The regional dimension also argues for allied coordination with Gulf partners, Israel, and European states that share exposure to Iranian asymmetric operations.</w:t>
      </w:r>
    </w:p>
    <w:p>
      <w:pPr>
        <w:spacing w:before="0" w:after="160"/>
      </w:pPr>
    </w:p>
    <w:p>
      <w:pPr>
        <w:spacing w:before="0" w:after="60"/>
      </w:pPr>
      <w:r>
        <w:rPr>
          <w:rFonts w:ascii="Arial" w:cs="Arial" w:eastAsia="Arial" w:hAnsi="Arial"/>
          <w:b/>
          <w:bCs/>
          <w:color w:val="C00000"/>
          <w:sz w:val="18"/>
          <w:szCs w:val="18"/>
        </w:rPr>
        <w:t xml:space="preserve">SECTION VIII</w:t>
      </w:r>
    </w:p>
    <w:p>
      <w:pPr>
        <w:pStyle w:val="Heading1"/>
        <w:spacing w:before="360" w:after="120"/>
      </w:pPr>
      <w:r>
        <w:rPr>
          <w:rFonts w:ascii="Arial" w:cs="Arial" w:eastAsia="Arial" w:hAnsi="Arial"/>
          <w:b/>
          <w:bCs/>
          <w:color w:val="1F3864"/>
          <w:sz w:val="32"/>
          <w:szCs w:val="32"/>
        </w:rPr>
        <w:t xml:space="preserve">North Korea</w:t>
      </w:r>
    </w:p>
    <w:p>
      <w:pPr>
        <w:pBdr>
          <w:bottom w:val="single" w:color="1F3864" w:sz="4" w:space="1"/>
        </w:pBdr>
        <w:spacing w:before="40" w:after="40"/>
      </w:pP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Observed / Officially Reported</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ODNI's 2025 Annual Threat Assessment states that North Korea maintains its CBW capabilities and may use such weapons in a conflict or in an unconventional or clandestine attack against the United States or its allies. ODNI also assesses that Pyongyang continues to expand its broader WMD and missile capacity.</w:t>
      </w:r>
    </w:p>
    <w:p>
      <w:pPr>
        <w:spacing w:before="80" w:after="120" w:line="276"/>
        <w:jc w:val="both"/>
      </w:pPr>
      <w:r>
        <w:rPr>
          <w:rFonts w:ascii="Arial" w:cs="Arial" w:eastAsia="Arial" w:hAnsi="Arial"/>
          <w:b w:val="false"/>
          <w:bCs w:val="false"/>
          <w:i w:val="false"/>
          <w:iCs w:val="false"/>
          <w:color w:val="000000"/>
          <w:sz w:val="22"/>
          <w:szCs w:val="22"/>
        </w:rPr>
        <w:t xml:space="preserve">ODNI separately notes that North Korea has been deepening its military-technical relationship with Russia. That cooperation — including arms transfers, technical exchanges, and personnel deployment — is relevant context for assessing the trajectory of North Korean unconventional capabilities.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75623" w:sz="10"/>
              <w:bottom w:val="none" w:color="FFFFFF" w:sz="0"/>
              <w:right w:val="none" w:color="FFFFFF" w:sz="0"/>
            </w:tcBorders>
            <w:shd w:fill="E2EFDA" w:val="clear"/>
            <w:tcMar>
              <w:top w:type="dxa" w:w="60"/>
              <w:left w:type="dxa" w:w="160"/>
              <w:bottom w:type="dxa" w:w="60"/>
              <w:right w:type="dxa" w:w="120"/>
            </w:tcMar>
          </w:tcPr>
          <w:p>
            <w:pPr>
              <w:spacing w:before="0" w:after="0"/>
            </w:pPr>
            <w:r>
              <w:rPr>
                <w:rFonts w:ascii="Arial" w:cs="Arial" w:eastAsia="Arial" w:hAnsi="Arial"/>
                <w:b/>
                <w:bCs/>
                <w:color w:val="375623"/>
                <w:sz w:val="20"/>
                <w:szCs w:val="20"/>
              </w:rPr>
              <w:t xml:space="preserve">Assessment</w:t>
            </w:r>
            <w:r>
              <w:rPr>
                <w:rFonts w:ascii="Arial" w:cs="Arial" w:eastAsia="Arial" w:hAnsi="Arial"/>
                <w:color w:val="595959"/>
                <w:sz w:val="18"/>
                <w:szCs w:val="18"/>
              </w:rPr>
              <w:t xml:space="preserve">   |   HIGH Confidence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North Korea is best assessed as a persistent WMD-centered coercive actor for whom biological capability forms part of a larger unconventional toolkit. Official U.S. reporting places biological capability inside a broader pattern of coercive, potentially clandestine, and unconventional state behavior — a judgment well-supported by the public record even where program specifics are not publicly established.</w:t>
      </w:r>
    </w:p>
    <w:p>
      <w:pPr>
        <w:spacing w:before="80" w:after="120" w:line="276"/>
        <w:jc w:val="both"/>
      </w:pPr>
      <w:r>
        <w:rPr>
          <w:rFonts w:ascii="Arial" w:cs="Arial" w:eastAsia="Arial" w:hAnsi="Arial"/>
          <w:b w:val="false"/>
          <w:bCs w:val="false"/>
          <w:i w:val="false"/>
          <w:iCs w:val="false"/>
          <w:color w:val="000000"/>
          <w:sz w:val="22"/>
          <w:szCs w:val="22"/>
        </w:rPr>
        <w:t xml:space="preserve">The confidence warranted here is high on capability concern and moderate on precise force structure. The opacity of North Korean programs makes granular assessment impossible from public sources — and that opacity is itself a meaningful analytic finding.</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Strategic Significance</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North Korea's strategic significance lies in unpredictability, willingness to use unconventional pressure, and tight coupling between regime survival and coercive signaling. Biological concern matters here less because of open-source detail and more because official reporting places it inside a regime already defined by WMD-centered deterrence and demonstrated risk acceptance.</w:t>
      </w:r>
    </w:p>
    <w:p>
      <w:pPr>
        <w:spacing w:before="80" w:after="120" w:line="276"/>
        <w:jc w:val="both"/>
      </w:pPr>
      <w:r>
        <w:rPr>
          <w:rFonts w:ascii="Arial" w:cs="Arial" w:eastAsia="Arial" w:hAnsi="Arial"/>
          <w:b w:val="false"/>
          <w:bCs w:val="false"/>
          <w:i w:val="false"/>
          <w:iCs w:val="false"/>
          <w:color w:val="000000"/>
          <w:sz w:val="22"/>
          <w:szCs w:val="22"/>
        </w:rPr>
        <w:t xml:space="preserve">The unconventional and clandestine use scenario noted in ODNI's assessment — distinct from battlefield employment — is the most policy-relevant pathway for the North Korea case. It implies that a North Korean biological event might not present itself as a military attack but as an ambiguous incident requiring significant investigation before attribution is possible.</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Unknowns / Intelligence Gaps</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The public record remains limited on force structure, delivery logic, survivability, and command-and-control protocols for any North Korean biological component. These are real analytic gaps, not reassuring silences.</w:t>
      </w:r>
    </w:p>
    <w:p>
      <w:pPr>
        <w:spacing w:before="80" w:after="120" w:line="276"/>
        <w:jc w:val="both"/>
      </w:pPr>
      <w:r>
        <w:rPr>
          <w:rFonts w:ascii="Arial" w:cs="Arial" w:eastAsia="Arial" w:hAnsi="Arial"/>
          <w:b w:val="false"/>
          <w:bCs w:val="false"/>
          <w:i w:val="false"/>
          <w:iCs w:val="false"/>
          <w:color w:val="000000"/>
          <w:sz w:val="22"/>
          <w:szCs w:val="22"/>
        </w:rPr>
        <w:t xml:space="preserve">The North Korea case also illustrates a broader pattern: the states with the highest opacity — which creates the largest gaps in public-source assessment — are often the same states with the most coercive and unpredictable strategic cultures.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95959" w:sz="10"/>
              <w:bottom w:val="none" w:color="FFFFFF" w:sz="0"/>
              <w:right w:val="none" w:color="FFFFFF" w:sz="0"/>
            </w:tcBorders>
            <w:shd w:fill="F2F2F2" w:val="clear"/>
            <w:tcMar>
              <w:top w:type="dxa" w:w="60"/>
              <w:left w:type="dxa" w:w="160"/>
              <w:bottom w:type="dxa" w:w="60"/>
              <w:right w:type="dxa" w:w="120"/>
            </w:tcMar>
          </w:tcPr>
          <w:p>
            <w:pPr>
              <w:spacing w:before="0" w:after="0"/>
            </w:pPr>
            <w:r>
              <w:rPr>
                <w:rFonts w:ascii="Arial" w:cs="Arial" w:eastAsia="Arial" w:hAnsi="Arial"/>
                <w:b/>
                <w:bCs/>
                <w:color w:val="595959"/>
                <w:sz w:val="20"/>
                <w:szCs w:val="20"/>
              </w:rPr>
              <w:t xml:space="preserve">Implications for U.S. and Allied Policy</w:t>
            </w:r>
          </w:p>
        </w:tc>
      </w:tr>
    </w:tbl>
    <w:p>
      <w:pPr>
        <w:spacing w:before="0" w:after="60"/>
      </w:pPr>
    </w:p>
    <w:p>
      <w:pPr>
        <w:spacing w:before="80" w:after="120" w:line="276"/>
        <w:jc w:val="both"/>
      </w:pPr>
      <w:r>
        <w:rPr>
          <w:rFonts w:ascii="Arial" w:cs="Arial" w:eastAsia="Arial" w:hAnsi="Arial"/>
          <w:b w:val="false"/>
          <w:bCs w:val="false"/>
          <w:i w:val="false"/>
          <w:iCs w:val="false"/>
          <w:color w:val="000000"/>
          <w:sz w:val="22"/>
          <w:szCs w:val="22"/>
        </w:rPr>
        <w:t xml:space="preserve">For U.S. and allied policy, the North Korea case argues for: allied early-warning integration with South Korea, Japan, and other regional partners; deterrence signaling that explicitly includes unconventional weapon scenarios; sanctions and procurement interdiction targeting biological-relevant supply chains; and medical countermeasure readiness calibrated to clandestine or unconventional delivery scenarios.</w:t>
      </w:r>
    </w:p>
    <w:p>
      <w:pPr>
        <w:spacing w:before="80" w:after="120" w:line="276"/>
        <w:jc w:val="both"/>
      </w:pPr>
      <w:r>
        <w:rPr>
          <w:rFonts w:ascii="Arial" w:cs="Arial" w:eastAsia="Arial" w:hAnsi="Arial"/>
          <w:b w:val="false"/>
          <w:bCs w:val="false"/>
          <w:i w:val="false"/>
          <w:iCs w:val="false"/>
          <w:color w:val="000000"/>
          <w:sz w:val="22"/>
          <w:szCs w:val="22"/>
        </w:rPr>
        <w:t xml:space="preserve">The Russia-DPRK cooperation dimension argues for treating North Korean capability trends as partially downstream of Russian military-technical engagement, which has implications for how allied intelligence sharing on this topic is structured.</w:t>
      </w:r>
    </w:p>
    <w:p>
      <w:pPr>
        <w:spacing w:before="0" w:after="160"/>
      </w:pPr>
    </w:p>
    <w:p>
      <w:pPr>
        <w:spacing w:before="0" w:after="60"/>
      </w:pPr>
      <w:r>
        <w:rPr>
          <w:rFonts w:ascii="Arial" w:cs="Arial" w:eastAsia="Arial" w:hAnsi="Arial"/>
          <w:b/>
          <w:bCs/>
          <w:color w:val="C00000"/>
          <w:sz w:val="18"/>
          <w:szCs w:val="18"/>
        </w:rPr>
        <w:t xml:space="preserve">SECTION IX</w:t>
      </w:r>
    </w:p>
    <w:p>
      <w:pPr>
        <w:pStyle w:val="Heading1"/>
        <w:spacing w:before="360" w:after="120"/>
      </w:pPr>
      <w:r>
        <w:rPr>
          <w:rFonts w:ascii="Arial" w:cs="Arial" w:eastAsia="Arial" w:hAnsi="Arial"/>
          <w:b/>
          <w:bCs/>
          <w:color w:val="1F3864"/>
          <w:sz w:val="32"/>
          <w:szCs w:val="32"/>
        </w:rPr>
        <w:t xml:space="preserve">Comparative Assessment</w:t>
      </w:r>
    </w:p>
    <w:p>
      <w:pPr>
        <w:pBdr>
          <w:bottom w:val="single" w:color="1F3864" w:sz="4" w:space="1"/>
        </w:pBdr>
        <w:spacing w:before="40" w:after="40"/>
      </w:pPr>
    </w:p>
    <w:p>
      <w:pPr>
        <w:spacing w:before="0" w:after="80"/>
      </w:pPr>
    </w:p>
    <w:p>
      <w:pPr>
        <w:pStyle w:val="Heading2"/>
        <w:spacing w:before="240" w:after="80"/>
      </w:pPr>
      <w:r>
        <w:rPr>
          <w:rFonts w:ascii="Arial" w:cs="Arial" w:eastAsia="Arial" w:hAnsi="Arial"/>
          <w:b/>
          <w:bCs/>
          <w:color w:val="1F3864"/>
          <w:sz w:val="26"/>
          <w:szCs w:val="26"/>
        </w:rPr>
        <w:t xml:space="preserve">9.1  Summary of Differentiated Risk Profiles</w:t>
      </w:r>
    </w:p>
    <w:p>
      <w:pPr>
        <w:spacing w:before="80" w:after="120" w:line="276"/>
        <w:jc w:val="both"/>
      </w:pPr>
      <w:r>
        <w:rPr>
          <w:rFonts w:ascii="Arial" w:cs="Arial" w:eastAsia="Arial" w:hAnsi="Arial"/>
          <w:b w:val="false"/>
          <w:bCs w:val="false"/>
          <w:i w:val="false"/>
          <w:iCs w:val="false"/>
          <w:color w:val="000000"/>
          <w:sz w:val="22"/>
          <w:szCs w:val="22"/>
        </w:rPr>
        <w:t xml:space="preserve">The four states do not present interchangeable biological-risk profiles. Their threat postures differ in the character of official concern language, the nature and scale of their biological industrial base, the degree of opacity, the regional or global reach of their risk, and the specific pathways through which biological concern is most plausible.</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0F4FF" w:val="clear"/>
            <w:tcMar>
              <w:top w:type="dxa" w:w="120"/>
              <w:left w:type="dxa" w:w="200"/>
              <w:bottom w:type="dxa" w:w="120"/>
              <w:right w:type="dxa" w:w="200"/>
            </w:tcMar>
          </w:tcPr>
          <w:p>
            <w:pPr>
              <w:spacing w:before="0" w:after="60"/>
            </w:pPr>
            <w:r>
              <w:rPr>
                <w:rFonts w:ascii="Arial" w:cs="Arial" w:eastAsia="Arial" w:hAnsi="Arial"/>
                <w:b/>
                <w:bCs/>
                <w:color w:val="375623"/>
                <w:sz w:val="20"/>
                <w:szCs w:val="20"/>
              </w:rPr>
              <w:t xml:space="preserve">Russia:  </w:t>
            </w:r>
            <w:r>
              <w:rPr>
                <w:rFonts w:ascii="Arial" w:cs="Arial" w:eastAsia="Arial" w:hAnsi="Arial"/>
                <w:sz w:val="20"/>
                <w:szCs w:val="20"/>
              </w:rPr>
              <w:t xml:space="preserve">Highest direct official warning language. Expanding CBW threat stated explicitly by ODNI. Biological concern is embedded in a broader coercive escalation posture with demonstrated willingness to use unconventional tools and absorb international costs.</w:t>
            </w:r>
          </w:p>
          <w:p>
            <w:pPr>
              <w:spacing w:before="0" w:after="60"/>
            </w:pPr>
            <w:r>
              <w:rPr>
                <w:rFonts w:ascii="Arial" w:cs="Arial" w:eastAsia="Arial" w:hAnsi="Arial"/>
                <w:b/>
                <w:bCs/>
                <w:color w:val="7F6000"/>
                <w:sz w:val="20"/>
                <w:szCs w:val="20"/>
              </w:rPr>
              <w:t xml:space="preserve">China:  </w:t>
            </w:r>
            <w:r>
              <w:rPr>
                <w:rFonts w:ascii="Arial" w:cs="Arial" w:eastAsia="Arial" w:hAnsi="Arial"/>
                <w:sz w:val="20"/>
                <w:szCs w:val="20"/>
              </w:rPr>
              <w:t xml:space="preserve">Highest dual-use industrial scale and supply-chain leverage. Compliance concern stated by State Department. Strategic opacity complicates verification. Risk is as much about systemic capability and monitoring difficulty as about a specific operational program.</w:t>
            </w:r>
          </w:p>
          <w:p>
            <w:pPr>
              <w:spacing w:before="0" w:after="60"/>
            </w:pPr>
            <w:r>
              <w:rPr>
                <w:rFonts w:ascii="Arial" w:cs="Arial" w:eastAsia="Arial" w:hAnsi="Arial"/>
                <w:b/>
                <w:bCs/>
                <w:color w:val="7F6000"/>
                <w:sz w:val="20"/>
                <w:szCs w:val="20"/>
              </w:rPr>
              <w:t xml:space="preserve">Iran:  </w:t>
            </w:r>
            <w:r>
              <w:rPr>
                <w:rFonts w:ascii="Arial" w:cs="Arial" w:eastAsia="Arial" w:hAnsi="Arial"/>
                <w:sz w:val="20"/>
                <w:szCs w:val="20"/>
              </w:rPr>
              <w:t xml:space="preserve">Clearest official offensive-purpose intent language ('very likely aims to continue R&amp;D for offensive purposes'). Risk is most significant in a regional asymmetric and proxy-enabled context. Operational scope remains less publicly established.</w:t>
            </w:r>
          </w:p>
          <w:p>
            <w:pPr>
              <w:spacing w:before="0" w:after="60"/>
            </w:pPr>
            <w:r>
              <w:rPr>
                <w:rFonts w:ascii="Arial" w:cs="Arial" w:eastAsia="Arial" w:hAnsi="Arial"/>
                <w:b/>
                <w:bCs/>
                <w:color w:val="843C0C"/>
                <w:sz w:val="20"/>
                <w:szCs w:val="20"/>
              </w:rPr>
              <w:t xml:space="preserve">North Korea:  </w:t>
            </w:r>
            <w:r>
              <w:rPr>
                <w:rFonts w:ascii="Arial" w:cs="Arial" w:eastAsia="Arial" w:hAnsi="Arial"/>
                <w:sz w:val="20"/>
                <w:szCs w:val="20"/>
              </w:rPr>
              <w:t xml:space="preserve">Persistent WMD-centered coercive posture. Unconventional and clandestine use scenario explicitly noted by ODNI. Highest opacity of the four states. Risk is most relevant in crisis, conflict, or clandestine attack scenarios.</w:t>
            </w:r>
          </w:p>
        </w:tc>
      </w:tr>
    </w:tbl>
    <w:p>
      <w:pPr>
        <w:spacing w:before="0" w:after="140"/>
      </w:pPr>
    </w:p>
    <w:p>
      <w:pPr>
        <w:pStyle w:val="Heading2"/>
        <w:spacing w:before="240" w:after="80"/>
      </w:pPr>
      <w:r>
        <w:rPr>
          <w:rFonts w:ascii="Arial" w:cs="Arial" w:eastAsia="Arial" w:hAnsi="Arial"/>
          <w:b/>
          <w:bCs/>
          <w:color w:val="1F3864"/>
          <w:sz w:val="26"/>
          <w:szCs w:val="26"/>
        </w:rPr>
        <w:t xml:space="preserve">9.2  Comparative Matrix</w:t>
      </w:r>
    </w:p>
    <w:p>
      <w:pPr>
        <w:spacing w:before="60" w:after="80" w:line="276"/>
        <w:jc w:val="both"/>
      </w:pPr>
      <w:r>
        <w:rPr>
          <w:rFonts w:ascii="Arial" w:cs="Arial" w:eastAsia="Arial" w:hAnsi="Arial"/>
          <w:b w:val="false"/>
          <w:bCs w:val="false"/>
          <w:i/>
          <w:iCs/>
          <w:color w:val="595959"/>
          <w:sz w:val="20"/>
          <w:szCs w:val="20"/>
        </w:rPr>
        <w:t xml:space="preserve">The matrix below compares the four states across eight analytical dimensions. All assessments are based on official public-source reporting as described in Section III. A clean-reference version of this matrix appears in Appendix B.</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China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Russia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Iran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North Korea</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Official Concern Level</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concern; compliance questions under BWC Article I</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Highest of the four; ODNI explicitly states CBW threat is expanding</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ODNI uses explicit offensive-purpose intent language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ODNI explicitly notes CBW capabilities and possible use in conflict or clandestine attack</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Evidentiary Depth (Public Record)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official language is hedged ('most likely possesses capabilities relevant to CBW')</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Strongest; official U.S. language is the most direct and repeated of all four states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'very likely aims to continue R&amp;D' establishes intent concern but not operational proof</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official language is clear on capability concern but limited on force structure specifics</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Dual-Use Industrial Base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Highest of the four; largest pharmaceutical, biotech, and research ecosystem</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Significant; legacy Soviet-era CBW scientific infrastructure and continuing institute activity</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Moderate; not a bioindustrial power at scale, but regional research capacity is sufficient for R&amp;D concern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Limited; not a major biotech economy, but sufficient state-directed capacity for WMD program maintenance</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Stated / Inferred Offensive Relevance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dual-use scale and opacity are the primary concern; full operational scope not established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High; official reporting identifies expanding capability and research-and-development activity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High on intent; moderate on operational scope; official reporting directly states offensive-purpose R&amp;D concern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High on capability concern; unconventional and clandestine use is the stated risk scenario</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Attribution Difficulty</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size of ecosystem, supply-chain integration, and military-civil fusion complexity all impede attribution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state-directed covert operations (including chemical-weapon use in assassination attempts) demonstrate willingness to obscure state attribution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regional proxy networks, maritime activity, and deniable operations all complicate attribution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Very High; deliberate opacity, information denial, and the inaccessibility of DPRK programs make attribution extremely difficult</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Alliance / Cooperation Implications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Growing strategic cooperation with Russia; broader technology and economic leverage over many U.S. partners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Deepening cooperation with North Korea; limited but notable technology sharing with Iran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Deepening ties with Russia; proxy networks (Hizballah, others) create additional complexity for attribution and response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Deepening military-technical relationship with Russia; some linkage with Iran; no formal Western partner access</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Escalation Significance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Moderate to High; biotechnology leverage and opacity may matter more in a protracted strategic competition than in acute crisis</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Highest of the four; CBW concern is embedded within a broader coercive and nuclear escalation posture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Moderate to High; most relevant in a regional conflict or coercive escalation scenario, especially through deniable or clandestine channels</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unpredictability and WMD-centered regime survival logic make escalation calculus opaque and potentially nonlinear</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Primary Countermeasure Priority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Transparency pressure, CBM engagement, supply-chain and procurement governance, export controls, dual-use research oversight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Treaty pressure, deterrence signaling, allied coordination, attribution support, resilience and continuity planning</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Intelligence integration with regional partners, attribution capacity, deterrence signaling, export controls targeting procurement networks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Deterrence signaling, sanctions and procurement interdiction, allied early warning integration, continuity planning, medical countermeasure readiness</w:t>
            </w:r>
          </w:p>
        </w:tc>
      </w:tr>
    </w:tbl>
    <w:p>
      <w:pPr>
        <w:spacing w:before="0" w:after="160"/>
      </w:pPr>
    </w:p>
    <w:p>
      <w:pPr>
        <w:pStyle w:val="Heading2"/>
        <w:spacing w:before="240" w:after="80"/>
      </w:pPr>
      <w:r>
        <w:rPr>
          <w:rFonts w:ascii="Arial" w:cs="Arial" w:eastAsia="Arial" w:hAnsi="Arial"/>
          <w:b/>
          <w:bCs/>
          <w:color w:val="1F3864"/>
          <w:sz w:val="26"/>
          <w:szCs w:val="26"/>
        </w:rPr>
        <w:t xml:space="preserve">9.3  The Shared Policy Problem</w:t>
      </w:r>
    </w:p>
    <w:p>
      <w:pPr>
        <w:spacing w:before="80" w:after="120" w:line="276"/>
        <w:jc w:val="both"/>
      </w:pPr>
      <w:r>
        <w:rPr>
          <w:rFonts w:ascii="Arial" w:cs="Arial" w:eastAsia="Arial" w:hAnsi="Arial"/>
          <w:b w:val="false"/>
          <w:bCs w:val="false"/>
          <w:i w:val="false"/>
          <w:iCs w:val="false"/>
          <w:color w:val="000000"/>
          <w:sz w:val="22"/>
          <w:szCs w:val="22"/>
        </w:rPr>
        <w:t xml:space="preserve">What the four states share is not identical capability or identical intent. What they share is a common interest in strategic opacity, a common operating environment with weak treaty verification, and — increasingly — a pattern of cooperation that compounds individual threats.</w:t>
      </w:r>
    </w:p>
    <w:p>
      <w:pPr>
        <w:spacing w:before="80" w:after="120" w:line="276"/>
        <w:jc w:val="both"/>
      </w:pPr>
      <w:r>
        <w:rPr>
          <w:rFonts w:ascii="Arial" w:cs="Arial" w:eastAsia="Arial" w:hAnsi="Arial"/>
          <w:b w:val="false"/>
          <w:bCs w:val="false"/>
          <w:i w:val="false"/>
          <w:iCs w:val="false"/>
          <w:color w:val="000000"/>
          <w:sz w:val="22"/>
          <w:szCs w:val="22"/>
        </w:rPr>
        <w:t xml:space="preserve">The shared policy problem is therefore comparative rather than uniform: how to govern risk in a world where transparency is weak, dual-use science is expanding, and adversarial cooperation increases strategic stress even when the public record does not support exhaustive certainty. The comparative analysis here is not intended to rank these states by danger in absolute terms, but to identify the specific character of each threat and the specific policy instruments most relevant to each case.</w:t>
      </w:r>
    </w:p>
    <w:p>
      <w:pPr>
        <w:spacing w:before="0" w:after="160"/>
      </w:pPr>
    </w:p>
    <w:p>
      <w:r>
        <w:br w:type="page"/>
      </w:r>
    </w:p>
    <w:p>
      <w:pPr>
        <w:spacing w:before="0" w:after="60"/>
      </w:pPr>
      <w:r>
        <w:rPr>
          <w:rFonts w:ascii="Arial" w:cs="Arial" w:eastAsia="Arial" w:hAnsi="Arial"/>
          <w:b/>
          <w:bCs/>
          <w:color w:val="C00000"/>
          <w:sz w:val="18"/>
          <w:szCs w:val="18"/>
        </w:rPr>
        <w:t xml:space="preserve">SECTION X</w:t>
      </w:r>
    </w:p>
    <w:p>
      <w:pPr>
        <w:pStyle w:val="Heading1"/>
        <w:spacing w:before="360" w:after="120"/>
      </w:pPr>
      <w:r>
        <w:rPr>
          <w:rFonts w:ascii="Arial" w:cs="Arial" w:eastAsia="Arial" w:hAnsi="Arial"/>
          <w:b/>
          <w:bCs/>
          <w:color w:val="1F3864"/>
          <w:sz w:val="32"/>
          <w:szCs w:val="32"/>
        </w:rPr>
        <w:t xml:space="preserve">Countering State Biological Weapons Risk: U.S. and Allied Prevention, Detection, and Mitigation Options</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The most credible defensive response to the threat picture described in Sections V–IX is layered, not singular. No single instrument — treaty pressure, surveillance, biosecurity, or medical preparedness — is sufficient. This section addresses six components of a complete countermeasure architecture, each tied to existing legal and institutional authorities.</w:t>
      </w:r>
    </w:p>
    <w:p>
      <w:pPr>
        <w:spacing w:before="0" w:after="100"/>
      </w:pPr>
    </w:p>
    <w:p>
      <w:pPr>
        <w:pStyle w:val="Heading2"/>
        <w:spacing w:before="240" w:after="80"/>
      </w:pPr>
      <w:r>
        <w:rPr>
          <w:rFonts w:ascii="Arial" w:cs="Arial" w:eastAsia="Arial" w:hAnsi="Arial"/>
          <w:b/>
          <w:bCs/>
          <w:color w:val="1F3864"/>
          <w:sz w:val="26"/>
          <w:szCs w:val="26"/>
        </w:rPr>
        <w:t xml:space="preserve">10.1  Prevention</w:t>
      </w:r>
    </w:p>
    <w:p>
      <w:pPr>
        <w:spacing w:before="80" w:after="120" w:line="276"/>
        <w:jc w:val="both"/>
      </w:pPr>
      <w:r>
        <w:rPr>
          <w:rFonts w:ascii="Arial" w:cs="Arial" w:eastAsia="Arial" w:hAnsi="Arial"/>
          <w:sz w:val="22"/>
          <w:szCs w:val="22"/>
        </w:rPr>
        <w:t xml:space="preserve">Prevention should emphasize stronger BWC diplomacy, higher-quality and more complete CBM participation, national implementation measures, export and procurement scrutiny where legally supportable, and tighter domestic and allied biosecurity governance. The BWC's legal prohibition is clear; the practical challenge is building political and institutional pressure for greater transparency across states parties, including the four assessed here.  </w:t>
      </w:r>
      <w:r>
        <w:rPr>
          <w:rFonts w:ascii="Arial" w:cs="Arial" w:eastAsia="Arial" w:hAnsi="Arial"/>
          <w:sz w:val="18"/>
          <w:szCs w:val="18"/>
          <w:vertAlign w:val="superscript"/>
        </w:rPr>
        <w:t xml:space="preserve">²⁻³</w:t>
      </w:r>
    </w:p>
    <w:p>
      <w:pPr>
        <w:spacing w:before="80" w:after="120" w:line="276"/>
        <w:jc w:val="both"/>
      </w:pPr>
      <w:r>
        <w:rPr>
          <w:rFonts w:ascii="Arial" w:cs="Arial" w:eastAsia="Arial" w:hAnsi="Arial"/>
          <w:sz w:val="22"/>
          <w:szCs w:val="22"/>
        </w:rPr>
        <w:t xml:space="preserve">UNSCR 1540 supports export controls and counter-proliferation measures as binding obligations on all UN member states. Where procurement networks can be identified through public-source or allied reporting, export controls and sanctions can reduce the material inputs available to prohibited programs.  </w:t>
      </w:r>
      <w:r>
        <w:rPr>
          <w:rFonts w:ascii="Arial" w:cs="Arial" w:eastAsia="Arial" w:hAnsi="Arial"/>
          <w:sz w:val="18"/>
          <w:szCs w:val="18"/>
          <w:vertAlign w:val="superscript"/>
        </w:rPr>
        <w:t xml:space="preserve">⁸</w:t>
      </w:r>
    </w:p>
    <w:p>
      <w:pPr>
        <w:spacing w:before="0" w:after="80"/>
      </w:pPr>
    </w:p>
    <w:p>
      <w:pPr>
        <w:pStyle w:val="Heading2"/>
        <w:spacing w:before="240" w:after="80"/>
      </w:pPr>
      <w:r>
        <w:rPr>
          <w:rFonts w:ascii="Arial" w:cs="Arial" w:eastAsia="Arial" w:hAnsi="Arial"/>
          <w:b/>
          <w:bCs/>
          <w:color w:val="1F3864"/>
          <w:sz w:val="26"/>
          <w:szCs w:val="26"/>
        </w:rPr>
        <w:t xml:space="preserve">10.2  Detection</w:t>
      </w:r>
    </w:p>
    <w:p>
      <w:pPr>
        <w:spacing w:before="80" w:after="120" w:line="276"/>
        <w:jc w:val="both"/>
      </w:pPr>
      <w:r>
        <w:rPr>
          <w:rFonts w:ascii="Arial" w:cs="Arial" w:eastAsia="Arial" w:hAnsi="Arial"/>
          <w:sz w:val="22"/>
          <w:szCs w:val="22"/>
        </w:rPr>
        <w:t xml:space="preserve">Detection should emphasize integrated syndromic and genomic surveillance, stronger anomaly detection across public health and laboratory systems, and faster fusion of health, regulatory, and national-security information streams. The National Biodefense Strategy explicitly frames biodefense as an all-hazards mission against deliberate, accidental, and naturally occurring biological threats — a framing that aligns detection architecture with both public health and national-security purposes.  </w:t>
      </w:r>
      <w:r>
        <w:rPr>
          <w:rFonts w:ascii="Arial" w:cs="Arial" w:eastAsia="Arial" w:hAnsi="Arial"/>
          <w:sz w:val="18"/>
          <w:szCs w:val="18"/>
          <w:vertAlign w:val="superscript"/>
        </w:rPr>
        <w:t xml:space="preserve">⁵</w:t>
      </w:r>
    </w:p>
    <w:p>
      <w:pPr>
        <w:spacing w:before="80" w:after="120" w:line="276"/>
        <w:jc w:val="both"/>
      </w:pPr>
      <w:r>
        <w:rPr>
          <w:rFonts w:ascii="Arial" w:cs="Arial" w:eastAsia="Arial" w:hAnsi="Arial"/>
          <w:b w:val="false"/>
          <w:bCs w:val="false"/>
          <w:i w:val="false"/>
          <w:iCs w:val="false"/>
          <w:color w:val="000000"/>
          <w:sz w:val="22"/>
          <w:szCs w:val="22"/>
        </w:rPr>
        <w:t xml:space="preserve">Delayed recognition is identified in this paper as the most significant near-term vulnerability. Detection investment that reduces the interval between event onset and confident characterization is therefore among the highest-priority policy actions. Allied genomic and syndromic surveillance integration — allowing comparison of epidemiological baselines across jurisdictions — is a specific and actionable near-term policy objective.</w:t>
      </w:r>
    </w:p>
    <w:p>
      <w:pPr>
        <w:spacing w:before="0" w:after="80"/>
      </w:pPr>
    </w:p>
    <w:p>
      <w:pPr>
        <w:pStyle w:val="Heading2"/>
        <w:spacing w:before="240" w:after="80"/>
      </w:pPr>
      <w:r>
        <w:rPr>
          <w:rFonts w:ascii="Arial" w:cs="Arial" w:eastAsia="Arial" w:hAnsi="Arial"/>
          <w:b/>
          <w:bCs/>
          <w:color w:val="1F3864"/>
          <w:sz w:val="26"/>
          <w:szCs w:val="26"/>
        </w:rPr>
        <w:t xml:space="preserve">10.3  Denial</w:t>
      </w:r>
    </w:p>
    <w:p>
      <w:pPr>
        <w:spacing w:before="80" w:after="120" w:line="276"/>
        <w:jc w:val="both"/>
      </w:pPr>
      <w:r>
        <w:rPr>
          <w:rFonts w:ascii="Arial" w:cs="Arial" w:eastAsia="Arial" w:hAnsi="Arial"/>
          <w:sz w:val="22"/>
          <w:szCs w:val="22"/>
        </w:rPr>
        <w:t xml:space="preserve">Denial should emphasize secure stewardship of high-consequence agents and tighter governance of higher-risk research ecosystems. The Federal Select Agent Program oversees possession, use, and transfer of select agents and toxins; inspects regulated entities; maintains a national database; and requires FBI security risk assessments for individuals working with covered agents.  </w:t>
      </w:r>
      <w:r>
        <w:rPr>
          <w:rFonts w:ascii="Arial" w:cs="Arial" w:eastAsia="Arial" w:hAnsi="Arial"/>
          <w:sz w:val="18"/>
          <w:szCs w:val="18"/>
          <w:vertAlign w:val="superscript"/>
        </w:rPr>
        <w:t xml:space="preserve">⁷</w:t>
      </w:r>
    </w:p>
    <w:p>
      <w:pPr>
        <w:spacing w:before="80" w:after="120" w:line="276"/>
        <w:jc w:val="both"/>
      </w:pPr>
      <w:r>
        <w:rPr>
          <w:rFonts w:ascii="Arial" w:cs="Arial" w:eastAsia="Arial" w:hAnsi="Arial"/>
          <w:sz w:val="22"/>
          <w:szCs w:val="22"/>
        </w:rPr>
        <w:t xml:space="preserve">The 2024 U.S. DURC/PEPP policy provides a federal framework for oversight of dual-use research of concern and pathogens with enhanced pandemic potential. This policy is designed to preserve legitimate scientific benefit while minimizing the risk that federally funded research contributes to biosafety or biosecurity risk — a direct application of the dual-use challenge described in Sections I and IV.  </w:t>
      </w:r>
      <w:r>
        <w:rPr>
          <w:rFonts w:ascii="Arial" w:cs="Arial" w:eastAsia="Arial" w:hAnsi="Arial"/>
          <w:sz w:val="18"/>
          <w:szCs w:val="18"/>
          <w:vertAlign w:val="superscript"/>
        </w:rPr>
        <w:t xml:space="preserve">⁶</w:t>
      </w:r>
    </w:p>
    <w:p>
      <w:pPr>
        <w:spacing w:before="0" w:after="80"/>
      </w:pPr>
    </w:p>
    <w:p>
      <w:pPr>
        <w:pStyle w:val="Heading2"/>
        <w:spacing w:before="240" w:after="80"/>
      </w:pPr>
      <w:r>
        <w:rPr>
          <w:rFonts w:ascii="Arial" w:cs="Arial" w:eastAsia="Arial" w:hAnsi="Arial"/>
          <w:b/>
          <w:bCs/>
          <w:color w:val="1F3864"/>
          <w:sz w:val="26"/>
          <w:szCs w:val="26"/>
        </w:rPr>
        <w:t xml:space="preserve">10.4  Mitigation</w:t>
      </w:r>
    </w:p>
    <w:p>
      <w:pPr>
        <w:spacing w:before="80" w:after="120" w:line="276"/>
        <w:jc w:val="both"/>
      </w:pPr>
      <w:r>
        <w:rPr>
          <w:rFonts w:ascii="Arial" w:cs="Arial" w:eastAsia="Arial" w:hAnsi="Arial"/>
          <w:sz w:val="22"/>
          <w:szCs w:val="22"/>
        </w:rPr>
        <w:t xml:space="preserve">Mitigation should emphasize platform-based medical countermeasures, surge diagnostic capacity, continuity planning, communications discipline, and allied mutual-support arrangements. WHO's laboratory biosecurity guidance and the National Biodefense Strategy both support a consequence-driven, risk-based approach that spans collection, transport, storage, research, and institutional oversight.  </w:t>
      </w:r>
      <w:r>
        <w:rPr>
          <w:rFonts w:ascii="Arial" w:cs="Arial" w:eastAsia="Arial" w:hAnsi="Arial"/>
          <w:sz w:val="18"/>
          <w:szCs w:val="18"/>
          <w:vertAlign w:val="superscript"/>
        </w:rPr>
        <w:t xml:space="preserve">⁵⁻⁹</w:t>
      </w:r>
    </w:p>
    <w:p>
      <w:pPr>
        <w:spacing w:before="80" w:after="120" w:line="276"/>
        <w:jc w:val="both"/>
      </w:pPr>
      <w:r>
        <w:rPr>
          <w:rFonts w:ascii="Arial" w:cs="Arial" w:eastAsia="Arial" w:hAnsi="Arial"/>
          <w:b w:val="false"/>
          <w:bCs w:val="false"/>
          <w:i w:val="false"/>
          <w:iCs w:val="false"/>
          <w:color w:val="000000"/>
          <w:sz w:val="22"/>
          <w:szCs w:val="22"/>
        </w:rPr>
        <w:t xml:space="preserve">Mitigation planning should explicitly address the deliberate event scenario — including the possibility that an event initially presents as a natural outbreak and that public health and emergency systems may respond under natural-disease assumptions before deliberate intent is established.</w:t>
      </w:r>
    </w:p>
    <w:p>
      <w:pPr>
        <w:spacing w:before="0" w:after="80"/>
      </w:pPr>
    </w:p>
    <w:p>
      <w:pPr>
        <w:pStyle w:val="Heading2"/>
        <w:spacing w:before="240" w:after="80"/>
      </w:pPr>
      <w:r>
        <w:rPr>
          <w:rFonts w:ascii="Arial" w:cs="Arial" w:eastAsia="Arial" w:hAnsi="Arial"/>
          <w:b/>
          <w:bCs/>
          <w:color w:val="1F3864"/>
          <w:sz w:val="26"/>
          <w:szCs w:val="26"/>
        </w:rPr>
        <w:t xml:space="preserve">10.5  Attribution Support</w:t>
      </w:r>
    </w:p>
    <w:p>
      <w:pPr>
        <w:spacing w:before="80" w:after="120" w:line="276"/>
        <w:jc w:val="both"/>
      </w:pPr>
      <w:r>
        <w:rPr>
          <w:rFonts w:ascii="Arial" w:cs="Arial" w:eastAsia="Arial" w:hAnsi="Arial"/>
          <w:sz w:val="22"/>
          <w:szCs w:val="22"/>
        </w:rPr>
        <w:t xml:space="preserve">Attribution support should rely on stronger evidence preservation standards, agreed consultative pathways, and multilateral legal frameworks established before an event occurs, not during one. The BWC's Articles V and VI provide for consultation, cooperation, and UNSC referral. UNODA has documented the UN Secretary-General's mechanism as a potential investigation pathway. These tools are available but have historically been underused.  </w:t>
      </w:r>
      <w:r>
        <w:rPr>
          <w:rFonts w:ascii="Arial" w:cs="Arial" w:eastAsia="Arial" w:hAnsi="Arial"/>
          <w:sz w:val="18"/>
          <w:szCs w:val="18"/>
          <w:vertAlign w:val="superscript"/>
        </w:rPr>
        <w:t xml:space="preserve">²⁻³</w:t>
      </w:r>
    </w:p>
    <w:p>
      <w:pPr>
        <w:spacing w:before="80" w:after="120" w:line="276"/>
        <w:jc w:val="both"/>
      </w:pPr>
      <w:r>
        <w:rPr>
          <w:rFonts w:ascii="Arial" w:cs="Arial" w:eastAsia="Arial" w:hAnsi="Arial"/>
          <w:b w:val="false"/>
          <w:bCs w:val="false"/>
          <w:i w:val="false"/>
          <w:iCs w:val="false"/>
          <w:color w:val="000000"/>
          <w:sz w:val="22"/>
          <w:szCs w:val="22"/>
        </w:rPr>
        <w:t xml:space="preserve">The most actionable near-term attribution investment is domestic and allied forensic protocol standardization, evidence-chain-of-custody agreements, and joint tabletop exercises designed to compress the time from biological event to credible attribution in a scenario where deliberate state action is a leading hypothesis from the outset.</w:t>
      </w:r>
    </w:p>
    <w:p>
      <w:pPr>
        <w:spacing w:before="0" w:after="80"/>
      </w:pPr>
    </w:p>
    <w:p>
      <w:pPr>
        <w:pStyle w:val="Heading2"/>
        <w:spacing w:before="240" w:after="80"/>
      </w:pPr>
      <w:r>
        <w:rPr>
          <w:rFonts w:ascii="Arial" w:cs="Arial" w:eastAsia="Arial" w:hAnsi="Arial"/>
          <w:b/>
          <w:bCs/>
          <w:color w:val="1F3864"/>
          <w:sz w:val="26"/>
          <w:szCs w:val="26"/>
        </w:rPr>
        <w:t xml:space="preserve">10.6  Resilience</w:t>
      </w:r>
    </w:p>
    <w:p>
      <w:pPr>
        <w:spacing w:before="80" w:after="120" w:line="276"/>
        <w:jc w:val="both"/>
      </w:pPr>
      <w:r>
        <w:rPr>
          <w:rFonts w:ascii="Arial" w:cs="Arial" w:eastAsia="Arial" w:hAnsi="Arial"/>
          <w:b w:val="false"/>
          <w:bCs w:val="false"/>
          <w:i w:val="false"/>
          <w:iCs w:val="false"/>
          <w:color w:val="000000"/>
          <w:sz w:val="22"/>
          <w:szCs w:val="22"/>
        </w:rPr>
        <w:t xml:space="preserve">Resilience should emphasize public communication planning, health-system interoperability, continuity of government, and allied crisis information-sharing. The strongest argument for resilience investment is not deterrence — it is risk reduction under uncertainty. In a scenario where attribution is delayed or contested, political and social resilience determines whether a biological event fragments allied response or strengthens it.</w:t>
      </w:r>
    </w:p>
    <w:p>
      <w:pPr>
        <w:spacing w:before="80" w:after="120" w:line="276"/>
        <w:jc w:val="both"/>
      </w:pPr>
      <w:r>
        <w:rPr>
          <w:rFonts w:ascii="Arial" w:cs="Arial" w:eastAsia="Arial" w:hAnsi="Arial"/>
          <w:b w:val="false"/>
          <w:bCs w:val="false"/>
          <w:i w:val="false"/>
          <w:iCs w:val="false"/>
          <w:color w:val="000000"/>
          <w:sz w:val="22"/>
          <w:szCs w:val="22"/>
        </w:rPr>
        <w:t xml:space="preserve">Resilience planning should also address the information environment. A state actor that initiates a deliberate biological event may simultaneously conduct disinformation operations designed to attribute the event elsewhere, delay recognition, or undermine the credibility of U.S. and allied assessments. Communication planning that anticipates this environment is a core resilience investment.</w:t>
      </w:r>
    </w:p>
    <w:p>
      <w:pPr>
        <w:spacing w:before="0" w:after="160"/>
      </w:pPr>
    </w:p>
    <w:p>
      <w:r>
        <w:br w:type="page"/>
      </w:r>
    </w:p>
    <w:p>
      <w:pPr>
        <w:spacing w:before="0" w:after="60"/>
      </w:pPr>
      <w:r>
        <w:rPr>
          <w:rFonts w:ascii="Arial" w:cs="Arial" w:eastAsia="Arial" w:hAnsi="Arial"/>
          <w:b/>
          <w:bCs/>
          <w:color w:val="C00000"/>
          <w:sz w:val="18"/>
          <w:szCs w:val="18"/>
        </w:rPr>
        <w:t xml:space="preserve">SECTION XI</w:t>
      </w:r>
    </w:p>
    <w:p>
      <w:pPr>
        <w:pStyle w:val="Heading1"/>
        <w:spacing w:before="360" w:after="120"/>
      </w:pPr>
      <w:r>
        <w:rPr>
          <w:rFonts w:ascii="Arial" w:cs="Arial" w:eastAsia="Arial" w:hAnsi="Arial"/>
          <w:b/>
          <w:bCs/>
          <w:color w:val="1F3864"/>
          <w:sz w:val="32"/>
          <w:szCs w:val="32"/>
        </w:rPr>
        <w:t xml:space="preserve">Legal and Policy Authorities</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This section identifies the legal and regulatory framework within which the countermeasure architecture in Section X operates. The principal point is that legal authority for a layered defensive response already exists. The gap is not in authority; it is in consistent implementation, allied coordination, and sustained investment.</w:t>
      </w:r>
    </w:p>
    <w:p>
      <w:pPr>
        <w:spacing w:before="0" w:after="80"/>
      </w:pPr>
    </w:p>
    <w:p>
      <w:pPr>
        <w:pStyle w:val="Heading2"/>
        <w:spacing w:before="240" w:after="80"/>
      </w:pPr>
      <w:r>
        <w:rPr>
          <w:rFonts w:ascii="Arial" w:cs="Arial" w:eastAsia="Arial" w:hAnsi="Arial"/>
          <w:b/>
          <w:bCs/>
          <w:color w:val="1F3864"/>
          <w:sz w:val="26"/>
          <w:szCs w:val="26"/>
        </w:rPr>
        <w:t xml:space="preserve">11.1  International Legal Framework</w:t>
      </w:r>
    </w:p>
    <w:p>
      <w:pPr>
        <w:spacing w:before="80" w:after="120" w:line="276"/>
        <w:jc w:val="both"/>
      </w:pPr>
      <w:r>
        <w:rPr>
          <w:rFonts w:ascii="Arial" w:cs="Arial" w:eastAsia="Arial" w:hAnsi="Arial"/>
          <w:sz w:val="22"/>
          <w:szCs w:val="22"/>
        </w:rPr>
        <w:t xml:space="preserve">The Biological Weapons Convention remains the central international legal prohibition on the development, production, acquisition, transfer, stockpiling, and use of biological and toxin weapons. Article I contains the core prohibition. Article IV requires states parties to enact national implementing legislation. Articles V and VI provide for consultation, cooperation, and UN Security Council referral in cases of compliance concern.  </w:t>
      </w:r>
      <w:r>
        <w:rPr>
          <w:rFonts w:ascii="Arial" w:cs="Arial" w:eastAsia="Arial" w:hAnsi="Arial"/>
          <w:sz w:val="18"/>
          <w:szCs w:val="18"/>
          <w:vertAlign w:val="superscript"/>
        </w:rPr>
        <w:t xml:space="preserve">²</w:t>
      </w:r>
    </w:p>
    <w:p>
      <w:pPr>
        <w:spacing w:before="80" w:after="120" w:line="276"/>
        <w:jc w:val="both"/>
      </w:pPr>
      <w:r>
        <w:rPr>
          <w:rFonts w:ascii="Arial" w:cs="Arial" w:eastAsia="Arial" w:hAnsi="Arial"/>
          <w:sz w:val="22"/>
          <w:szCs w:val="22"/>
        </w:rPr>
        <w:t xml:space="preserve">The BWC Confidence-Building Measures process, administered by UNODA, requires states parties to make annual declarations covering research centers and laboratories, national biological defense programs, outbreaks of unusual disease, national legislation, past offensive and defensive activities, and vaccine production facilities. The CBM process is voluntary and unverified, but it represents the primary transparency mechanism available within the treaty regime.  </w:t>
      </w:r>
      <w:r>
        <w:rPr>
          <w:rFonts w:ascii="Arial" w:cs="Arial" w:eastAsia="Arial" w:hAnsi="Arial"/>
          <w:sz w:val="18"/>
          <w:szCs w:val="18"/>
          <w:vertAlign w:val="superscript"/>
        </w:rPr>
        <w:t xml:space="preserve">³</w:t>
      </w:r>
    </w:p>
    <w:p>
      <w:pPr>
        <w:spacing w:before="80" w:after="120" w:line="276"/>
        <w:jc w:val="both"/>
      </w:pPr>
      <w:r>
        <w:rPr>
          <w:rFonts w:ascii="Arial" w:cs="Arial" w:eastAsia="Arial" w:hAnsi="Arial"/>
          <w:sz w:val="22"/>
          <w:szCs w:val="22"/>
        </w:rPr>
        <w:t xml:space="preserve">UN Security Council Resolution 1540 imposes binding obligations on all UN member states to adopt legislation preventing the proliferation of nuclear, chemical, and biological weapons, including to non-state actors, and to establish effective export controls and border-security measures. Its limitation is that implementation and enforcement vary significantly across member states, and the 1540 Committee has no inspectorate and relies on national self-reporting for compliance review.</w:t>
      </w:r>
      <w:r>
        <w:rPr>
          <w:rFonts w:ascii="Arial" w:cs="Arial" w:eastAsia="Arial" w:hAnsi="Arial"/>
          <w:sz w:val="18"/>
          <w:szCs w:val="18"/>
          <w:vertAlign w:val="superscript"/>
        </w:rPr>
        <w:t xml:space="preserve">⁸</w:t>
      </w:r>
    </w:p>
    <w:p>
      <w:pPr>
        <w:spacing w:before="80" w:after="120" w:line="276"/>
        <w:jc w:val="both"/>
      </w:pPr>
      <w:r>
        <w:rPr>
          <w:rFonts w:ascii="Arial" w:cs="Arial" w:eastAsia="Arial" w:hAnsi="Arial"/>
          <w:sz w:val="22"/>
          <w:szCs w:val="22"/>
        </w:rPr>
        <w:t xml:space="preserve">WHO's laboratory biosecurity guidance, including the 2024 WHA77.7 resolution, provides an internationally recognized framework for practical biosecurity risk management across laboratory operations, transport, and institutional oversight.  </w:t>
      </w:r>
      <w:r>
        <w:rPr>
          <w:rFonts w:ascii="Arial" w:cs="Arial" w:eastAsia="Arial" w:hAnsi="Arial"/>
          <w:sz w:val="18"/>
          <w:szCs w:val="18"/>
          <w:vertAlign w:val="superscript"/>
        </w:rPr>
        <w:t xml:space="preserve">⁹</w:t>
      </w:r>
    </w:p>
    <w:p>
      <w:pPr>
        <w:spacing w:before="0" w:after="80"/>
      </w:pPr>
    </w:p>
    <w:p>
      <w:pPr>
        <w:pStyle w:val="Heading2"/>
        <w:spacing w:before="240" w:after="80"/>
      </w:pPr>
      <w:r>
        <w:rPr>
          <w:rFonts w:ascii="Arial" w:cs="Arial" w:eastAsia="Arial" w:hAnsi="Arial"/>
          <w:b/>
          <w:bCs/>
          <w:color w:val="1F3864"/>
          <w:sz w:val="26"/>
          <w:szCs w:val="26"/>
        </w:rPr>
        <w:t xml:space="preserve">11.2  U.S. Legal and Regulatory Framework</w:t>
      </w:r>
    </w:p>
    <w:p>
      <w:pPr>
        <w:spacing w:before="80" w:after="120" w:line="276"/>
        <w:jc w:val="both"/>
      </w:pPr>
      <w:r>
        <w:rPr>
          <w:rFonts w:ascii="Arial" w:cs="Arial" w:eastAsia="Arial" w:hAnsi="Arial"/>
          <w:sz w:val="22"/>
          <w:szCs w:val="22"/>
        </w:rPr>
        <w:t xml:space="preserve">The Federal Select Agent Program establishes the primary U.S. domestic governance framework for possession, use, and transfer of biological select agents and toxins. It operates through registration, inspection, personnel vetting, FBI security risk assessment, and national database maintenance. The program covers both human and agricultural pathogens.  </w:t>
      </w:r>
      <w:r>
        <w:rPr>
          <w:rFonts w:ascii="Arial" w:cs="Arial" w:eastAsia="Arial" w:hAnsi="Arial"/>
          <w:sz w:val="18"/>
          <w:szCs w:val="18"/>
          <w:vertAlign w:val="superscript"/>
        </w:rPr>
        <w:t xml:space="preserve">⁷</w:t>
      </w:r>
    </w:p>
    <w:p>
      <w:pPr>
        <w:spacing w:before="80" w:after="120" w:line="276"/>
        <w:jc w:val="both"/>
      </w:pPr>
      <w:r>
        <w:rPr>
          <w:rFonts w:ascii="Arial" w:cs="Arial" w:eastAsia="Arial" w:hAnsi="Arial"/>
          <w:sz w:val="22"/>
          <w:szCs w:val="22"/>
        </w:rPr>
        <w:t xml:space="preserve">The 2024 U.S. Government Policy for Oversight of Dual Use Research of Concern and Pathogens with Enhanced Pandemic Potential establishes a federal review framework for research with the potential to produce enhanced-danger pathogens or information applicable to harmful purposes. It requires both institutional review and federal oversight for covered research.  </w:t>
      </w:r>
      <w:r>
        <w:rPr>
          <w:rFonts w:ascii="Arial" w:cs="Arial" w:eastAsia="Arial" w:hAnsi="Arial"/>
          <w:sz w:val="18"/>
          <w:szCs w:val="18"/>
          <w:vertAlign w:val="superscript"/>
        </w:rPr>
        <w:t xml:space="preserve">⁶</w:t>
      </w:r>
    </w:p>
    <w:p>
      <w:pPr>
        <w:spacing w:before="80" w:after="120" w:line="276"/>
        <w:jc w:val="both"/>
      </w:pPr>
      <w:r>
        <w:rPr>
          <w:rFonts w:ascii="Arial" w:cs="Arial" w:eastAsia="Arial" w:hAnsi="Arial"/>
          <w:sz w:val="22"/>
          <w:szCs w:val="22"/>
        </w:rPr>
        <w:t xml:space="preserve">The National Biodefense Strategy and Implementation Plan provides the executive-level policy framework that integrates prevention, protection, detection, response, and recovery across all biological risk categories — deliberate, accidental, and naturally occurring.  </w:t>
      </w:r>
      <w:r>
        <w:rPr>
          <w:rFonts w:ascii="Arial" w:cs="Arial" w:eastAsia="Arial" w:hAnsi="Arial"/>
          <w:sz w:val="18"/>
          <w:szCs w:val="18"/>
          <w:vertAlign w:val="superscript"/>
        </w:rPr>
        <w:t xml:space="preserve">⁵</w:t>
      </w:r>
    </w:p>
    <w:p>
      <w:pPr>
        <w:spacing w:before="80" w:after="120" w:line="276"/>
        <w:jc w:val="both"/>
      </w:pPr>
      <w:r>
        <w:rPr>
          <w:rFonts w:ascii="Arial" w:cs="Arial" w:eastAsia="Arial" w:hAnsi="Arial"/>
          <w:b w:val="false"/>
          <w:bCs w:val="false"/>
          <w:i w:val="false"/>
          <w:iCs w:val="false"/>
          <w:color w:val="000000"/>
          <w:sz w:val="22"/>
          <w:szCs w:val="22"/>
        </w:rPr>
        <w:t xml:space="preserve">DOJ law-enforcement authorities under relevant U.S. statute provide criminal penalties for biological weapons development, production, and use. These authorities are available for domestic enforcement but have limited applicability against foreign state programs.</w:t>
      </w:r>
    </w:p>
    <w:p>
      <w:pPr>
        <w:spacing w:before="0" w:after="80"/>
      </w:pPr>
    </w:p>
    <w:p>
      <w:pPr>
        <w:pStyle w:val="Heading2"/>
        <w:spacing w:before="240" w:after="80"/>
      </w:pPr>
      <w:r>
        <w:rPr>
          <w:rFonts w:ascii="Arial" w:cs="Arial" w:eastAsia="Arial" w:hAnsi="Arial"/>
          <w:b/>
          <w:bCs/>
          <w:color w:val="1F3864"/>
          <w:sz w:val="26"/>
          <w:szCs w:val="26"/>
        </w:rPr>
        <w:t xml:space="preserve">11.3  The Implementation Gap</w:t>
      </w:r>
    </w:p>
    <w:p>
      <w:pPr>
        <w:spacing w:before="80" w:after="120" w:line="276"/>
        <w:jc w:val="both"/>
      </w:pPr>
      <w:r>
        <w:rPr>
          <w:rFonts w:ascii="Arial" w:cs="Arial" w:eastAsia="Arial" w:hAnsi="Arial"/>
          <w:b w:val="false"/>
          <w:bCs w:val="false"/>
          <w:i w:val="false"/>
          <w:iCs w:val="false"/>
          <w:color w:val="000000"/>
          <w:sz w:val="22"/>
          <w:szCs w:val="22"/>
        </w:rPr>
        <w:t xml:space="preserve">The legal architecture described above is real and actionable. The consistent challenge is implementation: incomplete CBM participation by key states parties, uneven national-level enforcement of UNSCR 1540 obligations, gaps in allied biosurveillance data-sharing, and the persistent difficulty of applying domestic law-enforcement tools against foreign state biological programs that operate outside U.S. jurisdiction.</w:t>
      </w:r>
    </w:p>
    <w:p>
      <w:pPr>
        <w:spacing w:before="80" w:after="120" w:line="276"/>
        <w:jc w:val="both"/>
      </w:pPr>
      <w:r>
        <w:rPr>
          <w:rFonts w:ascii="Arial" w:cs="Arial" w:eastAsia="Arial" w:hAnsi="Arial"/>
          <w:b w:val="false"/>
          <w:bCs w:val="false"/>
          <w:i w:val="false"/>
          <w:iCs w:val="false"/>
          <w:color w:val="000000"/>
          <w:sz w:val="22"/>
          <w:szCs w:val="22"/>
        </w:rPr>
        <w:t xml:space="preserve">The most important policy implication of this section is that closing the implementation gap — not creating new legal authority — is the primary legislative and executive challenge in the current threat environment.</w:t>
      </w:r>
    </w:p>
    <w:p>
      <w:pPr>
        <w:spacing w:before="0" w:after="160"/>
      </w:pPr>
    </w:p>
    <w:p>
      <w:r>
        <w:br w:type="page"/>
      </w:r>
    </w:p>
    <w:p>
      <w:pPr>
        <w:spacing w:before="0" w:after="60"/>
      </w:pPr>
      <w:r>
        <w:rPr>
          <w:rFonts w:ascii="Arial" w:cs="Arial" w:eastAsia="Arial" w:hAnsi="Arial"/>
          <w:b/>
          <w:bCs/>
          <w:color w:val="C00000"/>
          <w:sz w:val="18"/>
          <w:szCs w:val="18"/>
        </w:rPr>
        <w:t xml:space="preserve">SECTION XII</w:t>
      </w:r>
    </w:p>
    <w:p>
      <w:pPr>
        <w:pStyle w:val="Heading1"/>
        <w:spacing w:before="360" w:after="120"/>
      </w:pPr>
      <w:r>
        <w:rPr>
          <w:rFonts w:ascii="Arial" w:cs="Arial" w:eastAsia="Arial" w:hAnsi="Arial"/>
          <w:b/>
          <w:bCs/>
          <w:color w:val="1F3864"/>
          <w:sz w:val="32"/>
          <w:szCs w:val="32"/>
        </w:rPr>
        <w:t xml:space="preserve">Intelligence Gaps and Priority Analytic Questions</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The public record leaves several recurring analytic questions unresolved. These are presented not as collection tasking requirements but as priority analytic questions whose resolution would most improve the quality of U.S. and allied defensive planning.</w:t>
      </w:r>
    </w:p>
    <w:p>
      <w:pPr>
        <w:spacing w:before="0" w:after="80"/>
      </w:pPr>
    </w:p>
    <w:p>
      <w:pPr>
        <w:pStyle w:val="Heading2"/>
        <w:spacing w:before="240" w:after="80"/>
      </w:pPr>
      <w:r>
        <w:rPr>
          <w:rFonts w:ascii="Arial" w:cs="Arial" w:eastAsia="Arial" w:hAnsi="Arial"/>
          <w:b/>
          <w:bCs/>
          <w:color w:val="1F3864"/>
          <w:sz w:val="26"/>
          <w:szCs w:val="26"/>
        </w:rPr>
        <w:t xml:space="preserve">12.1  Gaps in Public Evidentiary Depth</w:t>
      </w:r>
    </w:p>
    <w:p>
      <w:pPr>
        <w:pStyle w:val="ListParagraph"/>
        <w:numPr>
          <w:ilvl w:val="0"/>
          <w:numId w:val="2"/>
        </w:numPr>
        <w:spacing w:before="40" w:after="40"/>
      </w:pPr>
      <w:r>
        <w:rPr>
          <w:rFonts w:ascii="Arial" w:cs="Arial" w:eastAsia="Arial" w:hAnsi="Arial"/>
          <w:sz w:val="22"/>
          <w:szCs w:val="22"/>
        </w:rPr>
        <w:t xml:space="preserve">What indicators most reliably distinguish peaceful biotechnology scaling from prohibited activity in opaque dual-use environments? This question is relevant to all four states but is most acute for China and North Korea, where open-source reporting on specific program characteristics is most limited.</w:t>
      </w:r>
    </w:p>
    <w:p>
      <w:pPr>
        <w:pStyle w:val="ListParagraph"/>
        <w:numPr>
          <w:ilvl w:val="0"/>
          <w:numId w:val="2"/>
        </w:numPr>
        <w:spacing w:before="40" w:after="40"/>
      </w:pPr>
      <w:r>
        <w:rPr>
          <w:rFonts w:ascii="Arial" w:cs="Arial" w:eastAsia="Arial" w:hAnsi="Arial"/>
          <w:sz w:val="22"/>
          <w:szCs w:val="22"/>
        </w:rPr>
        <w:t xml:space="preserve">Which transparency failures in the BWC CBM process are most predictive of elevated risk? Better analytic work on CBM participation patterns and their relationship to compliance concern could improve early-warning precision.</w:t>
      </w:r>
    </w:p>
    <w:p>
      <w:pPr>
        <w:spacing w:before="0" w:after="80"/>
      </w:pPr>
    </w:p>
    <w:p>
      <w:pPr>
        <w:pStyle w:val="Heading2"/>
        <w:spacing w:before="240" w:after="80"/>
      </w:pPr>
      <w:r>
        <w:rPr>
          <w:rFonts w:ascii="Arial" w:cs="Arial" w:eastAsia="Arial" w:hAnsi="Arial"/>
          <w:b/>
          <w:bCs/>
          <w:color w:val="1F3864"/>
          <w:sz w:val="26"/>
          <w:szCs w:val="26"/>
        </w:rPr>
        <w:t xml:space="preserve">12.2  Verification and Attribution Gaps</w:t>
      </w:r>
    </w:p>
    <w:p>
      <w:pPr>
        <w:pStyle w:val="ListParagraph"/>
        <w:numPr>
          <w:ilvl w:val="0"/>
          <w:numId w:val="2"/>
        </w:numPr>
        <w:spacing w:before="40" w:after="40"/>
      </w:pPr>
      <w:r>
        <w:rPr>
          <w:rFonts w:ascii="Arial" w:cs="Arial" w:eastAsia="Arial" w:hAnsi="Arial"/>
          <w:sz w:val="22"/>
          <w:szCs w:val="22"/>
        </w:rPr>
        <w:t xml:space="preserve">How can attribution methodology be standardized to compress the interval between biological event and credible state attribution? This question is most urgent in the Russian and North Korean cases, where deliberate ambiguity and information manipulation are demonstrated state behaviors.</w:t>
      </w:r>
    </w:p>
    <w:p>
      <w:pPr>
        <w:pStyle w:val="ListParagraph"/>
        <w:numPr>
          <w:ilvl w:val="0"/>
          <w:numId w:val="2"/>
        </w:numPr>
        <w:spacing w:before="40" w:after="40"/>
      </w:pPr>
      <w:r>
        <w:rPr>
          <w:rFonts w:ascii="Arial" w:cs="Arial" w:eastAsia="Arial" w:hAnsi="Arial"/>
          <w:sz w:val="22"/>
          <w:szCs w:val="22"/>
        </w:rPr>
        <w:t xml:space="preserve">What public-source signals should be treated as leading indicators of elevated biological threat — without collapsing uncertainty into premature accusation? The risk of both over-attribution and under-attribution is real and requires analytic discipline.</w:t>
      </w:r>
    </w:p>
    <w:p>
      <w:pPr>
        <w:spacing w:before="0" w:after="80"/>
      </w:pPr>
    </w:p>
    <w:p>
      <w:pPr>
        <w:pStyle w:val="Heading2"/>
        <w:spacing w:before="240" w:after="80"/>
      </w:pPr>
      <w:r>
        <w:rPr>
          <w:rFonts w:ascii="Arial" w:cs="Arial" w:eastAsia="Arial" w:hAnsi="Arial"/>
          <w:b/>
          <w:bCs/>
          <w:color w:val="1F3864"/>
          <w:sz w:val="26"/>
          <w:szCs w:val="26"/>
        </w:rPr>
        <w:t xml:space="preserve">12.3  Allied Data-Sharing Gaps</w:t>
      </w:r>
    </w:p>
    <w:p>
      <w:pPr>
        <w:pStyle w:val="ListParagraph"/>
        <w:numPr>
          <w:ilvl w:val="0"/>
          <w:numId w:val="2"/>
        </w:numPr>
        <w:spacing w:before="40" w:after="40"/>
      </w:pPr>
      <w:r>
        <w:rPr>
          <w:rFonts w:ascii="Arial" w:cs="Arial" w:eastAsia="Arial" w:hAnsi="Arial"/>
          <w:sz w:val="22"/>
          <w:szCs w:val="22"/>
        </w:rPr>
        <w:t xml:space="preserve">Where do allied biosurveillance and public health data-sharing systems still fail to support rapid early warning? The detection argument in Section X assumes integrated allied surveillance; the gaps in that integration are a priority for analytic and policy attention.</w:t>
      </w:r>
    </w:p>
    <w:p>
      <w:pPr>
        <w:pStyle w:val="ListParagraph"/>
        <w:numPr>
          <w:ilvl w:val="0"/>
          <w:numId w:val="2"/>
        </w:numPr>
        <w:spacing w:before="40" w:after="40"/>
      </w:pPr>
      <w:r>
        <w:rPr>
          <w:rFonts w:ascii="Arial" w:cs="Arial" w:eastAsia="Arial" w:hAnsi="Arial"/>
          <w:sz w:val="22"/>
          <w:szCs w:val="22"/>
        </w:rPr>
        <w:t xml:space="preserve">How should intelligence-public health information-sharing be structured to support faster recognition without compromising source sensitivity or national health-system privacy standards?</w:t>
      </w:r>
    </w:p>
    <w:p>
      <w:pPr>
        <w:spacing w:before="0" w:after="80"/>
      </w:pPr>
    </w:p>
    <w:p>
      <w:pPr>
        <w:pStyle w:val="Heading2"/>
        <w:spacing w:before="240" w:after="80"/>
      </w:pPr>
      <w:r>
        <w:rPr>
          <w:rFonts w:ascii="Arial" w:cs="Arial" w:eastAsia="Arial" w:hAnsi="Arial"/>
          <w:b/>
          <w:bCs/>
          <w:color w:val="1F3864"/>
          <w:sz w:val="26"/>
          <w:szCs w:val="26"/>
        </w:rPr>
        <w:t xml:space="preserve">12.4  Country-Specific Gaps</w:t>
      </w:r>
    </w:p>
    <w:p>
      <w:pPr>
        <w:pStyle w:val="ListParagraph"/>
        <w:numPr>
          <w:ilvl w:val="0"/>
          <w:numId w:val="2"/>
        </w:numPr>
        <w:spacing w:before="40" w:after="40"/>
      </w:pPr>
      <w:r>
        <w:rPr>
          <w:rFonts w:ascii="Arial" w:cs="Arial" w:eastAsia="Arial" w:hAnsi="Arial"/>
          <w:sz w:val="22"/>
          <w:szCs w:val="22"/>
        </w:rPr>
        <w:t xml:space="preserve">China: What is the practical relationship between military-civil fusion policy and biological research institutions? What degree of prohibited work, if any, is occurring behind the compliance-concern language in State Department reporting?</w:t>
      </w:r>
    </w:p>
    <w:p>
      <w:pPr>
        <w:pStyle w:val="ListParagraph"/>
        <w:numPr>
          <w:ilvl w:val="0"/>
          <w:numId w:val="2"/>
        </w:numPr>
        <w:spacing w:before="40" w:after="40"/>
      </w:pPr>
      <w:r>
        <w:rPr>
          <w:rFonts w:ascii="Arial" w:cs="Arial" w:eastAsia="Arial" w:hAnsi="Arial"/>
          <w:sz w:val="22"/>
          <w:szCs w:val="22"/>
        </w:rPr>
        <w:t xml:space="preserve">Russia: What is the current scope, composition, and doctrine for the biological component of Russia's expanding CBW program? The public record establishes expansion and institute-level activity; program specifics are not publicly established.</w:t>
      </w:r>
    </w:p>
    <w:p>
      <w:pPr>
        <w:pStyle w:val="ListParagraph"/>
        <w:numPr>
          <w:ilvl w:val="0"/>
          <w:numId w:val="2"/>
        </w:numPr>
        <w:spacing w:before="40" w:after="40"/>
      </w:pPr>
      <w:r>
        <w:rPr>
          <w:rFonts w:ascii="Arial" w:cs="Arial" w:eastAsia="Arial" w:hAnsi="Arial"/>
          <w:sz w:val="22"/>
          <w:szCs w:val="22"/>
        </w:rPr>
        <w:t xml:space="preserve">Iran: What is the current state of Iran's offensive biological R&amp;D — scale, agent focus, institutional structure, and coupling to usable capability? Official intent language is clear; operational indicators are not.</w:t>
      </w:r>
    </w:p>
    <w:p>
      <w:pPr>
        <w:pStyle w:val="ListParagraph"/>
        <w:numPr>
          <w:ilvl w:val="0"/>
          <w:numId w:val="2"/>
        </w:numPr>
        <w:spacing w:before="40" w:after="40"/>
      </w:pPr>
      <w:r>
        <w:rPr>
          <w:rFonts w:ascii="Arial" w:cs="Arial" w:eastAsia="Arial" w:hAnsi="Arial"/>
          <w:sz w:val="22"/>
          <w:szCs w:val="22"/>
        </w:rPr>
        <w:t xml:space="preserve">North Korea: What is the force structure, delivery logic, and command-and-control architecture of North Korea's biological capability? These remain among the most significant unanswered questions in the public threat picture.</w:t>
      </w:r>
    </w:p>
    <w:p>
      <w:pPr>
        <w:spacing w:before="0" w:after="160"/>
      </w:pPr>
    </w:p>
    <w:p>
      <w:r>
        <w:br w:type="page"/>
      </w:r>
    </w:p>
    <w:p>
      <w:pPr>
        <w:spacing w:before="0" w:after="60"/>
      </w:pPr>
      <w:r>
        <w:rPr>
          <w:rFonts w:ascii="Arial" w:cs="Arial" w:eastAsia="Arial" w:hAnsi="Arial"/>
          <w:b/>
          <w:bCs/>
          <w:color w:val="C00000"/>
          <w:sz w:val="18"/>
          <w:szCs w:val="18"/>
        </w:rPr>
        <w:t xml:space="preserve">SECTION XIII</w:t>
      </w:r>
    </w:p>
    <w:p>
      <w:pPr>
        <w:pStyle w:val="Heading1"/>
        <w:spacing w:before="360" w:after="120"/>
      </w:pPr>
      <w:r>
        <w:rPr>
          <w:rFonts w:ascii="Arial" w:cs="Arial" w:eastAsia="Arial" w:hAnsi="Arial"/>
          <w:b/>
          <w:bCs/>
          <w:color w:val="1F3864"/>
          <w:sz w:val="32"/>
          <w:szCs w:val="32"/>
        </w:rPr>
        <w:t xml:space="preserve">Policy Recommendations</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The following eight recommendations are drawn directly from the threat, countermeasure, and legal authority analysis in preceding sections. Each is realistic, defensive, and traceable to a specific problem identified in this paper. The recommendations are sequenced from treaty and diplomatic instruments through operational readiness.</w:t>
      </w:r>
    </w:p>
    <w:p>
      <w:pPr>
        <w:spacing w:before="0" w:after="100"/>
      </w:pPr>
    </w:p>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1</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Increase pressure for BWC transparency and CBM participation quality.</w:t>
            </w:r>
          </w:p>
          <w:p>
            <w:pPr>
              <w:spacing w:before="0" w:after="0"/>
              <w:jc w:val="both"/>
            </w:pPr>
            <w:r>
              <w:rPr>
                <w:rFonts w:ascii="Arial" w:cs="Arial" w:eastAsia="Arial" w:hAnsi="Arial"/>
                <w:sz w:val="20"/>
                <w:szCs w:val="20"/>
              </w:rPr>
              <w:t xml:space="preserve">Priority for all four named states. Press for fuller and more accurate CBM submissions through diplomatic channels and allied coordination. Make CBM participation and quality a visible bilateral and multilateral issue with each named state. Tie compliance behavior to other bilateral agenda items where leverage exists.</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2</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Expand integrated allied genomic and syndromic surveillance.</w:t>
            </w:r>
          </w:p>
          <w:p>
            <w:pPr>
              <w:spacing w:before="0" w:after="0"/>
              <w:jc w:val="both"/>
            </w:pPr>
            <w:r>
              <w:rPr>
                <w:rFonts w:ascii="Arial" w:cs="Arial" w:eastAsia="Arial" w:hAnsi="Arial"/>
                <w:sz w:val="20"/>
                <w:szCs w:val="20"/>
              </w:rPr>
              <w:t xml:space="preserve">The principal detection gap is speed and integration. Invest in allied data-sharing frameworks — with the EU, Five Eyes, and Indo-Pacific partners — that allow comparative epidemiological baseline assessment across jurisdictions. Focus especially on data-sharing protocols that would accelerate recognition of a deliberate event that initially appears natural.</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3</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Strengthen domestic and allied select-agent and high-consequence research security.</w:t>
            </w:r>
          </w:p>
          <w:p>
            <w:pPr>
              <w:spacing w:before="0" w:after="0"/>
              <w:jc w:val="both"/>
            </w:pPr>
            <w:r>
              <w:rPr>
                <w:rFonts w:ascii="Arial" w:cs="Arial" w:eastAsia="Arial" w:hAnsi="Arial"/>
                <w:sz w:val="20"/>
                <w:szCs w:val="20"/>
              </w:rPr>
              <w:t xml:space="preserve">Continue robust implementation of the Federal Select Agent Program. Apply the 2024 DURC/PEPP oversight framework consistently and build allied equivalents where gaps exist. Prioritize insider-threat and supply-chain security in the laboratory biosecurity architecture.</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4</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Build standing bioforensics and attribution-support protocols.</w:t>
            </w:r>
          </w:p>
          <w:p>
            <w:pPr>
              <w:spacing w:before="0" w:after="0"/>
              <w:jc w:val="both"/>
            </w:pPr>
            <w:r>
              <w:rPr>
                <w:rFonts w:ascii="Arial" w:cs="Arial" w:eastAsia="Arial" w:hAnsi="Arial"/>
                <w:sz w:val="20"/>
                <w:szCs w:val="20"/>
              </w:rPr>
              <w:t xml:space="preserve">Develop and exercise prearranged evidence-preservation standards, forensic chain-of-custody agreements with key allies, and joint attribution protocols before an event occurs. Run allied tabletop exercises that begin with a biological event initially indistinguishable from natural disease.</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5</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Expand platform-based medical countermeasure development and stockpile readiness.</w:t>
            </w:r>
          </w:p>
          <w:p>
            <w:pPr>
              <w:spacing w:before="0" w:after="0"/>
              <w:jc w:val="both"/>
            </w:pPr>
            <w:r>
              <w:rPr>
                <w:rFonts w:ascii="Arial" w:cs="Arial" w:eastAsia="Arial" w:hAnsi="Arial"/>
                <w:sz w:val="20"/>
                <w:szCs w:val="20"/>
              </w:rPr>
              <w:t xml:space="preserve">Invest in platform technologies — mRNA, viral-vector, and other rapid-development systems — that can produce medical countermeasures against novel or engineered biological threats faster than traditional approaches. Align stockpile strategy with deliberate event scenarios, not only natural outbreak scenarios.</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6</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Apply export controls and sanctions against biological-relevant procurement networks where legally supportable.</w:t>
            </w:r>
          </w:p>
          <w:p>
            <w:pPr>
              <w:spacing w:before="0" w:after="0"/>
              <w:jc w:val="both"/>
            </w:pPr>
            <w:r>
              <w:rPr>
                <w:rFonts w:ascii="Arial" w:cs="Arial" w:eastAsia="Arial" w:hAnsi="Arial"/>
                <w:sz w:val="20"/>
                <w:szCs w:val="20"/>
              </w:rPr>
              <w:t xml:space="preserve">Use existing UNSCR 1540 authority and allied export-control coordination to limit the material inputs available to prohibited programs. Focus procurement interdiction effort on the states and actors most likely to be sourcing dual-use biological equipment, reagents, and technology for non-civilian purposes.</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7</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Deepen intelligence-public health information integration at the national and allied levels.</w:t>
            </w:r>
          </w:p>
          <w:p>
            <w:pPr>
              <w:spacing w:before="0" w:after="0"/>
              <w:jc w:val="both"/>
            </w:pPr>
            <w:r>
              <w:rPr>
                <w:rFonts w:ascii="Arial" w:cs="Arial" w:eastAsia="Arial" w:hAnsi="Arial"/>
                <w:sz w:val="20"/>
                <w:szCs w:val="20"/>
              </w:rPr>
              <w:t xml:space="preserve">The detection architecture in Section X requires that national security information and public health surveillance data be fused faster and at lower classification thresholds than current practice in most allied governments allows. This is a structural change in how public health and national security institutions communicate during potential biological events.</w:t>
            </w:r>
          </w:p>
        </w:tc>
      </w:tr>
    </w:tbl>
    <w:tbl>
      <w:tblPr>
        <w:tblW w:type="dxa" w:w="9360"/>
        <w:tblBorders>
          <w:top w:val="none" w:color="FFFFFF" w:sz="0"/>
          <w:left w:val="none" w:color="FFFFFF" w:sz="0"/>
          <w:bottom w:val="single" w:color="BFBFBF" w:sz="2"/>
          <w:right w:val="none" w:color="FFFFFF" w:sz="0"/>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F3864" w:val="clear"/>
            <w:tcMar>
              <w:top w:type="dxa" w:w="100"/>
              <w:left w:type="dxa" w:w="80"/>
              <w:bottom w:type="dxa" w:w="0"/>
              <w:right w:type="dxa" w:w="80"/>
            </w:tcMar>
            <w:vAlign w:val="top"/>
          </w:tcPr>
          <w:p>
            <w:pPr>
              <w:jc w:val="center"/>
            </w:pPr>
            <w:r>
              <w:rPr>
                <w:rFonts w:ascii="Arial" w:cs="Arial" w:eastAsia="Arial" w:hAnsi="Arial"/>
                <w:b/>
                <w:bCs/>
                <w:color w:val="FFFFFF"/>
                <w:sz w:val="22"/>
                <w:szCs w:val="22"/>
              </w:rPr>
              <w:t xml:space="preserve">8</w:t>
            </w:r>
          </w:p>
        </w:tc>
        <w:tc>
          <w:tcPr>
            <w:tcW w:type="dxa" w:w="8880"/>
            <w:tcBorders>
              <w:top w:val="none" w:color="FFFFFF" w:sz="0"/>
              <w:left w:val="single" w:color="1F3864" w:sz="6"/>
              <w:bottom w:val="single" w:color="BFBFBF" w:sz="2"/>
              <w:right w:val="none" w:color="FFFFFF" w:sz="0"/>
            </w:tcBorders>
            <w:tcMar>
              <w:top w:type="dxa" w:w="100"/>
              <w:left w:type="dxa" w:w="160"/>
              <w:bottom w:type="dxa" w:w="100"/>
              <w:right w:type="dxa" w:w="100"/>
            </w:tcMar>
          </w:tcPr>
          <w:p>
            <w:pPr>
              <w:spacing w:before="0" w:after="60"/>
            </w:pPr>
            <w:r>
              <w:rPr>
                <w:rFonts w:ascii="Arial" w:cs="Arial" w:eastAsia="Arial" w:hAnsi="Arial"/>
                <w:b/>
                <w:bCs/>
                <w:color w:val="1F3864"/>
                <w:sz w:val="22"/>
                <w:szCs w:val="22"/>
              </w:rPr>
              <w:t xml:space="preserve">Run allied tabletop exercises specifically designed for deliberate biological events that initially resemble natural outbreaks.</w:t>
            </w:r>
          </w:p>
          <w:p>
            <w:pPr>
              <w:spacing w:before="0" w:after="0"/>
              <w:jc w:val="both"/>
            </w:pPr>
            <w:r>
              <w:rPr>
                <w:rFonts w:ascii="Arial" w:cs="Arial" w:eastAsia="Arial" w:hAnsi="Arial"/>
                <w:sz w:val="20"/>
                <w:szCs w:val="20"/>
              </w:rPr>
              <w:t xml:space="preserve">This is the scenario most likely to defeat current preparedness architecture. Exercises that begin under natural-disease assumptions and then introduce a deliberate-state-action hypothesis midway will surface attribution, communication, and coordination gaps that standard public health exercises do not reveal.</w:t>
            </w:r>
          </w:p>
        </w:tc>
      </w:tr>
    </w:tbl>
    <w:p>
      <w:pPr>
        <w:spacing w:before="0" w:after="200"/>
      </w:pPr>
    </w:p>
    <w:p>
      <w:r>
        <w:br w:type="page"/>
      </w:r>
    </w:p>
    <w:p>
      <w:pPr>
        <w:spacing w:before="0" w:after="60"/>
      </w:pPr>
      <w:r>
        <w:rPr>
          <w:rFonts w:ascii="Arial" w:cs="Arial" w:eastAsia="Arial" w:hAnsi="Arial"/>
          <w:b/>
          <w:bCs/>
          <w:color w:val="C00000"/>
          <w:sz w:val="18"/>
          <w:szCs w:val="18"/>
        </w:rPr>
        <w:t xml:space="preserve">SECTION XIV</w:t>
      </w:r>
    </w:p>
    <w:p>
      <w:pPr>
        <w:pStyle w:val="Heading1"/>
        <w:spacing w:before="360" w:after="120"/>
      </w:pPr>
      <w:r>
        <w:rPr>
          <w:rFonts w:ascii="Arial" w:cs="Arial" w:eastAsia="Arial" w:hAnsi="Arial"/>
          <w:b/>
          <w:bCs/>
          <w:color w:val="1F3864"/>
          <w:sz w:val="32"/>
          <w:szCs w:val="32"/>
        </w:rPr>
        <w:t xml:space="preserve">Limitations of the Public Record</w:t>
      </w:r>
    </w:p>
    <w:p>
      <w:pPr>
        <w:pBdr>
          <w:bottom w:val="single" w:color="1F3864" w:sz="4" w:space="1"/>
        </w:pBdr>
        <w:spacing w:before="40" w:after="4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0F4FF" w:val="clear"/>
            <w:tcMar>
              <w:top w:type="dxa" w:w="120"/>
              <w:left w:type="dxa" w:w="200"/>
              <w:bottom w:type="dxa" w:w="120"/>
              <w:right w:type="dxa" w:w="200"/>
            </w:tcMar>
          </w:tcPr>
          <w:p>
            <w:pPr>
              <w:spacing w:before="0" w:after="80"/>
            </w:pPr>
            <w:r>
              <w:rPr>
                <w:rFonts w:ascii="Arial" w:cs="Arial" w:eastAsia="Arial" w:hAnsi="Arial"/>
                <w:b/>
                <w:bCs/>
                <w:color w:val="1F3864"/>
                <w:sz w:val="20"/>
                <w:szCs w:val="20"/>
              </w:rPr>
              <w:t xml:space="preserve">Scope Statement</w:t>
            </w:r>
          </w:p>
          <w:p>
            <w:pPr>
              <w:spacing w:before="0" w:after="0"/>
              <w:jc w:val="both"/>
            </w:pPr>
            <w:r>
              <w:rPr>
                <w:rFonts w:ascii="Arial" w:cs="Arial" w:eastAsia="Arial" w:hAnsi="Arial"/>
                <w:sz w:val="20"/>
                <w:szCs w:val="20"/>
              </w:rPr>
              <w:t xml:space="preserve">This paper is strongest as a structured threat and countermeasure assessment grounded in official sources. It is not a comprehensive intelligence estimate and should not be read as one.</w:t>
            </w:r>
          </w:p>
        </w:tc>
      </w:tr>
    </w:tbl>
    <w:p>
      <w:pPr>
        <w:spacing w:before="0" w:after="100"/>
      </w:pPr>
    </w:p>
    <w:p>
      <w:pPr>
        <w:spacing w:before="80" w:after="120" w:line="276"/>
        <w:jc w:val="both"/>
      </w:pPr>
      <w:r>
        <w:rPr>
          <w:rFonts w:ascii="Arial" w:cs="Arial" w:eastAsia="Arial" w:hAnsi="Arial"/>
          <w:b w:val="false"/>
          <w:bCs w:val="false"/>
          <w:i w:val="false"/>
          <w:iCs w:val="false"/>
          <w:color w:val="000000"/>
          <w:sz w:val="22"/>
          <w:szCs w:val="22"/>
        </w:rPr>
        <w:t xml:space="preserve">The public record does not establish the full operational scope of any named state's biological program. Official assessments are authoritative within their stated scope but not exhaustive. The public record on Russia and Iran carries more direct official warning language than the public record on China and North Korea; that variation in evidentiary depth is explicitly noted in the relevant country chapters.</w:t>
      </w:r>
    </w:p>
    <w:p>
      <w:pPr>
        <w:spacing w:before="80" w:after="120" w:line="276"/>
        <w:jc w:val="both"/>
      </w:pPr>
      <w:r>
        <w:rPr>
          <w:rFonts w:ascii="Arial" w:cs="Arial" w:eastAsia="Arial" w:hAnsi="Arial"/>
          <w:b w:val="false"/>
          <w:bCs w:val="false"/>
          <w:i w:val="false"/>
          <w:iCs w:val="false"/>
          <w:color w:val="000000"/>
          <w:sz w:val="22"/>
          <w:szCs w:val="22"/>
        </w:rPr>
        <w:t xml:space="preserve">Open-source evidence may understate or overstate actual capability or intent. Where official reporting is hedged or probabilistic — as in 'most likely possesses' or 'very likely aims to continue' — this paper retains that hedging rather than resolving it into certainty. Readers should understand that the probability language and confidence labels used throughout are the paper's honest representation of the evidentiary situation, not rhetorical caution.</w:t>
      </w:r>
    </w:p>
    <w:p>
      <w:pPr>
        <w:spacing w:before="80" w:after="120" w:line="276"/>
        <w:jc w:val="both"/>
      </w:pPr>
      <w:r>
        <w:rPr>
          <w:rFonts w:ascii="Arial" w:cs="Arial" w:eastAsia="Arial" w:hAnsi="Arial"/>
          <w:b w:val="false"/>
          <w:bCs w:val="false"/>
          <w:i w:val="false"/>
          <w:iCs w:val="false"/>
          <w:color w:val="000000"/>
          <w:sz w:val="22"/>
          <w:szCs w:val="22"/>
        </w:rPr>
        <w:t xml:space="preserve">Absence of evidence in public reporting is not evidence of absence of activity. For all four states, the opacity of biological programs — in contrast to nuclear programs, which carry larger observable signatures — means that the public record may significantly underrepresent what is actually occurring. This is an analytically important asymmetry that defensive planning should account for.</w:t>
      </w:r>
    </w:p>
    <w:p>
      <w:pPr>
        <w:spacing w:before="80" w:after="120" w:line="276"/>
        <w:jc w:val="both"/>
      </w:pPr>
      <w:r>
        <w:rPr>
          <w:rFonts w:ascii="Arial" w:cs="Arial" w:eastAsia="Arial" w:hAnsi="Arial"/>
          <w:b w:val="false"/>
          <w:bCs w:val="false"/>
          <w:i w:val="false"/>
          <w:iCs w:val="false"/>
          <w:color w:val="000000"/>
          <w:sz w:val="22"/>
          <w:szCs w:val="22"/>
        </w:rPr>
        <w:t xml:space="preserve">This paper evaluates risk, institutional concern, treaty compliance concern, and defensive countermeasure relevance. It does not claim to map, enumerate, or fully characterize any foreign state's biological program, force structure, or employment doctrine. Readers who require that level of assessment should consult classified products and authorized analytic channels.</w:t>
      </w:r>
    </w:p>
    <w:p>
      <w:pPr>
        <w:spacing w:before="0" w:after="160"/>
      </w:pPr>
    </w:p>
    <w:p>
      <w:r>
        <w:br w:type="page"/>
      </w:r>
    </w:p>
    <w:p>
      <w:pPr>
        <w:spacing w:before="0" w:after="60"/>
      </w:pPr>
      <w:r>
        <w:rPr>
          <w:rFonts w:ascii="Arial" w:cs="Arial" w:eastAsia="Arial" w:hAnsi="Arial"/>
          <w:b/>
          <w:bCs/>
          <w:color w:val="C00000"/>
          <w:sz w:val="18"/>
          <w:szCs w:val="18"/>
        </w:rPr>
        <w:t xml:space="preserve">SECTION XV</w:t>
      </w:r>
    </w:p>
    <w:p>
      <w:pPr>
        <w:pStyle w:val="Heading1"/>
        <w:spacing w:before="360" w:after="120"/>
      </w:pPr>
      <w:r>
        <w:rPr>
          <w:rFonts w:ascii="Arial" w:cs="Arial" w:eastAsia="Arial" w:hAnsi="Arial"/>
          <w:b/>
          <w:bCs/>
          <w:color w:val="1F3864"/>
          <w:sz w:val="32"/>
          <w:szCs w:val="32"/>
        </w:rPr>
        <w:t xml:space="preserve">Conclusion</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Biological-weapons-related risk among China, Russia, Iran, and North Korea is real and strategically consequential, but it is unevenly documented and differently structured across cases — and that differentiation matters for both analytic discipline and policy design.</w:t>
      </w:r>
    </w:p>
    <w:p>
      <w:pPr>
        <w:spacing w:before="80" w:after="120" w:line="276"/>
        <w:jc w:val="both"/>
      </w:pPr>
      <w:r>
        <w:rPr>
          <w:rFonts w:ascii="Arial" w:cs="Arial" w:eastAsia="Arial" w:hAnsi="Arial"/>
          <w:b w:val="false"/>
          <w:bCs w:val="false"/>
          <w:i w:val="false"/>
          <w:iCs w:val="false"/>
          <w:color w:val="000000"/>
          <w:sz w:val="22"/>
          <w:szCs w:val="22"/>
        </w:rPr>
        <w:t xml:space="preserve">The core strategic problem is the combination of opacity, dual-use biology, incomplete treaty verification, and the risk of delayed recognition — all of which benefit state actors that choose strategic ambiguity over transparency, and all of which impose structural costs on U.S. and allied defensive planning that no single countermeasure can resolve alone.</w:t>
      </w:r>
    </w:p>
    <w:p>
      <w:pPr>
        <w:spacing w:before="80" w:after="120" w:line="276"/>
        <w:jc w:val="both"/>
      </w:pPr>
      <w:r>
        <w:rPr>
          <w:rFonts w:ascii="Arial" w:cs="Arial" w:eastAsia="Arial" w:hAnsi="Arial"/>
          <w:b w:val="false"/>
          <w:bCs w:val="false"/>
          <w:i w:val="false"/>
          <w:iCs w:val="false"/>
          <w:color w:val="000000"/>
          <w:sz w:val="22"/>
          <w:szCs w:val="22"/>
        </w:rPr>
        <w:t xml:space="preserve">The response best supported by the public record is a layered U.S. and allied architecture of prevention, detection, denial, mitigation, attribution support, and resilience — grounded in existing legal and institutional authorities, sustained through allied coordination, and disciplined by the same evidence standards that should govern any serious public-source assessment of strategic risk.</w:t>
      </w:r>
    </w:p>
    <w:p>
      <w:pPr>
        <w:spacing w:before="0" w:after="160"/>
      </w:pPr>
    </w:p>
    <w:p>
      <w:pPr>
        <w:pBdr>
          <w:bottom w:val="single" w:color="C00000" w:sz="4" w:space="1"/>
        </w:pBdr>
        <w:spacing w:before="40" w:after="40"/>
      </w:pPr>
    </w:p>
    <w:p>
      <w:pPr>
        <w:spacing w:before="80" w:after="0"/>
        <w:jc w:val="center"/>
      </w:pPr>
      <w:r>
        <w:rPr>
          <w:rFonts w:ascii="Arial" w:cs="Arial" w:eastAsia="Arial" w:hAnsi="Arial"/>
          <w:b/>
          <w:bCs/>
          <w:color w:val="C00000"/>
          <w:sz w:val="20"/>
          <w:szCs w:val="20"/>
        </w:rPr>
        <w:t xml:space="preserve">UNCLASSIFIED // PUBLIC-SOURCE DEFENSIVE ASSESSMENT</w:t>
      </w:r>
    </w:p>
    <w:p>
      <w:r>
        <w:br w:type="page"/>
      </w:r>
    </w:p>
    <w:p>
      <w:pPr>
        <w:spacing w:before="0" w:after="80"/>
        <w:jc w:val="center"/>
      </w:pPr>
      <w:r>
        <w:rPr>
          <w:rFonts w:ascii="Arial" w:cs="Arial" w:eastAsia="Arial" w:hAnsi="Arial"/>
          <w:b/>
          <w:bCs/>
          <w:color w:val="1F3864"/>
          <w:sz w:val="36"/>
          <w:szCs w:val="36"/>
        </w:rPr>
        <w:t xml:space="preserve">APPENDICES</w:t>
      </w:r>
    </w:p>
    <w:p>
      <w:pPr>
        <w:pBdr>
          <w:bottom w:val="single" w:color="1F3864" w:sz="4" w:space="1"/>
        </w:pBdr>
        <w:spacing w:before="40" w:after="40"/>
      </w:pPr>
    </w:p>
    <w:p>
      <w:r>
        <w:br w:type="page"/>
      </w:r>
    </w:p>
    <w:p>
      <w:pPr>
        <w:spacing w:before="0" w:after="60"/>
      </w:pPr>
      <w:r>
        <w:rPr>
          <w:rFonts w:ascii="Arial" w:cs="Arial" w:eastAsia="Arial" w:hAnsi="Arial"/>
          <w:b/>
          <w:bCs/>
          <w:color w:val="C00000"/>
          <w:sz w:val="18"/>
          <w:szCs w:val="18"/>
        </w:rPr>
        <w:t xml:space="preserve">APPENDIX A</w:t>
      </w:r>
    </w:p>
    <w:p>
      <w:pPr>
        <w:pStyle w:val="Heading1"/>
        <w:spacing w:before="360" w:after="120"/>
      </w:pPr>
      <w:r>
        <w:rPr>
          <w:rFonts w:ascii="Arial" w:cs="Arial" w:eastAsia="Arial" w:hAnsi="Arial"/>
          <w:b/>
          <w:bCs/>
          <w:color w:val="1F3864"/>
          <w:sz w:val="32"/>
          <w:szCs w:val="32"/>
        </w:rPr>
        <w:t xml:space="preserve">Confidence and Evidentiary Rubric</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This rubric governs all confidence and evidence-type labels used in the paper. It is included here as a standalone reference.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c>
          <w:tcPr>
            <w:tcW w:type="dxa" w:w="7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High Confidence</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Directly supported by official U.S. or multilateral sources with clear, repeated language. The evidentiary record is robust and consistent across independent authoritative sources.</w:t>
            </w:r>
          </w:p>
        </w:tc>
      </w:tr>
      <w:tr>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8"/>
                <w:szCs w:val="18"/>
              </w:rPr>
              <w:t xml:space="preserve">Moderate Confidence</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Supported by official reporting, but with material evidentiary gaps, ambiguous source language, or mixed-source findings. The core claim is credible but not fully established in the public record.</w:t>
            </w:r>
          </w:p>
        </w:tc>
      </w:tr>
      <w:tr>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Low Confidence</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 plausible inference from available public reporting, but not directly established. Rests on analytic reasoning from structural or contextual indicators rather than documented official findings.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Evidence Type</w:t>
            </w:r>
          </w:p>
        </w:tc>
        <w:tc>
          <w:tcPr>
            <w:tcW w:type="dxa" w:w="6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Observed / Officially Reported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Statements or findings that appear directly in cited official sources. Quoted or closely paraphrased, with attribution.</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8"/>
                <w:szCs w:val="18"/>
              </w:rPr>
              <w:t xml:space="preserve">Assessment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An analytic judgment about the meaning, context, or significance of observed evidence. Explicitly distinguished from the underlying report.</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Implication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 downstream consequence or inference drawn from the assessed evidence. One or more inferential steps removed from the official source.</w:t>
            </w:r>
          </w:p>
        </w:tc>
      </w:tr>
      <w:tr>
        <w:tc>
          <w:tcPr>
            <w:tcW w:type="dxa" w:w="25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18"/>
                <w:szCs w:val="18"/>
              </w:rPr>
              <w:t xml:space="preserve">Strategic Significance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Analysis of the policy or strategic relevance of observed or assessed information. Explains why a finding matters for U.S. and allied planning.</w:t>
            </w:r>
          </w:p>
        </w:tc>
      </w:tr>
      <w:tr>
        <w:tc>
          <w:tcPr>
            <w:tcW w:type="dxa" w:w="25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Unknowns / Intelligence Gaps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both"/>
            </w:pPr>
            <w:r>
              <w:rPr>
                <w:rFonts w:ascii="Arial" w:cs="Arial" w:eastAsia="Arial" w:hAnsi="Arial"/>
                <w:sz w:val="18"/>
                <w:szCs w:val="18"/>
              </w:rPr>
              <w:t xml:space="preserve">A recognized area where public evidence is insufficient to support a judgment. Identified explicitly rather than silently omitted.</w:t>
            </w:r>
          </w:p>
        </w:tc>
      </w:tr>
    </w:tbl>
    <w:p>
      <w:r>
        <w:br w:type="page"/>
      </w:r>
    </w:p>
    <w:p>
      <w:pPr>
        <w:spacing w:before="0" w:after="60"/>
      </w:pPr>
      <w:r>
        <w:rPr>
          <w:rFonts w:ascii="Arial" w:cs="Arial" w:eastAsia="Arial" w:hAnsi="Arial"/>
          <w:b/>
          <w:bCs/>
          <w:color w:val="C00000"/>
          <w:sz w:val="18"/>
          <w:szCs w:val="18"/>
        </w:rPr>
        <w:t xml:space="preserve">APPENDIX B</w:t>
      </w:r>
    </w:p>
    <w:p>
      <w:pPr>
        <w:pStyle w:val="Heading1"/>
        <w:spacing w:before="360" w:after="120"/>
      </w:pPr>
      <w:r>
        <w:rPr>
          <w:rFonts w:ascii="Arial" w:cs="Arial" w:eastAsia="Arial" w:hAnsi="Arial"/>
          <w:b/>
          <w:bCs/>
          <w:color w:val="1F3864"/>
          <w:sz w:val="32"/>
          <w:szCs w:val="32"/>
        </w:rPr>
        <w:t xml:space="preserve">Comparative Country Matrix</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The matrix below presents a structured comparison across eight analytical dimensions. All assessments are grounded in official public-source reporting as described in Section III. The matrix is intended as a reference supplement to the comparative analysis in Section IX.</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China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Russia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Iran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North Korea</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Official Concern Level</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concern; compliance questions under BWC Article I</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Highest of the four; ODNI explicitly states CBW threat is expanding</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ODNI uses explicit offensive-purpose intent language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ODNI explicitly notes CBW capabilities and possible use in conflict or clandestine attack</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Evidentiary Depth (Public Record)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official language is hedged ('most likely possesses capabilities relevant to CBW')</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Strongest; official U.S. language is the most direct and repeated of all four states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'very likely aims to continue R&amp;D' establishes intent concern but not operational proof</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official language is clear on capability concern but limited on force structure specifics</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Dual-Use Industrial Base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Highest of the four; largest pharmaceutical, biotech, and research ecosystem</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Significant; legacy Soviet-era CBW scientific infrastructure and continuing institute activity</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Moderate; not a bioindustrial power at scale, but regional research capacity is sufficient for R&amp;D concern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Limited; not a major biotech economy, but sufficient state-directed capacity for WMD program maintenance</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Stated / Inferred Offensive Relevance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Moderate; dual-use scale and opacity are the primary concern; full operational scope not established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High; official reporting identifies expanding capability and research-and-development activity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High on intent; moderate on operational scope; official reporting directly states offensive-purpose R&amp;D concern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High on capability concern; unconventional and clandestine use is the stated risk scenario</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Attribution Difficulty</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size of ecosystem, supply-chain integration, and military-civil fusion complexity all impede attribution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state-directed covert operations (including chemical-weapon use in assassination attempts) demonstrate willingness to obscure state attribution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regional proxy networks, maritime activity, and deniable operations all complicate attribution</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Very High; deliberate opacity, information denial, and the inaccessibility of DPRK programs make attribution extremely difficult</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Alliance / Cooperation Implications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Growing strategic cooperation with Russia; broader technology and economic leverage over many U.S. partners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Deepening cooperation with North Korea; limited but notable technology sharing with Iran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Deepening ties with Russia; proxy networks (Hizballah, others) create additional complexity for attribution and response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Deepening military-technical relationship with Russia; some linkage with Iran; no formal Western partner access</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rFonts w:ascii="Arial" w:cs="Arial" w:eastAsia="Arial" w:hAnsi="Arial"/>
                <w:b/>
                <w:bCs/>
                <w:sz w:val="16"/>
                <w:szCs w:val="16"/>
              </w:rPr>
              <w:t xml:space="preserve">Escalation Significance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Moderate to High; biotechnology leverage and opacity may matter more in a protracted strategic competition than in acute crisis</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Highest of the four; CBW concern is embedded within a broader coercive and nuclear escalation posture</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Moderate to High; most relevant in a regional conflict or coercive escalation scenario, especially through deniable or clandestine channels</w:t>
            </w:r>
          </w:p>
        </w:tc>
        <w:tc>
          <w:tcPr>
            <w:tcW w:type="dxa" w:w="1800"/>
            <w:tcBorders>
              <w:top w:val="single" w:color="BFBFBF" w:sz="1"/>
              <w:left w:val="single" w:color="BFBFBF" w:sz="1"/>
              <w:bottom w:val="single" w:color="BFBFBF" w:sz="1"/>
              <w:right w:val="single" w:color="BFBFBF" w:sz="1"/>
            </w:tcBorders>
            <w:shd w:fill="FAFAFA" w:val="clear"/>
            <w:tcMar>
              <w:top w:type="dxa" w:w="60"/>
              <w:left w:type="dxa" w:w="100"/>
              <w:bottom w:type="dxa" w:w="60"/>
              <w:right w:type="dxa" w:w="100"/>
            </w:tcMar>
          </w:tcPr>
          <w:p>
            <w:pPr>
              <w:jc w:val="both"/>
            </w:pPr>
            <w:r>
              <w:rPr>
                <w:rFonts w:ascii="Arial" w:cs="Arial" w:eastAsia="Arial" w:hAnsi="Arial"/>
                <w:sz w:val="16"/>
                <w:szCs w:val="16"/>
              </w:rPr>
              <w:t xml:space="preserve">High; unpredictability and WMD-centered regime survival logic make escalation calculus opaque and potentially nonlinear</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b/>
                <w:bCs/>
                <w:sz w:val="16"/>
                <w:szCs w:val="16"/>
              </w:rPr>
              <w:t xml:space="preserve">Primary Countermeasure Priority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Transparency pressure, CBM engagement, supply-chain and procurement governance, export controls, dual-use research oversight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Treaty pressure, deterrence signaling, allied coordination, attribution support, resilience and continuity planning</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Intelligence integration with regional partners, attribution capacity, deterrence signaling, export controls targeting procurement networks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Deterrence signaling, sanctions and procurement interdiction, allied early warning integration, continuity planning, medical countermeasure readiness</w:t>
            </w:r>
          </w:p>
        </w:tc>
      </w:tr>
    </w:tbl>
    <w:p>
      <w:r>
        <w:br w:type="page"/>
      </w:r>
    </w:p>
    <w:p>
      <w:pPr>
        <w:spacing w:before="0" w:after="60"/>
      </w:pPr>
      <w:r>
        <w:rPr>
          <w:rFonts w:ascii="Arial" w:cs="Arial" w:eastAsia="Arial" w:hAnsi="Arial"/>
          <w:b/>
          <w:bCs/>
          <w:color w:val="C00000"/>
          <w:sz w:val="18"/>
          <w:szCs w:val="18"/>
        </w:rPr>
        <w:t xml:space="preserve">APPENDIX C</w:t>
      </w:r>
    </w:p>
    <w:p>
      <w:pPr>
        <w:pStyle w:val="Heading1"/>
        <w:spacing w:before="360" w:after="120"/>
      </w:pPr>
      <w:r>
        <w:rPr>
          <w:rFonts w:ascii="Arial" w:cs="Arial" w:eastAsia="Arial" w:hAnsi="Arial"/>
          <w:b/>
          <w:bCs/>
          <w:color w:val="1F3864"/>
          <w:sz w:val="32"/>
          <w:szCs w:val="32"/>
        </w:rPr>
        <w:t xml:space="preserve">Legal Authorities Table</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The table below identifies the key legal and regulatory instruments relevant to the countermeasure architecture in Section X. For each instrument, the table identifies jurisdiction, what it prohibits or enables, its countermeasure relevance, and its current limitation.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80"/>
        <w:gridCol w:w="2280"/>
        <w:gridCol w:w="1800"/>
      </w:tblGrid>
      <w:tr>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Instrument</w:t>
            </w:r>
          </w:p>
        </w:tc>
        <w:tc>
          <w:tcPr>
            <w:tcW w:type="dxa" w:w="1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Jurisdiction</w:t>
            </w:r>
          </w:p>
        </w:tc>
        <w:tc>
          <w:tcPr>
            <w:tcW w:type="dxa" w:w="22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It Prohibits or Enables</w:t>
            </w:r>
          </w:p>
        </w:tc>
        <w:tc>
          <w:tcPr>
            <w:tcW w:type="dxa" w:w="22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Countermeasure Relevance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Limitation</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Biological Weapons Convention (BWC, 1975)</w:t>
            </w:r>
          </w:p>
        </w:tc>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International</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Prohibits development, production, acquisition, transfer, stockpiling, and use of biological and toxin weapons (Article I). Requires national implementation (Article IV), consultation and cooperation (Article V), and UN Security Council referral (Article VI).</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Primary legal prohibition. Anchors all multilateral diplomacy, CBM participation, and noncompliance pressure.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No standing verification architecture. No mandatory inspections. CBM participation is voluntary. Enforcement relies on political pressure and UNSC referral.</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BWC Confidence-Building Measures (CBMs)</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International (annual)</w:t>
            </w:r>
          </w:p>
        </w:tc>
        <w:tc>
          <w:tcPr>
            <w:tcW w:type="dxa" w:w="2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Voluntary annual reporting on: research centers and laboratories; biological defense programs; outbreaks of unusual diseases; national legislation; past offensive/defensive activities; vaccine production facilities.</w:t>
            </w:r>
          </w:p>
        </w:tc>
        <w:tc>
          <w:tcPr>
            <w:tcW w:type="dxa" w:w="2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Reduces ambiguity and suspicion. Provides baseline for evaluating transparency behavior across states parties.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Voluntary and unverified. Incomplete participation. Submissions are self-reported with no independent review mechanism.</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UN Security Council Resolution 1540 (2004)</w:t>
            </w:r>
          </w:p>
        </w:tc>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Binding on all UN Member States</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Requires all states to adopt and enforce measures preventing the proliferation of nuclear, chemical, and biological weapons to non-state actors. Requires national legislation, export controls, and border security measures.</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Binding legal obligation. Supports export control, procurement interdiction, and counter-proliferation efforts.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Implementation and enforcement vary significantly by state. No standing inspectorate. Relies on national reporting and 1540 Committee review.</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WHO Laboratory Biosecurity Guidance (incl. WHA77.7, 2024)</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International (WHO Member States)</w:t>
            </w:r>
          </w:p>
        </w:tc>
        <w:tc>
          <w:tcPr>
            <w:tcW w:type="dxa" w:w="2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Provides risk-based frameworks for biorisk management across laboratory operations, transport, storage, and institutional oversight. WHA77.7 (2024) strengthens laboratory biological risk management globally.</w:t>
            </w:r>
          </w:p>
        </w:tc>
        <w:tc>
          <w:tcPr>
            <w:tcW w:type="dxa" w:w="2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Practical operational framework for detection, biosecurity, and resilience. Supports consequence-driven risk reduction aligned with biodefense strategy.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Non-binding guidance. Adoption and implementation voluntary. Quality of national implementation varies widely.</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Federal Select Agent Program (42 CFR Part 73, 9 CFR Part 121, 7 CFR Part 331)</w:t>
            </w:r>
          </w:p>
        </w:tc>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United States</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Governs possession, use, and transfer of biological select agents and toxins. Requires entity registration, personnel vetting, FBI security risk assessments, inspections, and national database management.</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Core U.S. denial mechanism. Limits access to high-consequence biological agents. Supports insider-threat identification and biosecurity governance.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Applies only within U.S. jurisdiction. Does not directly address foreign state programs or dual-use research outside the select-agent list.</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2024 USG DURC/PEPP Oversight Policy</w:t>
            </w:r>
          </w:p>
        </w:tc>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United States</w:t>
            </w:r>
          </w:p>
        </w:tc>
        <w:tc>
          <w:tcPr>
            <w:tcW w:type="dxa" w:w="2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Federal framework for oversight of dual-use research of concern (DURC) and research involving pathogens with enhanced pandemic potential (PEPP). Requires institutional and federal review for covered research.</w:t>
            </w:r>
          </w:p>
        </w:tc>
        <w:tc>
          <w:tcPr>
            <w:tcW w:type="dxa" w:w="22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Reduces biosafety and biosecurity risk from high-consequence domestic research. Limits potential for research misuse.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both"/>
            </w:pPr>
            <w:r>
              <w:rPr>
                <w:rFonts w:ascii="Arial" w:cs="Arial" w:eastAsia="Arial" w:hAnsi="Arial"/>
                <w:sz w:val="16"/>
                <w:szCs w:val="16"/>
              </w:rPr>
              <w:t xml:space="preserve">Applies to federally funded U.S. research. Does not govern foreign research programs or provide enforcement authority abroad.</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National Biodefense Strategy and Implementation Plan</w:t>
            </w:r>
          </w:p>
        </w:tc>
        <w:tc>
          <w:tcPr>
            <w:tcW w:type="dxa" w:w="1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United States</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Executive policy framework integrating prevention, protection, detection, response, and recovery across deliberate, accidental, and naturally occurring biological threats.</w:t>
            </w:r>
          </w:p>
        </w:tc>
        <w:tc>
          <w:tcPr>
            <w:tcW w:type="dxa" w:w="22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Coordinates U.S. interagency biodefense investment and planning. Provides the strategic umbrella for countermeasure architecture.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both"/>
            </w:pPr>
            <w:r>
              <w:rPr>
                <w:rFonts w:ascii="Arial" w:cs="Arial" w:eastAsia="Arial" w:hAnsi="Arial"/>
                <w:sz w:val="16"/>
                <w:szCs w:val="16"/>
              </w:rPr>
              <w:t xml:space="preserve">An executive policy document, not law. Requires continued interagency investment and implementation discipline to be operationally effective.</w:t>
            </w:r>
          </w:p>
        </w:tc>
      </w:tr>
    </w:tbl>
    <w:p>
      <w:r>
        <w:br w:type="page"/>
      </w:r>
    </w:p>
    <w:p>
      <w:pPr>
        <w:spacing w:before="0" w:after="60"/>
      </w:pPr>
      <w:r>
        <w:rPr>
          <w:rFonts w:ascii="Arial" w:cs="Arial" w:eastAsia="Arial" w:hAnsi="Arial"/>
          <w:b/>
          <w:bCs/>
          <w:color w:val="C00000"/>
          <w:sz w:val="18"/>
          <w:szCs w:val="18"/>
        </w:rPr>
        <w:t xml:space="preserve">APPENDIX D</w:t>
      </w:r>
    </w:p>
    <w:p>
      <w:pPr>
        <w:pStyle w:val="Heading1"/>
        <w:spacing w:before="360" w:after="120"/>
      </w:pPr>
      <w:r>
        <w:rPr>
          <w:rFonts w:ascii="Arial" w:cs="Arial" w:eastAsia="Arial" w:hAnsi="Arial"/>
          <w:b/>
          <w:bCs/>
          <w:color w:val="1F3864"/>
          <w:sz w:val="32"/>
          <w:szCs w:val="32"/>
        </w:rPr>
        <w:t xml:space="preserve">Official Source Base</w:t>
      </w:r>
    </w:p>
    <w:p>
      <w:pPr>
        <w:pBdr>
          <w:bottom w:val="single" w:color="1F3864" w:sz="4" w:space="1"/>
        </w:pBdr>
        <w:spacing w:before="40" w:after="40"/>
      </w:pPr>
    </w:p>
    <w:p>
      <w:pPr>
        <w:spacing w:before="0" w:after="80"/>
      </w:pPr>
    </w:p>
    <w:p>
      <w:pPr>
        <w:spacing w:before="80" w:after="120" w:line="276"/>
        <w:jc w:val="both"/>
      </w:pPr>
      <w:r>
        <w:rPr>
          <w:rFonts w:ascii="Arial" w:cs="Arial" w:eastAsia="Arial" w:hAnsi="Arial"/>
          <w:b w:val="false"/>
          <w:bCs w:val="false"/>
          <w:i w:val="false"/>
          <w:iCs w:val="false"/>
          <w:color w:val="000000"/>
          <w:sz w:val="22"/>
          <w:szCs w:val="22"/>
        </w:rPr>
        <w:t xml:space="preserve">This paper draws exclusively from the following official and multilateral sources. No classified or proprietary sources were used.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Source</w:t>
            </w:r>
          </w:p>
        </w:tc>
        <w:tc>
          <w:tcPr>
            <w:tcW w:type="dxa" w:w="288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Type</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Office of the Director of National Intelligence, Annual Threat Assessment of the U.S. Intelligence Community, March 2025</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U.S. Official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U.S. Department of State, 2025 Report on Adherence to and Compliance with Arms Control, Nonproliferation, and Disarmament Agreements and Commitments</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U.S. Official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U.S. Department of Health and Human Services / ASPR, National Biodefense Strategy and Implementation Plan (2022, updated 2024)</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U.S. Official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U.S. Department of Health and Human Services, USG Policy for Oversight of Dual Use Research of Concern and Pathogens with Enhanced Pandemic Potential (DURC/PEPP Policy), 2024</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U.S. Official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Centers for Disease Control and Prevention / USDA APHIS, Federal Select Agent Program, Program Materials and Regulatory Guidance (current). Available at selectagents.gov</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U.S. Official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United Nations Office for Disarmament Affairs (UNODA), Biological Weapons Convention: Overview and Status (current). Available at un.org/disarmament/wmd/bio</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Multilateral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UNODA, Biological Weapons Convention Confidence-Building Measures Documentation (current cycle). Available at un.org/disarmament/wmd/bio/cbms</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Multilateral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UN Security Council Resolution 1540 (2004), S/RES/1540</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Multilateral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World Health Organization, Laboratory Biosafety Manual, 4th Edition (2021)</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Multilateral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World Health Organization, WHA77.7 (2024): Strengthening Laboratory Biological Risk Management</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Multilateral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WHO Guidance on Regulations for the Transport of Infectious Substances (current edition)</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Primary — Multilateral</w:t>
            </w:r>
          </w:p>
        </w:tc>
      </w:tr>
      <w:tr>
        <w:tc>
          <w:tcPr>
            <w:tcW w:type="dxa" w:w="648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Arial" w:cs="Arial" w:eastAsia="Arial" w:hAnsi="Arial"/>
                <w:sz w:val="18"/>
                <w:szCs w:val="18"/>
              </w:rPr>
              <w:t xml:space="preserve">Biological Weapons Convention Full Text (1972, entry into force 1975), as accessed through UNODA</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595959"/>
                <w:sz w:val="18"/>
                <w:szCs w:val="18"/>
              </w:rPr>
              <w:t xml:space="preserve">Treaty Text — Multilateral</w:t>
            </w:r>
          </w:p>
        </w:tc>
      </w:tr>
    </w:tbl>
    <w:p>
      <w:pPr>
        <w:spacing w:before="0" w:after="120"/>
      </w:pPr>
    </w:p>
    <w:p>
      <w:r>
        <w:br w:type="page"/>
      </w:r>
    </w:p>
    <w:p>
      <w:pPr>
        <w:spacing w:before="0" w:after="60"/>
      </w:pPr>
      <w:r>
        <w:rPr>
          <w:rFonts w:ascii="Arial" w:cs="Arial" w:eastAsia="Arial" w:hAnsi="Arial"/>
          <w:b/>
          <w:bCs/>
          <w:color w:val="C00000"/>
          <w:sz w:val="18"/>
          <w:szCs w:val="18"/>
        </w:rPr>
        <w:t xml:space="preserve">APPENDIX E</w:t>
      </w:r>
    </w:p>
    <w:p>
      <w:pPr>
        <w:pStyle w:val="Heading1"/>
        <w:spacing w:before="360" w:after="120"/>
      </w:pPr>
      <w:r>
        <w:rPr>
          <w:rFonts w:ascii="Arial" w:cs="Arial" w:eastAsia="Arial" w:hAnsi="Arial"/>
          <w:b/>
          <w:bCs/>
          <w:color w:val="1F3864"/>
          <w:sz w:val="32"/>
          <w:szCs w:val="32"/>
        </w:rPr>
        <w:t xml:space="preserve">Submission Note</w:t>
      </w:r>
    </w:p>
    <w:p>
      <w:pPr>
        <w:pBdr>
          <w:bottom w:val="single" w:color="1F3864" w:sz="4" w:space="1"/>
        </w:pBdr>
        <w:spacing w:before="40" w:after="4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F3864" w:sz="3"/>
              <w:left w:val="single" w:color="1F3864" w:sz="14"/>
              <w:bottom w:val="single" w:color="1F3864" w:sz="3"/>
              <w:right w:val="none" w:color="FFFFFF" w:sz="0"/>
            </w:tcBorders>
            <w:shd w:fill="F0F4FF" w:val="clear"/>
            <w:tcMar>
              <w:top w:type="dxa" w:w="120"/>
              <w:left w:type="dxa" w:w="200"/>
              <w:bottom w:type="dxa" w:w="120"/>
              <w:right w:type="dxa" w:w="200"/>
            </w:tcMar>
          </w:tcPr>
          <w:p>
            <w:pPr>
              <w:spacing w:before="0" w:after="80"/>
            </w:pPr>
            <w:r>
              <w:rPr>
                <w:rFonts w:ascii="Arial" w:cs="Arial" w:eastAsia="Arial" w:hAnsi="Arial"/>
                <w:b/>
                <w:bCs/>
                <w:color w:val="1F3864"/>
                <w:sz w:val="20"/>
                <w:szCs w:val="20"/>
              </w:rPr>
              <w:t xml:space="preserve">Classification and Handling</w:t>
            </w:r>
          </w:p>
          <w:p>
            <w:pPr>
              <w:spacing w:before="0" w:after="80"/>
              <w:jc w:val="both"/>
            </w:pPr>
            <w:r>
              <w:rPr>
                <w:rFonts w:ascii="Arial" w:cs="Arial" w:eastAsia="Arial" w:hAnsi="Arial"/>
                <w:sz w:val="20"/>
                <w:szCs w:val="20"/>
              </w:rPr>
              <w:t xml:space="preserve">This document is an unclassified, public-source defensive assessment intended as an analytic writing sample and policy memorandum. It is not operational reporting, not a technical biological-weapons document, and not a substitute for classified intelligence review.</w:t>
            </w:r>
          </w:p>
          <w:p>
            <w:pPr>
              <w:spacing w:before="0" w:after="80"/>
              <w:jc w:val="both"/>
            </w:pPr>
            <w:r>
              <w:rPr>
                <w:rFonts w:ascii="Arial" w:cs="Arial" w:eastAsia="Arial" w:hAnsi="Arial"/>
                <w:sz w:val="20"/>
                <w:szCs w:val="20"/>
              </w:rPr>
              <w:t xml:space="preserve">The analysis draws exclusively on officially published U.S. government and multilateral sources. No classified, proprietary, or non-public sources were used. All source citations are to publicly available documents.</w:t>
            </w:r>
          </w:p>
          <w:p>
            <w:pPr>
              <w:spacing w:before="0" w:after="0"/>
              <w:jc w:val="both"/>
            </w:pPr>
            <w:r>
              <w:rPr>
                <w:rFonts w:ascii="Arial" w:cs="Arial" w:eastAsia="Arial" w:hAnsi="Arial"/>
                <w:sz w:val="20"/>
                <w:szCs w:val="20"/>
              </w:rPr>
              <w:t xml:space="preserve">This paper is prepared as an analytic writing sample for security studies and biodefense policy audiences and as an unclassified comparative assessment for public-source policy review.</w:t>
            </w:r>
          </w:p>
        </w:tc>
      </w:tr>
    </w:tbl>
    <w:p>
      <w:pPr>
        <w:spacing w:before="0" w:after="160"/>
      </w:pPr>
    </w:p>
    <w:p>
      <w:pPr>
        <w:pBdr>
          <w:bottom w:val="single" w:color="C00000" w:sz="6" w:space="1"/>
        </w:pBdr>
        <w:spacing w:before="40" w:after="40"/>
      </w:pPr>
    </w:p>
    <w:p>
      <w:pPr>
        <w:spacing w:before="0" w:after="80"/>
      </w:pPr>
    </w:p>
    <w:p>
      <w:pPr>
        <w:spacing w:before="0" w:after="60"/>
        <w:jc w:val="center"/>
      </w:pPr>
      <w:r>
        <w:rPr>
          <w:rFonts w:ascii="Arial" w:cs="Arial" w:eastAsia="Arial" w:hAnsi="Arial"/>
          <w:b/>
          <w:bCs/>
          <w:color w:val="C00000"/>
          <w:sz w:val="20"/>
          <w:szCs w:val="20"/>
        </w:rPr>
        <w:t xml:space="preserve">UNCLASSIFIED // PUBLIC-SOURCE DEFENSIVE ASSESSMENT</w:t>
      </w:r>
    </w:p>
    <w:p>
      <w:pPr>
        <w:spacing w:before="0" w:after="60"/>
        <w:jc w:val="center"/>
      </w:pPr>
      <w:r>
        <w:rPr>
          <w:rFonts w:ascii="Arial" w:cs="Arial" w:eastAsia="Arial" w:hAnsi="Arial"/>
          <w:b/>
          <w:bCs/>
          <w:color w:val="1F3864"/>
          <w:sz w:val="22"/>
          <w:szCs w:val="22"/>
        </w:rPr>
        <w:t xml:space="preserve">Countering State Biological Weapons Risk</w:t>
      </w:r>
    </w:p>
    <w:p>
      <w:pPr>
        <w:spacing w:before="0" w:after="0"/>
        <w:jc w:val="center"/>
      </w:pPr>
      <w:r>
        <w:rPr>
          <w:rFonts w:ascii="Arial" w:cs="Arial" w:eastAsia="Arial" w:hAnsi="Arial"/>
          <w:color w:val="595959"/>
          <w:sz w:val="20"/>
          <w:szCs w:val="20"/>
        </w:rPr>
        <w:t xml:space="preserve">China, Russia, Iran, and North Korea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spacing w:before="80"/>
    </w:pPr>
    <w:r>
      <w:rPr>
        <w:rFonts w:ascii="Arial" w:cs="Arial" w:eastAsia="Arial" w:hAnsi="Arial"/>
        <w:b/>
        <w:bCs/>
        <w:color w:val="C00000"/>
        <w:sz w:val="18"/>
        <w:szCs w:val="18"/>
      </w:rPr>
      <w:t xml:space="preserve">UNCLASSIFIED</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Office of the Director of National Intelligence, Annual Threat Assessment of the U.S. Intelligence Community, March 2025 (ATA-2025).</w:t>
      </w:r>
    </w:p>
  </w:footnote>
  <w:footnote w:id="2">
    <w:p>
      <w:r>
        <w:rPr>
          <w:rStyle w:val="FootnoteReference"/>
        </w:rPr>
        <w:footnoteRef/>
      </w:r>
      <w:r>
        <w:rPr>
          <w:rFonts w:ascii="Arial" w:cs="Arial" w:eastAsia="Arial" w:hAnsi="Arial"/>
          <w:sz w:val="18"/>
          <w:szCs w:val="18"/>
        </w:rPr>
        <w:t xml:space="preserve">United Nations Office for Disarmament Affairs (UNODA), Biological Weapons Convention: Overview and Status. Available at: https://www.un.org/disarmament/wmd/bio/</w:t>
      </w:r>
    </w:p>
  </w:footnote>
  <w:footnote w:id="3">
    <w:p>
      <w:r>
        <w:rPr>
          <w:rStyle w:val="FootnoteReference"/>
        </w:rPr>
        <w:footnoteRef/>
      </w:r>
      <w:r>
        <w:rPr>
          <w:rFonts w:ascii="Arial" w:cs="Arial" w:eastAsia="Arial" w:hAnsi="Arial"/>
          <w:sz w:val="18"/>
          <w:szCs w:val="18"/>
        </w:rPr>
        <w:t xml:space="preserve">UNODA, Biological Weapons Convention Confidence-Building Measures. Available at: https://www.un.org/disarmament/wmd/bio/cbms/</w:t>
      </w:r>
    </w:p>
  </w:footnote>
  <w:footnote w:id="4">
    <w:p>
      <w:r>
        <w:rPr>
          <w:rStyle w:val="FootnoteReference"/>
        </w:rPr>
        <w:footnoteRef/>
      </w:r>
      <w:r>
        <w:rPr>
          <w:rFonts w:ascii="Arial" w:cs="Arial" w:eastAsia="Arial" w:hAnsi="Arial"/>
          <w:sz w:val="18"/>
          <w:szCs w:val="18"/>
        </w:rPr>
        <w:t xml:space="preserve">U.S. Department of State, 2025 Report on Adherence to and Compliance with Arms Control, Nonproliferation, and Disarmament Agreements and Commitments (2025 Compliance Report).</w:t>
      </w:r>
    </w:p>
  </w:footnote>
  <w:footnote w:id="5">
    <w:p>
      <w:r>
        <w:rPr>
          <w:rStyle w:val="FootnoteReference"/>
        </w:rPr>
        <w:footnoteRef/>
      </w:r>
      <w:r>
        <w:rPr>
          <w:rFonts w:ascii="Arial" w:cs="Arial" w:eastAsia="Arial" w:hAnsi="Arial"/>
          <w:sz w:val="18"/>
          <w:szCs w:val="18"/>
        </w:rPr>
        <w:t xml:space="preserve">U.S. Department of Health and Human Services / Assistant Secretary for Preparedness and Response, National Biodefense Strategy and Implementation Plan.</w:t>
      </w:r>
    </w:p>
  </w:footnote>
  <w:footnote w:id="6">
    <w:p>
      <w:r>
        <w:rPr>
          <w:rStyle w:val="FootnoteReference"/>
        </w:rPr>
        <w:footnoteRef/>
      </w:r>
      <w:r>
        <w:rPr>
          <w:rFonts w:ascii="Arial" w:cs="Arial" w:eastAsia="Arial" w:hAnsi="Arial"/>
          <w:sz w:val="18"/>
          <w:szCs w:val="18"/>
        </w:rPr>
        <w:t xml:space="preserve">U.S. Department of Health and Human Services, U.S. Government Policy for Oversight of Dual Use Research of Concern and Pathogens with Enhanced Pandemic Potential (DURC/PEPP Policy), 2024.</w:t>
      </w:r>
    </w:p>
  </w:footnote>
  <w:footnote w:id="7">
    <w:p>
      <w:r>
        <w:rPr>
          <w:rStyle w:val="FootnoteReference"/>
        </w:rPr>
        <w:footnoteRef/>
      </w:r>
      <w:r>
        <w:rPr>
          <w:rFonts w:ascii="Arial" w:cs="Arial" w:eastAsia="Arial" w:hAnsi="Arial"/>
          <w:sz w:val="18"/>
          <w:szCs w:val="18"/>
        </w:rPr>
        <w:t xml:space="preserve">Centers for Disease Control and Prevention, Federal Select Agent Program. Available at: https://www.selectagents.gov/</w:t>
      </w:r>
    </w:p>
  </w:footnote>
  <w:footnote w:id="8">
    <w:p>
      <w:r>
        <w:rPr>
          <w:rStyle w:val="FootnoteReference"/>
        </w:rPr>
        <w:footnoteRef/>
      </w:r>
      <w:r>
        <w:rPr>
          <w:rFonts w:ascii="Arial" w:cs="Arial" w:eastAsia="Arial" w:hAnsi="Arial"/>
          <w:sz w:val="18"/>
          <w:szCs w:val="18"/>
        </w:rPr>
        <w:t xml:space="preserve">UN Security Council Resolution 1540 (2004). S/RES/1540.</w:t>
      </w:r>
    </w:p>
  </w:footnote>
  <w:footnote w:id="9">
    <w:p>
      <w:r>
        <w:rPr>
          <w:rStyle w:val="FootnoteReference"/>
        </w:rPr>
        <w:footnoteRef/>
      </w:r>
      <w:r>
        <w:rPr>
          <w:rFonts w:ascii="Arial" w:cs="Arial" w:eastAsia="Arial" w:hAnsi="Arial"/>
          <w:sz w:val="18"/>
          <w:szCs w:val="18"/>
        </w:rPr>
        <w:t xml:space="preserve">World Health Organization, Laboratory Biosafety Manual, 4th edition (2021); WHO, Guidance on Regulations for the Transport of Infectious Substances; WHO WHA77.7 (2024), Strengthening Laboratory Biological Risk Management.</w:t>
      </w:r>
    </w:p>
  </w:footnote>
  <w:footnote w:id="10">
    <w:p>
      <w:r>
        <w:rPr>
          <w:rStyle w:val="FootnoteReference"/>
        </w:rPr>
        <w:footnoteRef/>
      </w:r>
      <w:r>
        <w:rPr>
          <w:rFonts w:ascii="Arial" w:cs="Arial" w:eastAsia="Arial" w:hAnsi="Arial"/>
          <w:sz w:val="18"/>
          <w:szCs w:val="18"/>
        </w:rPr>
        <w:t xml:space="preserve">ATA-2025, China section: 'China most likely possesses capabilities relevant to chemical and biological warfare (CBW) that could be used against U.S., allied, and partner forces and civilian populations.'</w:t>
      </w:r>
    </w:p>
  </w:footnote>
  <w:footnote w:id="11">
    <w:p>
      <w:r>
        <w:rPr>
          <w:rStyle w:val="FootnoteReference"/>
        </w:rPr>
        <w:footnoteRef/>
      </w:r>
      <w:r>
        <w:rPr>
          <w:rFonts w:ascii="Arial" w:cs="Arial" w:eastAsia="Arial" w:hAnsi="Arial"/>
          <w:sz w:val="18"/>
          <w:szCs w:val="18"/>
        </w:rPr>
        <w:t xml:space="preserve">2025 State Department Compliance Report, People's Republic of China section, Article I compliance concerns.</w:t>
      </w:r>
    </w:p>
  </w:footnote>
  <w:footnote w:id="12">
    <w:p>
      <w:r>
        <w:rPr>
          <w:rStyle w:val="FootnoteReference"/>
        </w:rPr>
        <w:footnoteRef/>
      </w:r>
      <w:r>
        <w:rPr>
          <w:rFonts w:ascii="Arial" w:cs="Arial" w:eastAsia="Arial" w:hAnsi="Arial"/>
          <w:sz w:val="18"/>
          <w:szCs w:val="18"/>
        </w:rPr>
        <w:t xml:space="preserve">ATA-2025, Russia section: 'Russia's CBW threat is expanding...' and 'Russian scientific institutes continue to research and develop CBW capabilities, including technologies to deliver CBW agents.'</w:t>
      </w:r>
    </w:p>
  </w:footnote>
  <w:footnote w:id="13">
    <w:p>
      <w:r>
        <w:rPr>
          <w:rStyle w:val="FootnoteReference"/>
        </w:rPr>
        <w:footnoteRef/>
      </w:r>
      <w:r>
        <w:rPr>
          <w:rFonts w:ascii="Arial" w:cs="Arial" w:eastAsia="Arial" w:hAnsi="Arial"/>
          <w:sz w:val="18"/>
          <w:szCs w:val="18"/>
        </w:rPr>
        <w:t xml:space="preserve">ATA-2025, Iran section: 'Iran very likely aims to continue R&amp;D of chemical and biological agents for offensive purposes.'</w:t>
      </w:r>
    </w:p>
  </w:footnote>
  <w:footnote w:id="14">
    <w:p>
      <w:r>
        <w:rPr>
          <w:rStyle w:val="FootnoteReference"/>
        </w:rPr>
        <w:footnoteRef/>
      </w:r>
      <w:r>
        <w:rPr>
          <w:rFonts w:ascii="Arial" w:cs="Arial" w:eastAsia="Arial" w:hAnsi="Arial"/>
          <w:sz w:val="18"/>
          <w:szCs w:val="18"/>
        </w:rPr>
        <w:t xml:space="preserve">ATA-2025, North Korea section: 'North Korea maintains its chemical and biological weapons (CBW) capabilities and may use such weapons in a conflict or in an unconventional or clandestine attack against the United States or its allies.'</w:t>
      </w:r>
    </w:p>
  </w:footnote>
  <w:footnote w:id="15">
    <w:p>
      <w:r>
        <w:rPr>
          <w:rStyle w:val="FootnoteReference"/>
        </w:rPr>
        <w:footnoteRef/>
      </w:r>
      <w:r>
        <w:rPr>
          <w:rFonts w:ascii="Arial" w:cs="Arial" w:eastAsia="Arial" w:hAnsi="Arial"/>
          <w:sz w:val="18"/>
          <w:szCs w:val="18"/>
        </w:rPr>
        <w:t xml:space="preserve">ATA-2025, Geopolitical Overview: 'Cooperation among Russia, China, Iran, and North Korea is growing and is strengthening their individual and collective capacity to threaten U.S. interests and undermine U.S. alliances.'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spacing w:after="80"/>
    </w:pPr>
    <w:r>
      <w:rPr>
        <w:rFonts w:ascii="Arial" w:cs="Arial" w:eastAsia="Arial" w:hAnsi="Arial"/>
        <w:b/>
        <w:bCs/>
        <w:color w:val="C00000"/>
        <w:sz w:val="18"/>
        <w:szCs w:val="18"/>
      </w:rPr>
      <w:t xml:space="preserve">UNCLASSIFIED // PUBLIC-SOURCE DEFENSIVE ASSESSMENT</w:t>
    </w:r>
    <w:r>
      <w:rPr>
        <w:rFonts w:ascii="Arial" w:cs="Arial" w:eastAsia="Arial" w:hAnsi="Arial"/>
        <w:color w:val="595959"/>
        <w:sz w:val="18"/>
        <w:szCs w:val="18"/>
      </w:rPr>
      <w:t xml:space="preserve">	Countering State Biological Weapons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2026-03-11T04:18:28.210Z</dcterms:created>
  <dcterms:modified xsi:type="dcterms:W3CDTF">2026-03-11T04:18:28.211Z</dcterms:modified>
</cp:coreProperties>
</file>

<file path=docProps/custom.xml><?xml version="1.0" encoding="utf-8"?>
<Properties xmlns="http://schemas.openxmlformats.org/officeDocument/2006/custom-properties" xmlns:vt="http://schemas.openxmlformats.org/officeDocument/2006/docPropsVTypes"/>
</file>