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B0000"/>
          <w:sz w:val="18"/>
          <w:szCs w:val="18"/>
        </w:rPr>
        <w:t xml:space="preserve">UNCLASSIFIED // OPEN SOURCE ACADEMIC ANALYSIS</w:t>
      </w:r>
    </w:p>
    <w:p>
      <w:pPr>
        <w:spacing w:after="160"/>
      </w:pPr>
      <w:r>
        <w:t xml:space="preserve"/>
      </w:r>
    </w:p>
    <w:p>
      <w:pPr>
        <w:spacing w:after="60"/>
        <w:jc w:val="center"/>
      </w:pPr>
      <w:r>
        <w:rPr>
          <w:rFonts w:ascii="Arial" w:cs="Arial" w:eastAsia="Arial" w:hAnsi="Arial"/>
          <w:b/>
          <w:bCs/>
          <w:color w:val="0D2137"/>
          <w:sz w:val="52"/>
          <w:szCs w:val="52"/>
        </w:rPr>
        <w:t xml:space="preserve">STRAIT OF HORMUZ</w:t>
      </w:r>
    </w:p>
    <w:p>
      <w:pPr>
        <w:spacing w:after="80"/>
        <w:jc w:val="center"/>
      </w:pPr>
      <w:r>
        <w:rPr>
          <w:rFonts w:ascii="Arial" w:cs="Arial" w:eastAsia="Arial" w:hAnsi="Arial"/>
          <w:b/>
          <w:bCs/>
          <w:color w:val="B8860B"/>
          <w:sz w:val="34"/>
          <w:szCs w:val="34"/>
        </w:rPr>
        <w:t xml:space="preserve">REGIONAL POSTURE ASSESSMENT</w:t>
      </w:r>
    </w:p>
    <w:p>
      <w:pPr>
        <w:pBdr>
          <w:top w:val="thick" w:color="B8860B" w:sz="10"/>
          <w:bottom w:val="thick" w:color="B8860B" w:sz="10"/>
        </w:pBdr>
        <w:spacing w:after="100" w:before="100"/>
        <w:jc w:val="center"/>
      </w:pPr>
      <w:r>
        <w:rPr>
          <w:rFonts w:ascii="Arial" w:cs="Arial" w:eastAsia="Arial" w:hAnsi="Arial"/>
          <w:i/>
          <w:iCs/>
          <w:color w:val="000000"/>
          <w:sz w:val="21"/>
          <w:szCs w:val="21"/>
        </w:rPr>
        <w:t xml:space="preserve">U.S. Force Presence · Maritime Security · Energy Continuity · Campaign Sustainment Under Active Crisis Conditions</w:t>
      </w:r>
    </w:p>
    <w:p>
      <w:pPr>
        <w:spacing w:after="160"/>
      </w:pPr>
      <w:r>
        <w:t xml:space="preserve"/>
      </w:r>
    </w:p>
    <w:p>
      <w:pPr>
        <w:jc w:val="center"/>
      </w:pPr>
      <w:r>
        <w:rPr>
          <w:rFonts w:ascii="Arial" w:cs="Arial" w:eastAsia="Arial" w:hAnsi="Arial"/>
          <w:color w:val="0D2137"/>
          <w:sz w:val="20"/>
          <w:szCs w:val="20"/>
        </w:rPr>
        <w:t xml:space="preserve">Assessment Date: March 2026</w:t>
      </w:r>
    </w:p>
    <w:p>
      <w:pPr>
        <w:jc w:val="center"/>
      </w:pPr>
      <w:r>
        <w:rPr>
          <w:rFonts w:ascii="Arial" w:cs="Arial" w:eastAsia="Arial" w:hAnsi="Arial"/>
          <w:b/>
          <w:bCs/>
          <w:color w:val="8B0000"/>
          <w:sz w:val="18"/>
          <w:szCs w:val="18"/>
        </w:rPr>
        <w:t xml:space="preserve">Context: Active 2026 Strait of Hormuz Crisis — Partial closure in effect since March 2, 2026</w:t>
      </w:r>
    </w:p>
    <w:p>
      <w:pPr>
        <w:spacing w:after="80"/>
      </w:pPr>
      <w:r>
        <w:t xml:space="preserve"/>
      </w:r>
    </w:p>
    <w:p>
      <w:pPr>
        <w:jc w:val="center"/>
      </w:pPr>
      <w:r>
        <w:rPr>
          <w:rFonts w:ascii="Arial" w:cs="Arial" w:eastAsia="Arial" w:hAnsi="Arial"/>
          <w:i/>
          <w:iCs/>
          <w:color w:val="555555"/>
          <w:sz w:val="17"/>
          <w:szCs w:val="17"/>
        </w:rPr>
        <w:t xml:space="preserve">Source basis: EIA, Atlantic Council, CSIS, Axios (March 2026), JP Morgan, NTI,</w:t>
      </w:r>
    </w:p>
    <w:p>
      <w:pPr>
        <w:jc w:val="center"/>
      </w:pPr>
      <w:r>
        <w:rPr>
          <w:rFonts w:ascii="Arial" w:cs="Arial" w:eastAsia="Arial" w:hAnsi="Arial"/>
          <w:i/>
          <w:iCs/>
          <w:color w:val="555555"/>
          <w:sz w:val="17"/>
          <w:szCs w:val="17"/>
        </w:rPr>
        <w:t xml:space="preserve">Britannica, Strauss Center, UNCLOS, UN Charter, Hague Regulations, IMO TSS Documentation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NOTICE</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This is an open-source academic and strategic analysis. No classified information is contained herein. It does not constitute operational planning. All assessments are drawn from published academic literature, government reports, and established policy analysis organizations. Legal analysis is for analytic framing only and does not constitute legal advice.</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EXECUTIVE SUMMARY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ANALYTIC METHODOLOGY</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This assessment evaluates U.S. regional force-posture options under active Strait of Hormuz crisis conditions. Confidence levels vary by issue set and are noted at point of use. Statements are separated into Observed (reported from named sources), Assessment (analytic inference), Key Unknown (unresolved), and Implication (strategic significance). Source tiers: Tier 1 = U.S. government, IAEA, peer-reviewed literature. Tier 2 = Established research organizations (CSIS, Atlantic Council, EIA, NTI). Tier 3 = Media, single-source, anonymous-source reporting. No Tier 3 claim is carried with Tier 1 certainty.</w:t>
            </w:r>
          </w:p>
        </w:tc>
      </w:tr>
    </w:tbl>
    <w:p>
      <w:pPr>
        <w:spacing w:after="80"/>
      </w:pPr>
      <w:r>
        <w:t xml:space="preserve"/>
      </w:r>
    </w:p>
    <w:p>
      <w:pPr>
        <w:spacing w:after="60" w:before="160"/>
      </w:pPr>
      <w:r>
        <w:rPr>
          <w:rFonts w:ascii="Arial" w:cs="Arial" w:eastAsia="Arial" w:hAnsi="Arial"/>
          <w:b/>
          <w:bCs/>
          <w:color w:val="0D2137"/>
          <w:sz w:val="22"/>
          <w:szCs w:val="22"/>
        </w:rPr>
        <w:t xml:space="preserve">The Immediate Problem</w:t>
      </w:r>
    </w:p>
    <w:p>
      <w:pPr>
        <w:spacing w:after="120"/>
        <w:jc w:val="both"/>
      </w:pPr>
      <w:r>
        <w:rPr>
          <w:rFonts w:ascii="Arial" w:cs="Arial" w:eastAsia="Arial" w:hAnsi="Arial"/>
          <w:sz w:val="20"/>
          <w:szCs w:val="20"/>
        </w:rPr>
        <w:t xml:space="preserve">OBSERVED: As of March 2, 2026, Iran's Revolutionary Guard Corps formally declared the Strait of Hormuz closed to U.S., Israeli, and Western-allied shipping. Multiple commercial vessels have been struck by projectiles and drone boats. Major marine insurers have either cancelled war-risk policies or raised premiums from roughly $200,000 to over $1 million per voyage. Commercial tanker traffic has substantially halted. Approximately 20 million barrels per day — 20% of global oil consumption and 25% of seaborne oil trade — normally transits the strait. All Qatari LNG export also transits here with no viable bypass. Iran pre-positioned over 5,000 naval mines as of June 2025, per DIA assessment, and retains coastal anti-ship missile batteries with range covering the full Persian Gulf.</w:t>
      </w:r>
    </w:p>
    <w:p>
      <w:pPr>
        <w:spacing w:after="80"/>
      </w:pPr>
      <w:r>
        <w:t xml:space="preserve"/>
      </w:r>
    </w:p>
    <w:p>
      <w:pPr>
        <w:spacing w:after="60" w:before="160"/>
      </w:pPr>
      <w:r>
        <w:rPr>
          <w:rFonts w:ascii="Arial" w:cs="Arial" w:eastAsia="Arial" w:hAnsi="Arial"/>
          <w:b/>
          <w:bCs/>
          <w:color w:val="0D2137"/>
          <w:sz w:val="22"/>
          <w:szCs w:val="22"/>
        </w:rPr>
        <w:t xml:space="preserve">The Strategic Question</w:t>
      </w:r>
    </w:p>
    <w:p>
      <w:pPr>
        <w:spacing w:after="120"/>
        <w:jc w:val="both"/>
      </w:pPr>
      <w:r>
        <w:rPr>
          <w:rFonts w:ascii="Arial" w:cs="Arial" w:eastAsia="Arial" w:hAnsi="Arial"/>
          <w:sz w:val="20"/>
          <w:szCs w:val="20"/>
        </w:rPr>
        <w:t xml:space="preserve">This assessment does not ask which isolated infrastructure node is easiest to seize. It asks: what U.S. regional posture is justified now, what remains justified if the crisis persists, and how should presence evolve across short-term, sustained-campaign, and longer-term time horizons? The principal tension is between the immediate requirement for surge resilience and the longer-term requirement for a sustainable, legally defensible, coalition-supported regional posture that does not create an open-ended occupation or administration burden.</w:t>
      </w:r>
    </w:p>
    <w:p>
      <w:pPr>
        <w:spacing w:after="80"/>
      </w:pPr>
      <w:r>
        <w:t xml:space="preserve"/>
      </w:r>
    </w:p>
    <w:p>
      <w:pPr>
        <w:spacing w:after="60" w:before="160"/>
      </w:pPr>
      <w:r>
        <w:rPr>
          <w:rFonts w:ascii="Arial" w:cs="Arial" w:eastAsia="Arial" w:hAnsi="Arial"/>
          <w:b/>
          <w:bCs/>
          <w:color w:val="0D2137"/>
          <w:sz w:val="22"/>
          <w:szCs w:val="22"/>
        </w:rPr>
        <w:t xml:space="preserve">Central Assessment [MODERATE-HIGH CONFIDENCE]</w:t>
      </w:r>
    </w:p>
    <w:p>
      <w:pPr>
        <w:spacing w:after="120"/>
        <w:jc w:val="both"/>
      </w:pPr>
      <w:r>
        <w:rPr>
          <w:rFonts w:ascii="Arial" w:cs="Arial" w:eastAsia="Arial" w:hAnsi="Arial"/>
          <w:sz w:val="20"/>
          <w:szCs w:val="20"/>
        </w:rPr>
        <w:t xml:space="preserve">A distributed, reinforced, time-bounded regional posture anchored in existing U.S. and partner hubs — Bahrain, Qatar, the UAE, and Kuwait — combined with naval escort capacity, mine countermeasures, air and missile defense, logistics redundancy, strategic reserve coordination, and coalition burden-sharing is assessed as more sustainable, more legally defensible, and more politically durable than seizure-centered territorial control. Territorial-control contingencies may retain coercive relevance as high-escalation branches, particularly given Kharg Island's role as Iran's principal oil-export revenue node. They should not, however, be treated as the baseline recommended posture.</w:t>
      </w:r>
    </w:p>
    <w:p>
      <w:pPr>
        <w:spacing w:after="80"/>
      </w:pPr>
      <w:r>
        <w:t xml:space="preserve"/>
      </w:r>
    </w:p>
    <w:p>
      <w:pPr>
        <w:spacing w:after="120"/>
        <w:jc w:val="both"/>
      </w:pPr>
      <w:r>
        <w:rPr>
          <w:rFonts w:ascii="Arial" w:cs="Arial" w:eastAsia="Arial" w:hAnsi="Arial"/>
          <w:sz w:val="20"/>
          <w:szCs w:val="20"/>
        </w:rPr>
        <w:t xml:space="preserve">This posture assessment should be read alongside companion financial-statecraft papers addressing Treasury-led sanctions, Section 311 financial isolation, shadow-shipping enforcement, and secondary-sanctions options in greater statutory and operational detail. Those frameworks are cited in the sources section as WP-2026-MAXPRESS-01, WP-2026-UNIFIED-01, WP-2026-CONTAIN-01, and WP-2026-INFRA-01.</w:t>
      </w:r>
    </w:p>
    <w:p>
      <w:pPr>
        <w:spacing w:after="80"/>
      </w:pPr>
      <w:r>
        <w:t xml:space="preserve"/>
      </w:r>
    </w:p>
    <w:p>
      <w:pPr>
        <w:spacing w:after="60" w:before="160"/>
      </w:pPr>
      <w:r>
        <w:rPr>
          <w:rFonts w:ascii="Arial" w:cs="Arial" w:eastAsia="Arial" w:hAnsi="Arial"/>
          <w:b/>
          <w:bCs/>
          <w:color w:val="0D2137"/>
          <w:sz w:val="22"/>
          <w:szCs w:val="22"/>
        </w:rPr>
        <w:t xml:space="preserve">Short-Term vs. Sustained-Campaign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HORIZON</w:t>
            </w:r>
          </w:p>
        </w:tc>
        <w:tc>
          <w:tcPr>
            <w:tcW w:type="dxa" w:w="348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PRIMARY OBJECTIVE</w:t>
            </w:r>
          </w:p>
        </w:tc>
        <w:tc>
          <w:tcPr>
            <w:tcW w:type="dxa" w:w="348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PRINCIPAL REQUIREMENT</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0–90 days (surge)</w:t>
            </w:r>
          </w:p>
        </w:tc>
        <w:tc>
          <w:tcPr>
            <w:tcW w:type="dxa" w:w="3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Restore tanker confidence, prevent escalation spiral, reassure markets</w:t>
            </w:r>
          </w:p>
        </w:tc>
        <w:tc>
          <w:tcPr>
            <w:tcW w:type="dxa" w:w="3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Escort capacity, MCM, air/missile defense, SPR release, DFC war-risk insurance backstop</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3–12 months (sustained campaign)</w:t>
            </w:r>
          </w:p>
        </w:tc>
        <w:tc>
          <w:tcPr>
            <w:tcW w:type="dxa" w:w="34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Maintain deterrence, protect allied energy access, preserve coalition cohesion</w:t>
            </w:r>
          </w:p>
        </w:tc>
        <w:tc>
          <w:tcPr>
            <w:tcW w:type="dxa" w:w="34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Distributed basing endurance, maintenance tempo, burden-sharing, partner political tolerance</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1–5 years (long-term posture)</w:t>
            </w:r>
          </w:p>
        </w:tc>
        <w:tc>
          <w:tcPr>
            <w:tcW w:type="dxa" w:w="3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Avoid permanent crisis footing; deter without overextension</w:t>
            </w:r>
          </w:p>
        </w:tc>
        <w:tc>
          <w:tcPr>
            <w:tcW w:type="dxa" w:w="34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Resilient allied transit, partner burden absorption, normalized but modernized regional architecture</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I: GEOGRAPHIC AND INFRASTRUCTURE BASELINE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I: GEOGRAPHIC AND INFRASTRUCTURE BASELINE</w:t>
      </w:r>
    </w:p>
    <w:p>
      <w:pPr>
        <w:spacing w:after="120"/>
        <w:jc w:val="both"/>
      </w:pPr>
      <w:r>
        <w:rPr>
          <w:rFonts w:ascii="Arial" w:cs="Arial" w:eastAsia="Arial" w:hAnsi="Arial"/>
          <w:sz w:val="20"/>
          <w:szCs w:val="20"/>
        </w:rPr>
        <w:t xml:space="preserve">This section establishes the physical and economic facts that define the posture problem. These are observed conditions, not assessments.</w:t>
      </w:r>
    </w:p>
    <w:p>
      <w:pPr>
        <w:spacing w:after="80"/>
      </w:pPr>
      <w:r>
        <w:t xml:space="preserve"/>
      </w:r>
    </w:p>
    <w:p>
      <w:pPr>
        <w:pStyle w:val="Heading2"/>
        <w:spacing w:after="80" w:before="240"/>
      </w:pPr>
      <w:r>
        <w:rPr>
          <w:rFonts w:ascii="Arial" w:cs="Arial" w:eastAsia="Arial" w:hAnsi="Arial"/>
          <w:b/>
          <w:bCs/>
          <w:color w:val="1F4E79"/>
          <w:sz w:val="24"/>
          <w:szCs w:val="24"/>
        </w:rPr>
        <w:t xml:space="preserve">1.1 Strait of Hormuz — Physical and Traffic Characteristics</w:t>
      </w:r>
    </w:p>
    <w:p>
      <w:pPr>
        <w:spacing w:after="120"/>
        <w:jc w:val="both"/>
      </w:pPr>
      <w:r>
        <w:rPr>
          <w:rFonts w:ascii="Arial" w:cs="Arial" w:eastAsia="Arial" w:hAnsi="Arial"/>
          <w:sz w:val="20"/>
          <w:szCs w:val="20"/>
        </w:rPr>
        <w:t xml:space="preserve">OBSERVED: The strait connects the Persian Gulf to the Gulf of Oman and the Arabian Sea. At its narrowest point it is 34 km wide. The IMO Traffic Separation Scheme (TSS) operates two one-way shipping lanes, each 3.2 km wide, separated by a 3.2 km buffer zone. Fully laden VLCCs require 20–25 meters of draft; the strait is 20–60 meters deep throughout the navigable channel. Iran's coast forms the northern boundary; Oman's Musandam Peninsula the south.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61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VALUE (2024–2026 BASELINE)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Daily oil transit</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 million barrels per day — approx. 20% of global consumption</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Share of global seaborne oil trade</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~25% of all seaborne oil</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LNG transit (primarily Qatar)</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 of global LNG trade — no bypass option exists for LNG</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Annual energy value</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~$500 billion USD</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Asian market share of Hormuz crude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84% — China, India, Japan, South Korea primary destinations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Saudi Arabia's Hormuz throughput</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5.5 million bpd (38% of Hormuz crude)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Total bypass pipeline capacity (all alternatives)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 million bpd — 15% of normal flow; no LNG bypass exists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Iranian mine inventory (DIA 2019 estimate)</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5,000+ naval mines; deployable via fast-attack boats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KEY CONSTRAINT</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There is no realistic near-term bypass. Saudi Arabia's East-West pipeline, the UAE's Habshan-Fujairah pipeline, and Iran's Goreh-Jask pipeline together handle approximately 3 million bpd — less than 15% of normal Hormuz flow. All Qatari LNG must transit the strait. A sustained closure would likely produce a major global supply shock within weeks. IMPLICATION: This constraint makes restoring transit confidence — not seizing infrastructure — the correct organizing principle for U.S. posture.</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1.2 Kharg Island — Iran's Principal Oil-Export Revenue Node</w:t>
      </w:r>
    </w:p>
    <w:p>
      <w:pPr>
        <w:spacing w:after="120"/>
        <w:jc w:val="both"/>
      </w:pPr>
      <w:r>
        <w:rPr>
          <w:rFonts w:ascii="Arial" w:cs="Arial" w:eastAsia="Arial" w:hAnsi="Arial"/>
          <w:sz w:val="20"/>
          <w:szCs w:val="20"/>
        </w:rPr>
        <w:t xml:space="preserve">OBSERVED: Kharg Island is a limestone island approximately 8 km long, located 25–34 km off Iran's coast in the northern Persian Gulf, 483 km northwest of the strait itself. It handles 90–98% of Iranian crude exports. The island was originally built by Amoco (U.S.) in the 1960s and is operated by the National Iranian Oil Company (NIOC).</w:t>
      </w:r>
    </w:p>
    <w:p>
      <w:pPr>
        <w:spacing w:after="120"/>
        <w:jc w:val="both"/>
      </w:pPr>
      <w:r>
        <w:rPr>
          <w:rFonts w:ascii="Arial" w:cs="Arial" w:eastAsia="Arial" w:hAnsi="Arial"/>
          <w:sz w:val="20"/>
          <w:szCs w:val="20"/>
        </w:rPr>
        <w:t xml:space="preserve">Kharg is the principal Iranian oil-export revenue node and therefore the most important economic center of gravity in the theater. This characterization has a single important implication: Kharg defines the upper bound of coercive leverage available to the United States. It does not by itself determine the preferred U.S. regional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KHARG INFRASTRUCTURE</w:t>
            </w:r>
          </w:p>
        </w:tc>
        <w:tc>
          <w:tcPr>
            <w:tcW w:type="dxa" w:w="61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SPECIFICATION</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Loading capacity</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7 million bpd maximum; 10 VLCCs simultaneously</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Current export volume</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1.3–1.6 million bpd sanctioned; pre-conflict peaks of 2–3 million bpd</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Onboard storage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28–30 million barrels (~20–23 days of current export flow)</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Loading terminals</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7 main jetties plus remote mooring; T-Dock (east) and Azarpad (west)</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Supply pipelines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 submarine pipelines from mainland Khuzestan oil fields — critical vulnerability</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Share of Iran's crude exports</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90–98%</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Iran's fiscal dependence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25–40% of government budget; primary source of foreign currency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PIPELINE VULNERABILITY</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The five submarine pipelines connecting mainland Iranian oil fields to Kharg are the node's principal structural vulnerability. Any territorial-control contingency involving the island must account for the fact that Iran can disrupt crude supply from the mainland even after loss of the island. The 20–23 day onboard storage buffer is the operative window before flow interruption. ASSESSMENT [MODERATE CONFIDENCE]: This vulnerability significantly complicates any seizure scenario and raises the force-footprint requirement substantially beyond island control alone.</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1.3 Chokepoint Islands — Military Control Variables in the Strait</w:t>
      </w:r>
    </w:p>
    <w:p>
      <w:pPr>
        <w:spacing w:after="120"/>
        <w:jc w:val="both"/>
      </w:pPr>
      <w:r>
        <w:rPr>
          <w:rFonts w:ascii="Arial" w:cs="Arial" w:eastAsia="Arial" w:hAnsi="Arial"/>
          <w:sz w:val="20"/>
          <w:szCs w:val="20"/>
        </w:rPr>
        <w:t xml:space="preserve">Three disputed islands — Abu Musa, Greater Tunb, and Lesser Tunb — sit near the mouth of the strait under Iranian control since 1971. The UAE maintains a sovereignty claim over all three; China formally backed that claim in December 2025. These islands are treated here as strategic variables affecting control of the TSS lanes, not as recommended seizure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ISLAND</w:t>
            </w:r>
          </w:p>
        </w:tc>
        <w:tc>
          <w:tcPr>
            <w:tcW w:type="dxa" w:w="20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COORDINATES</w:t>
            </w:r>
          </w:p>
        </w:tc>
        <w:tc>
          <w:tcPr>
            <w:tcW w:type="dxa" w:w="53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MILITARY SIGNIFICANCE</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Abu Musa</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25.87°N 55.03°E</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Largest; active IRGC garrison; anti-ship missile batteries; radar; airstrip. Commands southern TSS lane. UAE sovereignty claim provides diplomatic framework.</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Greater Tunb</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26.26°N 55.32°E</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IRGC base; fire-control and radar overwatch of both TSS lanes. Commands northern lane.</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Lesser Tunb</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26.24°N 55.16°E</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Small IRGC patrol station. Primarily surveillance value.</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Farur Island</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26.27°N 54.52°E</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IRGC Naval Special Forces — vessel seizure, mine-laying, maritime sabotage staging base.</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Qeshm Island</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26.83°N 55.96°E</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Iran's largest island; IRGC naval facilities; submarine base. Significant but inside Iranian territorial waters.</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II: U.S. REGIONAL POSTURE OPTIONS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II: U.S. REGIONAL POSTURE OPTIONS</w:t>
      </w:r>
    </w:p>
    <w:p>
      <w:pPr>
        <w:spacing w:after="120"/>
        <w:jc w:val="both"/>
      </w:pPr>
      <w:r>
        <w:rPr>
          <w:rFonts w:ascii="Arial" w:cs="Arial" w:eastAsia="Arial" w:hAnsi="Arial"/>
          <w:sz w:val="20"/>
          <w:szCs w:val="20"/>
        </w:rPr>
        <w:t xml:space="preserve">This section defines three distinct posture options available to the United States. They differ in footprint, legal exposure, sustainment burden, escalation risk, and alliance compatibility. The editorial judgment is that Posture 2 — reinforced distributed posture — is analytically favored. Territorial-control contingencies are addressed under Posture 3 as high-escalation branches.</w:t>
      </w:r>
    </w:p>
    <w:p>
      <w:pPr>
        <w:spacing w:after="80"/>
      </w:pPr>
      <w:r>
        <w:t xml:space="preserve"/>
      </w:r>
    </w:p>
    <w:p>
      <w:pPr>
        <w:pStyle w:val="Heading2"/>
        <w:spacing w:after="80" w:before="240"/>
      </w:pPr>
      <w:r>
        <w:rPr>
          <w:rFonts w:ascii="Arial" w:cs="Arial" w:eastAsia="Arial" w:hAnsi="Arial"/>
          <w:b/>
          <w:bCs/>
          <w:color w:val="1F4E79"/>
          <w:sz w:val="24"/>
          <w:szCs w:val="24"/>
        </w:rPr>
        <w:t xml:space="preserve">Posture 1 — Limited Crisis-Response Posture</w:t>
      </w:r>
    </w:p>
    <w:p>
      <w:pPr>
        <w:spacing w:after="120"/>
        <w:jc w:val="both"/>
      </w:pPr>
      <w:r>
        <w:rPr>
          <w:rFonts w:ascii="Arial" w:cs="Arial" w:eastAsia="Arial" w:hAnsi="Arial"/>
          <w:sz w:val="20"/>
          <w:szCs w:val="20"/>
        </w:rPr>
        <w:t xml:space="preserve">DESCRIPTION: Minimal additional footprint. Emphasis on maritime escort of allied tankers, defensive maritime security operations, strategic reserve release, and partner reassurance. Does not significantly expand U.S. presence beyond pre-crisis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ELEMENT</w:t>
            </w:r>
          </w:p>
        </w:tc>
        <w:tc>
          <w:tcPr>
            <w:tcW w:type="dxa" w:w="71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Primary operations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Naval escort of allied tankers through TSS; DFC war-risk insurance backstop; IEA SPR coordination</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Force additions</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Marginal; leverages existing 5th Fleet (Bahrain) posture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Legal exposure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Low — escort and freedom-of-navigation operations have strong UNCLOS and customary law basis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Escalation risk</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Low-moderate — does not provoke Iranian territorial response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Sustainment burden</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Low — existing forward posture absorbs most requirements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Limitation</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Insufficient if Iran actively mines the strait or conducts sustained anti-ship missile operations. Escort capacity alone cannot guarantee passage under contested conditions.</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Posture 2 — Reinforced Distributed Posture [Analytically Favored]</w:t>
      </w:r>
    </w:p>
    <w:p>
      <w:pPr>
        <w:spacing w:after="120"/>
        <w:jc w:val="both"/>
      </w:pPr>
      <w:r>
        <w:rPr>
          <w:rFonts w:ascii="Arial" w:cs="Arial" w:eastAsia="Arial" w:hAnsi="Arial"/>
          <w:sz w:val="20"/>
          <w:szCs w:val="20"/>
        </w:rPr>
        <w:t xml:space="preserve">DESCRIPTION: Surge-level reinforcement of existing U.S. and partner hub architecture across Bahrain, Qatar, UAE, and Kuwait. Adds persistent MCM, enhanced air and missile defense, increased carrier strike group presence, coalition burden-sharing, and logistics redundancy. Does not seek territorial control of Iranian-held positions.</w:t>
      </w:r>
    </w:p>
    <w:p>
      <w:pPr>
        <w:spacing w:after="120"/>
        <w:jc w:val="both"/>
      </w:pPr>
      <w:r>
        <w:rPr>
          <w:rFonts w:ascii="Arial" w:cs="Arial" w:eastAsia="Arial" w:hAnsi="Arial"/>
          <w:sz w:val="20"/>
          <w:szCs w:val="20"/>
        </w:rPr>
        <w:t xml:space="preserve">ASSESSMENT [MODERATE-HIGH CONFIDENCE]: This posture offers the strongest balance of effectiveness, legality, coalition sustainability, and market reassurance available under current crisis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ELEMENT</w:t>
            </w:r>
          </w:p>
        </w:tc>
        <w:tc>
          <w:tcPr>
            <w:tcW w:type="dxa" w:w="71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Naval command (Bahrain — 5th Fleet)</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Escort operations HQ; Combined Maritime Forces coordination; persistent maritime security across the TSS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Air/command architecture (Qatar — Al Udeid)</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Theater command; ISR integration; airpower coordination; theater sustainment logistics</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Air and missile defense (UAE)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Patriot PAC-3, THAAD; naval surface combatants; logistics access outside the inner Gulf; redundancy node</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Ground logistics depth (Kuwait)</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Prepositioning; reinforcement flexibility; land-route options if sea lanes disrupted</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Mine countermeasures (persistent)</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MCM vessels + helicopters + UUVs; continuous sweep of TSS lanes; neutralize Iranian fast-boat staging bases at Farur and Larak through standoff strike if authorized</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Coalition partners</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UK, France, Australia under Combined Maritime Forces; Japan under bilateral maritime security framework; India as parallel partner</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Legal exposure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Moderate — reinforced presence on sovereign partner territory is legally sound; MCM and escort operations within the TSS have strong legal basis under UNCLOS Art. 38 (transit passage)</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Escalation risk</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Moderate — Iran may interpret reinforcement as preparation for territorial action; communication of intent is a critical requirement</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Sustainment burden</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Moderate-high — carrier strike group maintenance tempo; MCM operational persistence; partner logistics support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POSTURE 2 — KEY ADVANTAGE</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This posture does not require the United States to administer Iranian territory, manage civilian populations, sustain submarine pipeline security, or defend a seizure under international law. It preserves the coercive option without incurring the administration burden prematurely. The legal and political basis for reinforced presence at existing partner hubs is substantially cleaner than any territorial-control scenario.</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Posture 3 — Escalatory Coercive Posture</w:t>
      </w:r>
    </w:p>
    <w:p>
      <w:pPr>
        <w:spacing w:after="120"/>
        <w:jc w:val="both"/>
      </w:pPr>
      <w:r>
        <w:rPr>
          <w:rFonts w:ascii="Arial" w:cs="Arial" w:eastAsia="Arial" w:hAnsi="Arial"/>
          <w:sz w:val="20"/>
          <w:szCs w:val="20"/>
        </w:rPr>
        <w:t xml:space="preserve">DESCRIPTION: Posture 3 encompasses territorial-control contingencies — including Kharg Island seizure and chokepoint island seizure. These are assessed as high-escalation branches carrying substantial escalation, legal, and sustainment burdens. They should not be treated as the baseline recommended course.</w:t>
      </w:r>
    </w:p>
    <w:p>
      <w:pPr>
        <w:spacing w:after="120"/>
        <w:jc w:val="both"/>
      </w:pPr>
      <w:r>
        <w:rPr>
          <w:rFonts w:ascii="Arial" w:cs="Arial" w:eastAsia="Arial" w:hAnsi="Arial"/>
          <w:sz w:val="20"/>
          <w:szCs w:val="20"/>
        </w:rPr>
        <w:t xml:space="preserve">OBSERVED: As of March 8, 2026, Axios reported that U.S. officials are actively discussing Kharg Island seizure as a contingency. This confirms Posture 3 elements are under live policy consideration. The discussion here frames what burdens those contingencies would create, not how to execute them.</w:t>
      </w:r>
    </w:p>
    <w:p>
      <w:pPr>
        <w:spacing w:after="80"/>
      </w:pPr>
      <w:r>
        <w:t xml:space="preserve"/>
      </w:r>
    </w:p>
    <w:p>
      <w:pPr>
        <w:spacing w:after="60" w:before="160"/>
      </w:pPr>
      <w:r>
        <w:rPr>
          <w:rFonts w:ascii="Arial" w:cs="Arial" w:eastAsia="Arial" w:hAnsi="Arial"/>
          <w:b/>
          <w:bCs/>
          <w:color w:val="0D2137"/>
          <w:sz w:val="22"/>
          <w:szCs w:val="22"/>
        </w:rPr>
        <w:t xml:space="preserve">If a Territorial-Control Contingency Were Pursued, Four Major Burdens Would Follow:</w:t>
      </w:r>
    </w:p>
    <w:p>
      <w:pPr>
        <w:spacing w:after="120"/>
        <w:jc w:val="both"/>
      </w:pPr>
      <w:r>
        <w:rPr>
          <w:rFonts w:ascii="Arial" w:cs="Arial" w:eastAsia="Arial" w:hAnsi="Arial"/>
          <w:b/>
          <w:bCs/>
          <w:color w:val="0D2137"/>
          <w:sz w:val="20"/>
          <w:szCs w:val="20"/>
        </w:rPr>
        <w:t xml:space="preserve">Burden 1 — Initial suppression and access: </w:t>
      </w:r>
      <w:r>
        <w:rPr>
          <w:rFonts w:ascii="Arial" w:cs="Arial" w:eastAsia="Arial" w:hAnsi="Arial"/>
          <w:color w:val="000000"/>
          <w:sz w:val="20"/>
          <w:szCs w:val="20"/>
        </w:rPr>
        <w:t xml:space="preserve">Suppressing IRGC air defenses, coastal anti-ship missile batteries, and fast-attack boat staging areas would be required before any territorial action. These operations would almost certainly be interpreted as the opening of a broader conflict rather than a limited coercive action.</w:t>
      </w:r>
    </w:p>
    <w:p>
      <w:pPr>
        <w:spacing w:after="120"/>
        <w:jc w:val="both"/>
      </w:pPr>
      <w:r>
        <w:rPr>
          <w:rFonts w:ascii="Arial" w:cs="Arial" w:eastAsia="Arial" w:hAnsi="Arial"/>
          <w:b/>
          <w:bCs/>
          <w:color w:val="0D2137"/>
          <w:sz w:val="20"/>
          <w:szCs w:val="20"/>
        </w:rPr>
        <w:t xml:space="preserve">Burden 2 — Civilian-protection and infrastructure-protection: </w:t>
      </w:r>
      <w:r>
        <w:rPr>
          <w:rFonts w:ascii="Arial" w:cs="Arial" w:eastAsia="Arial" w:hAnsi="Arial"/>
          <w:color w:val="000000"/>
          <w:sz w:val="20"/>
          <w:szCs w:val="20"/>
        </w:rPr>
        <w:t xml:space="preserve">Kharg Island has approximately 10,000 permanent residents. Under the Hague Regulations (Arts. 42–56) and Geneva Convention IV, belligerent occupation creates binding duties to protect the civilian population, maintain public order, and preserve property. Operating an oil terminal under occupation creates additional legal complexity regarding revenue disposition. These obligations do not diminish over time — they increase.</w:t>
      </w:r>
    </w:p>
    <w:p>
      <w:pPr>
        <w:spacing w:after="120"/>
        <w:jc w:val="both"/>
      </w:pPr>
      <w:r>
        <w:rPr>
          <w:rFonts w:ascii="Arial" w:cs="Arial" w:eastAsia="Arial" w:hAnsi="Arial"/>
          <w:b/>
          <w:bCs/>
          <w:color w:val="0D2137"/>
          <w:sz w:val="20"/>
          <w:szCs w:val="20"/>
        </w:rPr>
        <w:t xml:space="preserve">Burden 3 — Maritime security and commercial confidence: </w:t>
      </w:r>
      <w:r>
        <w:rPr>
          <w:rFonts w:ascii="Arial" w:cs="Arial" w:eastAsia="Arial" w:hAnsi="Arial"/>
          <w:color w:val="000000"/>
          <w:sz w:val="20"/>
          <w:szCs w:val="20"/>
        </w:rPr>
        <w:t xml:space="preserve">Seizure of Iranian-held territory would almost certainly accelerate mine deployment, anti-ship missile operations, and proxy activation before, during, and after the operation. The insurance and commercial confidence problem could worsen before it improves. Tanker operators do not distinguish between 'operation underway' and 'crisis resolved.'</w:t>
      </w:r>
    </w:p>
    <w:p>
      <w:pPr>
        <w:spacing w:after="120"/>
        <w:jc w:val="both"/>
      </w:pPr>
      <w:r>
        <w:rPr>
          <w:rFonts w:ascii="Arial" w:cs="Arial" w:eastAsia="Arial" w:hAnsi="Arial"/>
          <w:b/>
          <w:bCs/>
          <w:color w:val="0D2137"/>
          <w:sz w:val="20"/>
          <w:szCs w:val="20"/>
        </w:rPr>
        <w:t xml:space="preserve">Burden 4 — Long-term administration and legal burden: </w:t>
      </w:r>
      <w:r>
        <w:rPr>
          <w:rFonts w:ascii="Arial" w:cs="Arial" w:eastAsia="Arial" w:hAnsi="Arial"/>
          <w:color w:val="000000"/>
          <w:sz w:val="20"/>
          <w:szCs w:val="20"/>
        </w:rPr>
        <w:t xml:space="preserve">A seizure creates a legal status that must eventually be resolved. Indefinite belligerent occupation of oil infrastructure creates precedent and diplomatic liability. The longer the occupation, the higher the legal and political cost of exit. There is no historical case of the United States holding Iranian oil infrastructure for an extended period.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7B3F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POSTURE 3 — ASSESSMENT</w:t>
            </w:r>
          </w:p>
        </w:tc>
        <w:tc>
          <w:tcPr>
            <w:tcW w:type="dxa" w:w="8060"/>
            <w:tcBorders>
              <w:top w:val="single" w:color="999999" w:sz="1"/>
              <w:left w:val="single" w:color="999999" w:sz="1"/>
              <w:bottom w:val="single" w:color="999999" w:sz="1"/>
              <w:right w:val="single" w:color="999999" w:sz="1"/>
            </w:tcBorders>
            <w:shd w:fill="FFF3CD" w:val="clear"/>
            <w:tcMar>
              <w:top w:type="dxa" w:w="80"/>
              <w:left w:type="dxa" w:w="140"/>
              <w:bottom w:type="dxa" w:w="80"/>
              <w:right w:type="dxa" w:w="100"/>
            </w:tcMar>
          </w:tcPr>
          <w:p>
            <w:r>
              <w:rPr>
                <w:rFonts w:ascii="Arial" w:cs="Arial" w:eastAsia="Arial" w:hAnsi="Arial"/>
                <w:i/>
                <w:iCs/>
                <w:sz w:val="19"/>
                <w:szCs w:val="19"/>
              </w:rPr>
              <w:t xml:space="preserve">Territorial-control contingencies retain coercive relevance precisely because Kharg is Iran's principal revenue node. Their deterrence value may be real. But deterrence value and execution burden are not the same thing. A credible threat to seize Kharg may produce coercive effects without requiring the United States to actually administer it — which is the stronger analytic case for keeping Posture 3 as a branch, not a baseline.</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III: SHORT-TERM OPERATIONS AND SUSTAINED CAMPAIGN EFFECTS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III: SHORT-TERM OPERATIONS AND SUSTAINED CAMPAIGN EFFECTS</w:t>
      </w:r>
    </w:p>
    <w:p>
      <w:pPr>
        <w:pStyle w:val="Heading2"/>
        <w:spacing w:after="80" w:before="240"/>
      </w:pPr>
      <w:r>
        <w:rPr>
          <w:rFonts w:ascii="Arial" w:cs="Arial" w:eastAsia="Arial" w:hAnsi="Arial"/>
          <w:b/>
          <w:bCs/>
          <w:color w:val="1F4E79"/>
          <w:sz w:val="24"/>
          <w:szCs w:val="24"/>
        </w:rPr>
        <w:t xml:space="preserve">3.1 Immediate Crisis Period: First 30–90 Days</w:t>
      </w:r>
    </w:p>
    <w:p>
      <w:pPr>
        <w:spacing w:after="120"/>
        <w:jc w:val="both"/>
      </w:pPr>
      <w:r>
        <w:rPr>
          <w:rFonts w:ascii="Arial" w:cs="Arial" w:eastAsia="Arial" w:hAnsi="Arial"/>
          <w:sz w:val="20"/>
          <w:szCs w:val="20"/>
        </w:rPr>
        <w:t xml:space="preserve">The first 30–90 days are characterized by maximum uncertainty, maximum market volatility, and maximum escalation risk. The primary objectives are restoring tanker confidence, preventing escalation spirals, and stabilizing energy markets. Force requirements are highest in this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65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DETAIL AND CURRENT STATUS</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Tanker confidence restoration</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DFC war-risk insurance backstop for non-sanctioned tankers (Trump referenced March 3, 2026); naval escort program through TSS; demonstrate safe transit to commercial operators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Mine countermeasures tempo</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Continuous MCM sweep of TSS inbound and outbound lanes; Iran's 5,000+ mine inventory is the single highest-probability physical disruption method; MCM is labor- and asset-intensive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Missile defense coverage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Patriot PAC-3 and THAAD coverage for partner port infrastructure; naval SM-6 coverage for carrier strike groups and tanker convoys; Houthi and IRGC missile threat from multiple azimuths</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Strategic Petroleum Reserve release</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Coordinate U.S. SPR release with IEA member states (combined strategic reserves exceed 1.5 billion barrels); releases of 3–4 million bpd for 30 days are achievable; primary price-stabilization instrument</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Escalation control communication</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Critical to prevent Iranian misreading of Posture 2 reinforcement as preparation for Posture 3 execution; back-channel signaling through Oman (established precedent) or Swiss interests section</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Partner force protection</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Qatar (Al Udeid), Bahrain, UAE, Kuwait facilities require hardened air defense; Iran struck Al Udeid with 14 missiles in June 2025; this threat is demonstrated, not hypothetical</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3.2 Sustained Campaign Period: 3–12 Months</w:t>
      </w:r>
    </w:p>
    <w:p>
      <w:pPr>
        <w:spacing w:after="120"/>
        <w:jc w:val="both"/>
      </w:pPr>
      <w:r>
        <w:rPr>
          <w:rFonts w:ascii="Arial" w:cs="Arial" w:eastAsia="Arial" w:hAnsi="Arial"/>
          <w:sz w:val="20"/>
          <w:szCs w:val="20"/>
        </w:rPr>
        <w:t xml:space="preserve">If the crisis persists beyond 90 days — assessed as possible given the political dynamics of any negotiated re-opening — the burden profile shifts from surge operations to distributed endurance. The primary risks in this window are coalition fragmentation, maintenance shortfalls, and partner political tolerance erosion.</w:t>
      </w:r>
    </w:p>
    <w:p>
      <w:pPr>
        <w:pStyle w:val="ListParagraph"/>
        <w:numPr>
          <w:ilvl w:val="0"/>
          <w:numId w:val="2"/>
        </w:numPr>
        <w:spacing w:after="80"/>
      </w:pPr>
      <w:r>
        <w:rPr>
          <w:rFonts w:ascii="Arial" w:cs="Arial" w:eastAsia="Arial" w:hAnsi="Arial"/>
          <w:sz w:val="20"/>
          <w:szCs w:val="20"/>
        </w:rPr>
        <w:t xml:space="preserve">Distributed basing endurance: Carrier strike group maintenance cycles (typically 6–9 months deployed) create rotation requirements. Sustaining two CSGs in the Gulf and adjacent waters simultaneously is operationally demanding and creates real tradeoffs with Indo-Pacific posture requirements.</w:t>
      </w:r>
    </w:p>
    <w:p>
      <w:pPr>
        <w:pStyle w:val="ListParagraph"/>
        <w:numPr>
          <w:ilvl w:val="0"/>
          <w:numId w:val="2"/>
        </w:numPr>
        <w:spacing w:after="80"/>
      </w:pPr>
      <w:r>
        <w:rPr>
          <w:rFonts w:ascii="Arial" w:cs="Arial" w:eastAsia="Arial" w:hAnsi="Arial"/>
          <w:sz w:val="20"/>
          <w:szCs w:val="20"/>
        </w:rPr>
        <w:t xml:space="preserve">MCM persistence: Mine countermeasures cannot be paused. A single missed mine that strikes a tanker during an 'escort period' would reset commercial confidence to zero. MCM is not a one-time clearance operation; it is a continuous commitment.</w:t>
      </w:r>
    </w:p>
    <w:p>
      <w:pPr>
        <w:pStyle w:val="ListParagraph"/>
        <w:numPr>
          <w:ilvl w:val="0"/>
          <w:numId w:val="2"/>
        </w:numPr>
        <w:spacing w:after="80"/>
      </w:pPr>
      <w:r>
        <w:rPr>
          <w:rFonts w:ascii="Arial" w:cs="Arial" w:eastAsia="Arial" w:hAnsi="Arial"/>
          <w:sz w:val="20"/>
          <w:szCs w:val="20"/>
        </w:rPr>
        <w:t xml:space="preserve">Coalition participation: UK, France, Australia, and Japan contributions under Combined Maritime Forces can absorb a portion of escort and MCM burden. ASSESSMENT [MODERATE CONFIDENCE]: Coalition partners will sustain participation for 3–6 months without significant political difficulty; participation at 6–12 months becomes politically contingent on visible progress toward re-opening.</w:t>
      </w:r>
    </w:p>
    <w:p>
      <w:pPr>
        <w:pStyle w:val="ListParagraph"/>
        <w:numPr>
          <w:ilvl w:val="0"/>
          <w:numId w:val="2"/>
        </w:numPr>
        <w:spacing w:after="80"/>
      </w:pPr>
      <w:r>
        <w:rPr>
          <w:rFonts w:ascii="Arial" w:cs="Arial" w:eastAsia="Arial" w:hAnsi="Arial"/>
          <w:sz w:val="20"/>
          <w:szCs w:val="20"/>
        </w:rPr>
        <w:t xml:space="preserve">Commercial adaptation: Shipping companies will route away from the Gulf entirely if sustained disruption appears likely, redirecting cargoes through alternative routes (Suez, Cape of Good Hope) at higher cost. This reduces U.S. escort burden but increases global freight costs and creates its own economic effects.</w:t>
      </w:r>
    </w:p>
    <w:p>
      <w:pPr>
        <w:pStyle w:val="ListParagraph"/>
        <w:numPr>
          <w:ilvl w:val="0"/>
          <w:numId w:val="2"/>
        </w:numPr>
        <w:spacing w:after="80"/>
      </w:pPr>
      <w:r>
        <w:rPr>
          <w:rFonts w:ascii="Arial" w:cs="Arial" w:eastAsia="Arial" w:hAnsi="Arial"/>
          <w:sz w:val="20"/>
          <w:szCs w:val="20"/>
        </w:rPr>
        <w:t xml:space="preserve">Red Sea–Gulf linkage: The Bab el-Mandeb Strait remains a secondary chokepoint. Houthi activity demonstrated in 2024–2025 that simultaneous disruption of both Hormuz and Bab el-Mandeb is operationally feasible for Iran's proxy network. A sustained Hormuz campaign that ignores Bab el-Mandeb creates a second-order vulnerability.</w:t>
      </w:r>
    </w:p>
    <w:p>
      <w:pPr>
        <w:pStyle w:val="ListParagraph"/>
        <w:numPr>
          <w:ilvl w:val="0"/>
          <w:numId w:val="2"/>
        </w:numPr>
        <w:spacing w:after="80"/>
      </w:pPr>
      <w:r>
        <w:rPr>
          <w:rFonts w:ascii="Arial" w:cs="Arial" w:eastAsia="Arial" w:hAnsi="Arial"/>
          <w:sz w:val="20"/>
          <w:szCs w:val="20"/>
        </w:rPr>
        <w:t xml:space="preserve">Chinese energy adjustment: ASSESSMENT [MODERATE CONFIDENCE]: China's ability to substitute Iranian crude with Saudi, UAE, Iraqi, or Russian supply will begin to manifest at 3–6 months. The substitution cost is real but manageable for Beijing's longer time horizon. China's economic pain in the 3–12 month window is likely to be expressed through diplomatic pressure and economic retaliation rather than naval intervention.</w:t>
      </w:r>
    </w:p>
    <w:p>
      <w:pPr>
        <w:spacing w:after="80"/>
      </w:pPr>
      <w:r>
        <w:t xml:space="preserve"/>
      </w:r>
    </w:p>
    <w:p>
      <w:pPr>
        <w:pStyle w:val="Heading2"/>
        <w:spacing w:after="80" w:before="240"/>
      </w:pPr>
      <w:r>
        <w:rPr>
          <w:rFonts w:ascii="Arial" w:cs="Arial" w:eastAsia="Arial" w:hAnsi="Arial"/>
          <w:b/>
          <w:bCs/>
          <w:color w:val="1F4E79"/>
          <w:sz w:val="24"/>
          <w:szCs w:val="24"/>
        </w:rPr>
        <w:t xml:space="preserve">3.3 Longer-Term Posture: 1–5 Years</w:t>
      </w:r>
    </w:p>
    <w:p>
      <w:pPr>
        <w:spacing w:after="120"/>
        <w:jc w:val="both"/>
      </w:pPr>
      <w:r>
        <w:rPr>
          <w:rFonts w:ascii="Arial" w:cs="Arial" w:eastAsia="Arial" w:hAnsi="Arial"/>
          <w:sz w:val="20"/>
          <w:szCs w:val="20"/>
        </w:rPr>
        <w:t xml:space="preserve">KEY UNKNOWN: Whether a Hormuz crisis of this magnitude normalizes into a new elevated steady-state posture or resolves toward a negotiated re-opening is not predictable from current indicators. Both outcomes have historical precedent.</w:t>
      </w:r>
    </w:p>
    <w:p>
      <w:pPr>
        <w:pStyle w:val="ListParagraph"/>
        <w:numPr>
          <w:ilvl w:val="0"/>
          <w:numId w:val="2"/>
        </w:numPr>
        <w:spacing w:after="80"/>
      </w:pPr>
      <w:r>
        <w:rPr>
          <w:rFonts w:ascii="Arial" w:cs="Arial" w:eastAsia="Arial" w:hAnsi="Arial"/>
          <w:sz w:val="20"/>
          <w:szCs w:val="20"/>
        </w:rPr>
        <w:t xml:space="preserve">If the crisis resolves within 12 months (most likely outcome based on economic pressure on both Iran and China): The United States should plan for a 'normalized but modernized' regional architecture — maintaining enhanced MCM capacity and partner air/missile defense improvements as permanent residual capability, without sustaining two-CSG presence indefinitely.</w:t>
      </w:r>
    </w:p>
    <w:p>
      <w:pPr>
        <w:pStyle w:val="ListParagraph"/>
        <w:numPr>
          <w:ilvl w:val="0"/>
          <w:numId w:val="2"/>
        </w:numPr>
        <w:spacing w:after="80"/>
      </w:pPr>
      <w:r>
        <w:rPr>
          <w:rFonts w:ascii="Arial" w:cs="Arial" w:eastAsia="Arial" w:hAnsi="Arial"/>
          <w:sz w:val="20"/>
          <w:szCs w:val="20"/>
        </w:rPr>
        <w:t xml:space="preserve">If the crisis persists beyond 12 months: Strategic drag becomes the dominant concern. Prolonged elevated Gulf presence at the expense of Indo-Pacific force availability is assessed as the most significant long-term cost. Partner burden-sharing must increase substantially to compensate.</w:t>
      </w:r>
    </w:p>
    <w:p>
      <w:pPr>
        <w:pStyle w:val="ListParagraph"/>
        <w:numPr>
          <w:ilvl w:val="0"/>
          <w:numId w:val="2"/>
        </w:numPr>
        <w:spacing w:after="80"/>
      </w:pPr>
      <w:r>
        <w:rPr>
          <w:rFonts w:ascii="Arial" w:cs="Arial" w:eastAsia="Arial" w:hAnsi="Arial"/>
          <w:sz w:val="20"/>
          <w:szCs w:val="20"/>
        </w:rPr>
        <w:t xml:space="preserve">Whether permanent elevated presence is justified: ASSESSMENT [LOW CONFIDENCE — inherently scenario-dependent]: Permanent two-CSG Gulf presence is not justified absent a sustained Iranian closure posture. The correct longer-term objective is resilient allied transit and deterrence without permanent crisis-level overpresence.</w:t>
      </w:r>
    </w:p>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IV: U.S. REGIONAL ARCHITECTURE — WHERE PRESENCE MATTERS MOST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IV: U.S. REGIONAL ARCHITECTURE — WHERE PRESENCE MATTERS MOST</w:t>
      </w:r>
    </w:p>
    <w:p>
      <w:pPr>
        <w:spacing w:after="120"/>
        <w:jc w:val="both"/>
      </w:pPr>
      <w:r>
        <w:rPr>
          <w:rFonts w:ascii="Arial" w:cs="Arial" w:eastAsia="Arial" w:hAnsi="Arial"/>
          <w:sz w:val="20"/>
          <w:szCs w:val="20"/>
        </w:rPr>
        <w:t xml:space="preserve">This section directly addresses where U.S. force presence has the highest strategic return under current conditions and why. It is organized by hub rather than by platform or domain.</w:t>
      </w:r>
    </w:p>
    <w:p>
      <w:pPr>
        <w:spacing w:after="80"/>
      </w:pPr>
      <w:r>
        <w:t xml:space="preserve"/>
      </w:r>
    </w:p>
    <w:p>
      <w:pPr>
        <w:pStyle w:val="Heading2"/>
        <w:spacing w:after="80" w:before="240"/>
      </w:pPr>
      <w:r>
        <w:rPr>
          <w:rFonts w:ascii="Arial" w:cs="Arial" w:eastAsia="Arial" w:hAnsi="Arial"/>
          <w:b/>
          <w:bCs/>
          <w:color w:val="1F4E79"/>
          <w:sz w:val="24"/>
          <w:szCs w:val="24"/>
        </w:rPr>
        <w:t xml:space="preserve">4.1 Bahrain — Naval Command and Maritime Security Anchor</w:t>
      </w:r>
    </w:p>
    <w:p>
      <w:pPr>
        <w:pStyle w:val="ListParagraph"/>
        <w:numPr>
          <w:ilvl w:val="0"/>
          <w:numId w:val="2"/>
        </w:numPr>
        <w:spacing w:after="80"/>
      </w:pPr>
      <w:r>
        <w:rPr>
          <w:rFonts w:ascii="Arial" w:cs="Arial" w:eastAsia="Arial" w:hAnsi="Arial"/>
          <w:sz w:val="20"/>
          <w:szCs w:val="20"/>
        </w:rPr>
        <w:t xml:space="preserve">U.S. 5th Fleet headquarters; Combined Maritime Forces (CMF) with 38 partner nations.</w:t>
      </w:r>
    </w:p>
    <w:p>
      <w:pPr>
        <w:pStyle w:val="ListParagraph"/>
        <w:numPr>
          <w:ilvl w:val="0"/>
          <w:numId w:val="2"/>
        </w:numPr>
        <w:spacing w:after="80"/>
      </w:pPr>
      <w:r>
        <w:rPr>
          <w:rFonts w:ascii="Arial" w:cs="Arial" w:eastAsia="Arial" w:hAnsi="Arial"/>
          <w:sz w:val="20"/>
          <w:szCs w:val="20"/>
        </w:rPr>
        <w:t xml:space="preserve">Primary platform for escort operations management, MCM coordination, and TSS enforcement.</w:t>
      </w:r>
    </w:p>
    <w:p>
      <w:pPr>
        <w:pStyle w:val="ListParagraph"/>
        <w:numPr>
          <w:ilvl w:val="0"/>
          <w:numId w:val="2"/>
        </w:numPr>
        <w:spacing w:after="80"/>
      </w:pPr>
      <w:r>
        <w:rPr>
          <w:rFonts w:ascii="Arial" w:cs="Arial" w:eastAsia="Arial" w:hAnsi="Arial"/>
          <w:sz w:val="20"/>
          <w:szCs w:val="20"/>
        </w:rPr>
        <w:t xml:space="preserve">Assessed as the irreplaceable node for maritime security operations in the Gulf. No alternative hub provides equivalent command infrastructure for combined maritime operations.</w:t>
      </w:r>
    </w:p>
    <w:p>
      <w:pPr>
        <w:pStyle w:val="ListParagraph"/>
        <w:numPr>
          <w:ilvl w:val="0"/>
          <w:numId w:val="2"/>
        </w:numPr>
        <w:spacing w:after="80"/>
      </w:pPr>
      <w:r>
        <w:rPr>
          <w:rFonts w:ascii="Arial" w:cs="Arial" w:eastAsia="Arial" w:hAnsi="Arial"/>
          <w:sz w:val="20"/>
          <w:szCs w:val="20"/>
        </w:rPr>
        <w:t xml:space="preserve">Vulnerability: Located 26 km from Qatar and within Iranian ballistic missile range. Air defense at Naval Support Activity Bahrain must be treated as a first-tier hardening requirement.</w:t>
      </w:r>
    </w:p>
    <w:p>
      <w:pPr>
        <w:spacing w:after="80"/>
      </w:pPr>
      <w:r>
        <w:t xml:space="preserve"/>
      </w:r>
    </w:p>
    <w:p>
      <w:pPr>
        <w:pStyle w:val="Heading2"/>
        <w:spacing w:after="80" w:before="240"/>
      </w:pPr>
      <w:r>
        <w:rPr>
          <w:rFonts w:ascii="Arial" w:cs="Arial" w:eastAsia="Arial" w:hAnsi="Arial"/>
          <w:b/>
          <w:bCs/>
          <w:color w:val="1F4E79"/>
          <w:sz w:val="24"/>
          <w:szCs w:val="24"/>
        </w:rPr>
        <w:t xml:space="preserve">4.2 Qatar — Command, ISR, and Airpower Architecture</w:t>
      </w:r>
    </w:p>
    <w:p>
      <w:pPr>
        <w:pStyle w:val="ListParagraph"/>
        <w:numPr>
          <w:ilvl w:val="0"/>
          <w:numId w:val="2"/>
        </w:numPr>
        <w:spacing w:after="80"/>
      </w:pPr>
      <w:r>
        <w:rPr>
          <w:rFonts w:ascii="Arial" w:cs="Arial" w:eastAsia="Arial" w:hAnsi="Arial"/>
          <w:sz w:val="20"/>
          <w:szCs w:val="20"/>
        </w:rPr>
        <w:t xml:space="preserve">Al Udeid Air Base: Largest U.S. air base in the Middle East; Air Forces Central Command; ISR and tanker aircraft; special operations staging.</w:t>
      </w:r>
    </w:p>
    <w:p>
      <w:pPr>
        <w:pStyle w:val="ListParagraph"/>
        <w:numPr>
          <w:ilvl w:val="0"/>
          <w:numId w:val="2"/>
        </w:numPr>
        <w:spacing w:after="80"/>
      </w:pPr>
      <w:r>
        <w:rPr>
          <w:rFonts w:ascii="Arial" w:cs="Arial" w:eastAsia="Arial" w:hAnsi="Arial"/>
          <w:sz w:val="20"/>
          <w:szCs w:val="20"/>
        </w:rPr>
        <w:t xml:space="preserve">Demonstrated Iranian willingness to strike: 14 ballistic missiles fired at Al Udeid in June 2025. Hardening and active air defense at Al Udeid is a combat-confirmed requirement, not a precautionary one.</w:t>
      </w:r>
    </w:p>
    <w:p>
      <w:pPr>
        <w:pStyle w:val="ListParagraph"/>
        <w:numPr>
          <w:ilvl w:val="0"/>
          <w:numId w:val="2"/>
        </w:numPr>
        <w:spacing w:after="80"/>
      </w:pPr>
      <w:r>
        <w:rPr>
          <w:rFonts w:ascii="Arial" w:cs="Arial" w:eastAsia="Arial" w:hAnsi="Arial"/>
          <w:sz w:val="20"/>
          <w:szCs w:val="20"/>
        </w:rPr>
        <w:t xml:space="preserve">Theater-wide logistics and sustainment hub for extended operations.</w:t>
      </w:r>
    </w:p>
    <w:p>
      <w:pPr>
        <w:pStyle w:val="ListParagraph"/>
        <w:numPr>
          <w:ilvl w:val="0"/>
          <w:numId w:val="2"/>
        </w:numPr>
        <w:spacing w:after="80"/>
      </w:pPr>
      <w:r>
        <w:rPr>
          <w:rFonts w:ascii="Arial" w:cs="Arial" w:eastAsia="Arial" w:hAnsi="Arial"/>
          <w:sz w:val="20"/>
          <w:szCs w:val="20"/>
        </w:rPr>
        <w:t xml:space="preserve">ASSESSMENT: Al Udeid's command and ISR functions are not replicable elsewhere in the region at current readiness timelines. Its protection is a strategic priority independent of any particular posture option.</w:t>
      </w:r>
    </w:p>
    <w:p>
      <w:pPr>
        <w:spacing w:after="80"/>
      </w:pPr>
      <w:r>
        <w:t xml:space="preserve"/>
      </w:r>
    </w:p>
    <w:p>
      <w:pPr>
        <w:pStyle w:val="Heading2"/>
        <w:spacing w:after="80" w:before="240"/>
      </w:pPr>
      <w:r>
        <w:rPr>
          <w:rFonts w:ascii="Arial" w:cs="Arial" w:eastAsia="Arial" w:hAnsi="Arial"/>
          <w:b/>
          <w:bCs/>
          <w:color w:val="1F4E79"/>
          <w:sz w:val="24"/>
          <w:szCs w:val="24"/>
        </w:rPr>
        <w:t xml:space="preserve">4.3 UAE — Air/Missile Defense and Naval Support Network</w:t>
      </w:r>
    </w:p>
    <w:p>
      <w:pPr>
        <w:pStyle w:val="ListParagraph"/>
        <w:numPr>
          <w:ilvl w:val="0"/>
          <w:numId w:val="2"/>
        </w:numPr>
        <w:spacing w:after="80"/>
      </w:pPr>
      <w:r>
        <w:rPr>
          <w:rFonts w:ascii="Arial" w:cs="Arial" w:eastAsia="Arial" w:hAnsi="Arial"/>
          <w:sz w:val="20"/>
          <w:szCs w:val="20"/>
        </w:rPr>
        <w:t xml:space="preserve">Al Dhafra Air Base (Abu Dhabi): F-35 basing; air superiority and strike; refueling for extended operations.</w:t>
      </w:r>
    </w:p>
    <w:p>
      <w:pPr>
        <w:pStyle w:val="ListParagraph"/>
        <w:numPr>
          <w:ilvl w:val="0"/>
          <w:numId w:val="2"/>
        </w:numPr>
        <w:spacing w:after="80"/>
      </w:pPr>
      <w:r>
        <w:rPr>
          <w:rFonts w:ascii="Arial" w:cs="Arial" w:eastAsia="Arial" w:hAnsi="Arial"/>
          <w:sz w:val="20"/>
          <w:szCs w:val="20"/>
        </w:rPr>
        <w:t xml:space="preserve">Fujairah (Gulf of Oman): Located outside the strait on the Gulf of Oman side — provides a staging and logistics hub that is not exposed to strait closure. Critical for sustaining operations if the inner Gulf becomes inaccessible.</w:t>
      </w:r>
    </w:p>
    <w:p>
      <w:pPr>
        <w:pStyle w:val="ListParagraph"/>
        <w:numPr>
          <w:ilvl w:val="0"/>
          <w:numId w:val="2"/>
        </w:numPr>
        <w:spacing w:after="80"/>
      </w:pPr>
      <w:r>
        <w:rPr>
          <w:rFonts w:ascii="Arial" w:cs="Arial" w:eastAsia="Arial" w:hAnsi="Arial"/>
          <w:sz w:val="20"/>
          <w:szCs w:val="20"/>
        </w:rPr>
        <w:t xml:space="preserve">Air and missile defense: Patriot batteries; Terminal High Altitude Area Defense (THAAD) deployment; critical redundancy node outside Iranian short-range missile coverage envelope.</w:t>
      </w:r>
    </w:p>
    <w:p>
      <w:pPr>
        <w:pStyle w:val="ListParagraph"/>
        <w:numPr>
          <w:ilvl w:val="0"/>
          <w:numId w:val="2"/>
        </w:numPr>
        <w:spacing w:after="80"/>
      </w:pPr>
      <w:r>
        <w:rPr>
          <w:rFonts w:ascii="Arial" w:cs="Arial" w:eastAsia="Arial" w:hAnsi="Arial"/>
          <w:sz w:val="20"/>
          <w:szCs w:val="20"/>
        </w:rPr>
        <w:t xml:space="preserve">UAE's December 2025 sovereignty claim backing from China over Abu Musa and the Tunbs creates diplomatic space that does not exist for any other chokepoint island scenario.</w:t>
      </w:r>
    </w:p>
    <w:p>
      <w:pPr>
        <w:spacing w:after="80"/>
      </w:pPr>
      <w:r>
        <w:t xml:space="preserve"/>
      </w:r>
    </w:p>
    <w:p>
      <w:pPr>
        <w:pStyle w:val="Heading2"/>
        <w:spacing w:after="80" w:before="240"/>
      </w:pPr>
      <w:r>
        <w:rPr>
          <w:rFonts w:ascii="Arial" w:cs="Arial" w:eastAsia="Arial" w:hAnsi="Arial"/>
          <w:b/>
          <w:bCs/>
          <w:color w:val="1F4E79"/>
          <w:sz w:val="24"/>
          <w:szCs w:val="24"/>
        </w:rPr>
        <w:t xml:space="preserve">4.4 Kuwait — Ground Logistics Depth and Reinforcement Flexibility</w:t>
      </w:r>
    </w:p>
    <w:p>
      <w:pPr>
        <w:pStyle w:val="ListParagraph"/>
        <w:numPr>
          <w:ilvl w:val="0"/>
          <w:numId w:val="2"/>
        </w:numPr>
        <w:spacing w:after="80"/>
      </w:pPr>
      <w:r>
        <w:rPr>
          <w:rFonts w:ascii="Arial" w:cs="Arial" w:eastAsia="Arial" w:hAnsi="Arial"/>
          <w:sz w:val="20"/>
          <w:szCs w:val="20"/>
        </w:rPr>
        <w:t xml:space="preserve">Camp Arifjan: Prepositioned equipment; Army Central Command logistics hub; reinforcement staging.</w:t>
      </w:r>
    </w:p>
    <w:p>
      <w:pPr>
        <w:pStyle w:val="ListParagraph"/>
        <w:numPr>
          <w:ilvl w:val="0"/>
          <w:numId w:val="2"/>
        </w:numPr>
        <w:spacing w:after="80"/>
      </w:pPr>
      <w:r>
        <w:rPr>
          <w:rFonts w:ascii="Arial" w:cs="Arial" w:eastAsia="Arial" w:hAnsi="Arial"/>
          <w:sz w:val="20"/>
          <w:szCs w:val="20"/>
        </w:rPr>
        <w:t xml:space="preserve">Primary value is depth — provides ground logistics options if maritime supply is disrupted and air routes are contested.</w:t>
      </w:r>
    </w:p>
    <w:p>
      <w:pPr>
        <w:pStyle w:val="ListParagraph"/>
        <w:numPr>
          <w:ilvl w:val="0"/>
          <w:numId w:val="2"/>
        </w:numPr>
        <w:spacing w:after="80"/>
      </w:pPr>
      <w:r>
        <w:rPr>
          <w:rFonts w:ascii="Arial" w:cs="Arial" w:eastAsia="Arial" w:hAnsi="Arial"/>
          <w:sz w:val="20"/>
          <w:szCs w:val="20"/>
        </w:rPr>
        <w:t xml:space="preserve">Less exposed to Iranian direct-strike threat than Bahrain or Qatar; useful as a fallback logistics node.</w:t>
      </w:r>
    </w:p>
    <w:p>
      <w:pPr>
        <w:spacing w:after="80"/>
      </w:pPr>
      <w:r>
        <w:t xml:space="preserve"/>
      </w:r>
    </w:p>
    <w:p>
      <w:pPr>
        <w:pStyle w:val="Heading2"/>
        <w:spacing w:after="80" w:before="240"/>
      </w:pPr>
      <w:r>
        <w:rPr>
          <w:rFonts w:ascii="Arial" w:cs="Arial" w:eastAsia="Arial" w:hAnsi="Arial"/>
          <w:b/>
          <w:bCs/>
          <w:color w:val="1F4E79"/>
          <w:sz w:val="24"/>
          <w:szCs w:val="24"/>
        </w:rPr>
        <w:t xml:space="preserve">4.5 Iraq and Syria — Scoped Force Protection, Not Primary Theater Hub</w:t>
      </w:r>
    </w:p>
    <w:p>
      <w:pPr>
        <w:pStyle w:val="ListParagraph"/>
        <w:numPr>
          <w:ilvl w:val="0"/>
          <w:numId w:val="2"/>
        </w:numPr>
        <w:spacing w:after="80"/>
      </w:pPr>
      <w:r>
        <w:rPr>
          <w:rFonts w:ascii="Arial" w:cs="Arial" w:eastAsia="Arial" w:hAnsi="Arial"/>
          <w:sz w:val="20"/>
          <w:szCs w:val="20"/>
        </w:rPr>
        <w:t xml:space="preserve">U.S. forces in Iraq and Syria serve a narrowly scoped function: force protection against IRGC proxy (PMF/Kataib Hezbollah) attacks and anti-ISIS mission continuity.</w:t>
      </w:r>
    </w:p>
    <w:p>
      <w:pPr>
        <w:pStyle w:val="ListParagraph"/>
        <w:numPr>
          <w:ilvl w:val="0"/>
          <w:numId w:val="2"/>
        </w:numPr>
        <w:spacing w:after="80"/>
      </w:pPr>
      <w:r>
        <w:rPr>
          <w:rFonts w:ascii="Arial" w:cs="Arial" w:eastAsia="Arial" w:hAnsi="Arial"/>
          <w:sz w:val="20"/>
          <w:szCs w:val="20"/>
        </w:rPr>
        <w:t xml:space="preserve">These positions are not the primary theater center of gravity for a Hormuz crisis. They are a second-order concern and a force-protection liability that must be managed concurrently with the primary maritime mission.</w:t>
      </w:r>
    </w:p>
    <w:p>
      <w:pPr>
        <w:pStyle w:val="ListParagraph"/>
        <w:numPr>
          <w:ilvl w:val="0"/>
          <w:numId w:val="2"/>
        </w:numPr>
        <w:spacing w:after="80"/>
      </w:pPr>
      <w:r>
        <w:rPr>
          <w:rFonts w:ascii="Arial" w:cs="Arial" w:eastAsia="Arial" w:hAnsi="Arial"/>
          <w:sz w:val="20"/>
          <w:szCs w:val="20"/>
        </w:rPr>
        <w:t xml:space="preserve">ASSESSED RISK: Prolonged Hormuz crisis may increase proxy attack tempo against U.S. positions in Iraq and Syria as a pressure mechanism. This is an anticipated cost of Posture 2 reinforcement, not an argument against it.</w:t>
      </w:r>
    </w:p>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V: ECONOMIC EFFECTS — U.S. LEVERAGE, CHINA EXPOSURE, AND SANCTIONS PRESSURE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V: ECONOMIC EFFECTS</w:t>
      </w:r>
    </w:p>
    <w:p>
      <w:pPr>
        <w:pStyle w:val="Heading2"/>
        <w:spacing w:after="80" w:before="240"/>
      </w:pPr>
      <w:r>
        <w:rPr>
          <w:rFonts w:ascii="Arial" w:cs="Arial" w:eastAsia="Arial" w:hAnsi="Arial"/>
          <w:b/>
          <w:bCs/>
          <w:color w:val="1F4E79"/>
          <w:sz w:val="24"/>
          <w:szCs w:val="24"/>
        </w:rPr>
        <w:t xml:space="preserve">5.1 Near-Term U.S. Economic Effect [MODERATE CONFIDENCE]</w:t>
      </w:r>
    </w:p>
    <w:p>
      <w:pPr>
        <w:spacing w:after="120"/>
        <w:jc w:val="both"/>
      </w:pPr>
      <w:r>
        <w:rPr>
          <w:rFonts w:ascii="Arial" w:cs="Arial" w:eastAsia="Arial" w:hAnsi="Arial"/>
          <w:sz w:val="20"/>
          <w:szCs w:val="20"/>
        </w:rPr>
        <w:t xml:space="preserve">The principal near-term economic effect for the United States of a sustained Hormuz disruption is not direct market gain but improved relative strategic leverage — specifically if Iranian sanctioned exports are impaired and China's access to discounted crude becomes more costly, less reliable, and more dependent on substitution and protected transit.</w:t>
      </w:r>
    </w:p>
    <w:p>
      <w:pPr>
        <w:spacing w:after="120"/>
        <w:jc w:val="both"/>
      </w:pPr>
      <w:r>
        <w:rPr>
          <w:rFonts w:ascii="Arial" w:cs="Arial" w:eastAsia="Arial" w:hAnsi="Arial"/>
          <w:sz w:val="20"/>
          <w:szCs w:val="20"/>
        </w:rPr>
        <w:t xml:space="preserve">OBSERVED: U.S. direct dependence on Hormuz crude is limited. In 2024, the United States imported approximately 0.5 million bpd from Persian Gulf sources through the strait — roughly 2% of U.S. petroleum consumption. The primary U.S. economic exposure is through global oil price effects (inflation) and through allied economic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ECONOMIC DIMENSION</w:t>
            </w:r>
          </w:p>
        </w:tc>
        <w:tc>
          <w:tcPr>
            <w:tcW w:type="dxa" w:w="656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ASSESSMENT</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U.S. domestic fuel prices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SHORT-TERM COST: Global oil price spike during crisis period will affect U.S. consumers. SPR release is the primary mitigation instrument.</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U.S. relative strategic position</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MODERATE-TERM BENEFIT: If Iranian exports are curtailed and China must substitute at higher cost, the U.S. gains relative leverage — but this is a relative, not an absolute, gain.</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Allied economic exposure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Europe (12–14% of LNG from Qatar), Japan, South Korea, and India face significant supply disruption risk. Allied economic stability is a direct U.S. interest.</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Operating costs</w:t>
            </w:r>
          </w:p>
        </w:tc>
        <w:tc>
          <w:tcPr>
            <w:tcW w:type="dxa" w:w="4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Extended Gulf presence at Posture 2 level costs several billion dollars annually in incremental operational expenses. This is a real budgetary burden.</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5.2 China's Exposure and Substitution Capacity [MODERATE CONFIDENCE]</w:t>
      </w:r>
    </w:p>
    <w:p>
      <w:pPr>
        <w:spacing w:after="120"/>
        <w:jc w:val="both"/>
      </w:pPr>
      <w:r>
        <w:rPr>
          <w:rFonts w:ascii="Arial" w:cs="Arial" w:eastAsia="Arial" w:hAnsi="Arial"/>
          <w:sz w:val="20"/>
          <w:szCs w:val="20"/>
        </w:rPr>
        <w:t xml:space="preserve">China imports 90%+ of Iranian crude exports, making Chinese energy economics the most directly affected of any major power. The assessment here is analytic, not predictive — China's response to sustained disruption involves choices, not mechanical outcomes.</w:t>
      </w:r>
    </w:p>
    <w:p>
      <w:pPr>
        <w:pStyle w:val="ListParagraph"/>
        <w:numPr>
          <w:ilvl w:val="0"/>
          <w:numId w:val="2"/>
        </w:numPr>
        <w:spacing w:after="80"/>
      </w:pPr>
      <w:r>
        <w:rPr>
          <w:rFonts w:ascii="Arial" w:cs="Arial" w:eastAsia="Arial" w:hAnsi="Arial"/>
          <w:sz w:val="20"/>
          <w:szCs w:val="20"/>
        </w:rPr>
        <w:t xml:space="preserve">Procurement disruption: China's access to heavily discounted sanctioned Iranian crude (approximately 1.3–1.6 million bpd in recent years) would be substantially impaired by either Hormuz closure or Kharg Island disruption. This is the most direct Chinese economic exposure.</w:t>
      </w:r>
    </w:p>
    <w:p>
      <w:pPr>
        <w:pStyle w:val="ListParagraph"/>
        <w:numPr>
          <w:ilvl w:val="0"/>
          <w:numId w:val="2"/>
        </w:numPr>
        <w:spacing w:after="80"/>
      </w:pPr>
      <w:r>
        <w:rPr>
          <w:rFonts w:ascii="Arial" w:cs="Arial" w:eastAsia="Arial" w:hAnsi="Arial"/>
          <w:sz w:val="20"/>
          <w:szCs w:val="20"/>
        </w:rPr>
        <w:t xml:space="preserve">Substitution capacity: China has demonstrated the ability to diversify crude procurement across Saudi Arabia, UAE, Iraq, Russia, and West Africa. ASSESSMENT: Full substitution for lost Iranian volume is achievable within 6–12 months at a higher per-barrel cost. The substitution burden is real but does not represent a crisis for China's refinery system in the medium term.</w:t>
      </w:r>
    </w:p>
    <w:p>
      <w:pPr>
        <w:pStyle w:val="ListParagraph"/>
        <w:numPr>
          <w:ilvl w:val="0"/>
          <w:numId w:val="2"/>
        </w:numPr>
        <w:spacing w:after="80"/>
      </w:pPr>
      <w:r>
        <w:rPr>
          <w:rFonts w:ascii="Arial" w:cs="Arial" w:eastAsia="Arial" w:hAnsi="Arial"/>
          <w:sz w:val="20"/>
          <w:szCs w:val="20"/>
        </w:rPr>
        <w:t xml:space="preserve">Refining economics: Chinese refineries optimized for Iranian heavy crude face a margin penalty when substituting lighter or differently sulfured grades. This is a cost, not a supply crisis.</w:t>
      </w:r>
    </w:p>
    <w:p>
      <w:pPr>
        <w:pStyle w:val="ListParagraph"/>
        <w:numPr>
          <w:ilvl w:val="0"/>
          <w:numId w:val="2"/>
        </w:numPr>
        <w:spacing w:after="80"/>
      </w:pPr>
      <w:r>
        <w:rPr>
          <w:rFonts w:ascii="Arial" w:cs="Arial" w:eastAsia="Arial" w:hAnsi="Arial"/>
          <w:sz w:val="20"/>
          <w:szCs w:val="20"/>
        </w:rPr>
        <w:t xml:space="preserve">Shipping and insurance friction: Chinese tankers operating in contested waters face rising insurance costs and routing complexity. China's shadow fleet, which has been handling sanctioned Iranian crude, faces particular exposure.</w:t>
      </w:r>
    </w:p>
    <w:p>
      <w:pPr>
        <w:pStyle w:val="ListParagraph"/>
        <w:numPr>
          <w:ilvl w:val="0"/>
          <w:numId w:val="2"/>
        </w:numPr>
        <w:spacing w:after="80"/>
      </w:pPr>
      <w:r>
        <w:rPr>
          <w:rFonts w:ascii="Arial" w:cs="Arial" w:eastAsia="Arial" w:hAnsi="Arial"/>
          <w:sz w:val="20"/>
          <w:szCs w:val="20"/>
        </w:rPr>
        <w:t xml:space="preserve">Chinese indirect retaliation [ASSESSED AS MORE LIKELY THAN FORCE PROJECTION]: Economic retaliation — restricting rare earth exports, accelerating de-dollarization, diplomatic pressure — is substantially more likely than Chinese naval intervention in the Persian Gulf. China lacks the forward naval basing required for serious power projection in the Gulf.</w:t>
      </w:r>
    </w:p>
    <w:p>
      <w:pPr>
        <w:pStyle w:val="ListParagraph"/>
        <w:numPr>
          <w:ilvl w:val="0"/>
          <w:numId w:val="2"/>
        </w:numPr>
        <w:spacing w:after="80"/>
      </w:pPr>
      <w:r>
        <w:rPr>
          <w:rFonts w:ascii="Arial" w:cs="Arial" w:eastAsia="Arial" w:hAnsi="Arial"/>
          <w:sz w:val="20"/>
          <w:szCs w:val="20"/>
        </w:rPr>
        <w:t xml:space="preserve">KEY UNKNOWN: How much economic pain China is willing to absorb before taking a more assertive diplomatic or economic posture is not determinable from open-source analysis. The December 2025 Chinese backing of the UAE's island sovereignty claim suggests Beijing's commitment to Iran is transactional, not unconditional — but this does not establish a threshold.</w:t>
      </w:r>
    </w:p>
    <w:p>
      <w:pPr>
        <w:spacing w:after="80"/>
      </w:pPr>
      <w:r>
        <w:t xml:space="preserve"/>
      </w:r>
    </w:p>
    <w:p>
      <w:pPr>
        <w:pStyle w:val="Heading2"/>
        <w:spacing w:after="80" w:before="240"/>
      </w:pPr>
      <w:r>
        <w:rPr>
          <w:rFonts w:ascii="Arial" w:cs="Arial" w:eastAsia="Arial" w:hAnsi="Arial"/>
          <w:b/>
          <w:bCs/>
          <w:color w:val="1F4E79"/>
          <w:sz w:val="24"/>
          <w:szCs w:val="24"/>
        </w:rPr>
        <w:t xml:space="preserve">5.3 Iranian Revenue Pressure and Sanctions Friction [MODERATE CONFIDENCE]</w:t>
      </w:r>
    </w:p>
    <w:p>
      <w:pPr>
        <w:spacing w:after="120"/>
        <w:jc w:val="both"/>
      </w:pPr>
      <w:r>
        <w:rPr>
          <w:rFonts w:ascii="Arial" w:cs="Arial" w:eastAsia="Arial" w:hAnsi="Arial"/>
          <w:sz w:val="20"/>
          <w:szCs w:val="20"/>
        </w:rPr>
        <w:t xml:space="preserve">Constraining Iranian export revenue can increase friction in sanctions-evasion channels, raise costs in opaque shipping, payment, and trade networks, and indirectly pressure related sanctioned commercial ecosystems. This is a secondary-order assessment, not a high-confidence direct outcome.</w:t>
      </w:r>
    </w:p>
    <w:p>
      <w:pPr>
        <w:spacing w:after="120"/>
        <w:jc w:val="both"/>
      </w:pPr>
      <w:r>
        <w:rPr>
          <w:rFonts w:ascii="Arial" w:cs="Arial" w:eastAsia="Arial" w:hAnsi="Arial"/>
          <w:sz w:val="20"/>
          <w:szCs w:val="20"/>
        </w:rPr>
        <w:t xml:space="preserve">OBSERVED: Iranian crude oil revenues fund an estimated 25–40% of the government budget and are the primary source of foreign currency earnings. Disruption at Kharg or through strait closure affects not only export volume but the opacity premium that makes sanctioned oil commercially viable. Insurance withdrawal, payment friction, and flag-state exposure all increase under active conflict conditions.</w:t>
      </w:r>
    </w:p>
    <w:p>
      <w:pPr>
        <w:spacing w:after="120"/>
        <w:jc w:val="both"/>
      </w:pPr>
      <w:r>
        <w:rPr>
          <w:rFonts w:ascii="Arial" w:cs="Arial" w:eastAsia="Arial" w:hAnsi="Arial"/>
          <w:sz w:val="20"/>
          <w:szCs w:val="20"/>
        </w:rPr>
        <w:t xml:space="preserve">Detailed economic-pressure instruments are treated in companion papers rather than repeated here. In particular, the maximum-pressure and unified enforcement papers address Section 311 isolation measures, secondary-sanctions readiness, shadow-fleet insurance and registry pressure, forfeiture pathways, and interagency enforcement sequencing. The economic pressure logic discussed here should be read as modular and companion-based: maritime resilience and force posture define the outer security framework, while Treasury-led financial isolation, secondary-sanctions readiness, and shadow-shipping enforcement determine how much Iran-linked revenue and China-linked procurement friction can be generated without expanding to territorial-control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7B3F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ECONOMIC LIMITS NOTE</w:t>
            </w:r>
          </w:p>
        </w:tc>
        <w:tc>
          <w:tcPr>
            <w:tcW w:type="dxa" w:w="8060"/>
            <w:tcBorders>
              <w:top w:val="single" w:color="999999" w:sz="1"/>
              <w:left w:val="single" w:color="999999" w:sz="1"/>
              <w:bottom w:val="single" w:color="999999" w:sz="1"/>
              <w:right w:val="single" w:color="999999" w:sz="1"/>
            </w:tcBorders>
            <w:shd w:fill="FFF3CD" w:val="clear"/>
            <w:tcMar>
              <w:top w:type="dxa" w:w="80"/>
              <w:left w:type="dxa" w:w="140"/>
              <w:bottom w:type="dxa" w:w="80"/>
              <w:right w:type="dxa" w:w="100"/>
            </w:tcMar>
          </w:tcPr>
          <w:p>
            <w:r>
              <w:rPr>
                <w:rFonts w:ascii="Arial" w:cs="Arial" w:eastAsia="Arial" w:hAnsi="Arial"/>
                <w:i/>
                <w:iCs/>
                <w:sz w:val="19"/>
                <w:szCs w:val="19"/>
              </w:rPr>
              <w:t xml:space="preserve">The economic effects assessed here are scenario-dependent and subject to significant uncertainty. Global oil markets adapt over 6–18 month horizons in ways that are difficult to forecast. Claims of guaranteed economic outcomes under any specific posture option are not supported by the available evidence and are not made here.</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VI: GOVERNING LEGAL FRAMEWORK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VI: GOVERNING LEGAL FRAMEWORK</w:t>
      </w:r>
    </w:p>
    <w:p>
      <w:pPr>
        <w:spacing w:after="120"/>
        <w:jc w:val="both"/>
      </w:pPr>
      <w:r>
        <w:rPr>
          <w:rFonts w:ascii="Arial" w:cs="Arial" w:eastAsia="Arial" w:hAnsi="Arial"/>
          <w:sz w:val="20"/>
          <w:szCs w:val="20"/>
        </w:rPr>
        <w:t xml:space="preserve">This section establishes the legal architecture governing U.S. options. Legal analysis is provided for analytic framing only and does not constitute legal advice. The core point is that legality is not a variable that can be bracketed — it shapes what posture options are sustainable and what burdens they carry.</w:t>
      </w:r>
    </w:p>
    <w:p>
      <w:pPr>
        <w:spacing w:after="80"/>
      </w:pPr>
      <w:r>
        <w:t xml:space="preserve"/>
      </w:r>
    </w:p>
    <w:p>
      <w:pPr>
        <w:pStyle w:val="Heading2"/>
        <w:spacing w:after="80" w:before="240"/>
      </w:pPr>
      <w:r>
        <w:rPr>
          <w:rFonts w:ascii="Arial" w:cs="Arial" w:eastAsia="Arial" w:hAnsi="Arial"/>
          <w:b/>
          <w:bCs/>
          <w:color w:val="1F4E79"/>
          <w:sz w:val="24"/>
          <w:szCs w:val="24"/>
        </w:rPr>
        <w:t xml:space="preserve">6.1 Use of Force — UN Charter / Jus Ad Bellum</w:t>
      </w:r>
    </w:p>
    <w:p>
      <w:pPr>
        <w:pStyle w:val="ListParagraph"/>
        <w:numPr>
          <w:ilvl w:val="0"/>
          <w:numId w:val="2"/>
        </w:numPr>
        <w:spacing w:after="80"/>
      </w:pPr>
      <w:r>
        <w:rPr>
          <w:rFonts w:ascii="Arial" w:cs="Arial" w:eastAsia="Arial" w:hAnsi="Arial"/>
          <w:sz w:val="20"/>
          <w:szCs w:val="20"/>
        </w:rPr>
        <w:t xml:space="preserve">Article 51 of the UN Charter permits individual and collective self-defense in response to an armed attack. Iranian attacks on commercial vessels and declared closure of the strait to allied shipping would generally support a self-defense argument for protective operations.</w:t>
      </w:r>
    </w:p>
    <w:p>
      <w:pPr>
        <w:pStyle w:val="ListParagraph"/>
        <w:numPr>
          <w:ilvl w:val="0"/>
          <w:numId w:val="2"/>
        </w:numPr>
        <w:spacing w:after="80"/>
      </w:pPr>
      <w:r>
        <w:rPr>
          <w:rFonts w:ascii="Arial" w:cs="Arial" w:eastAsia="Arial" w:hAnsi="Arial"/>
          <w:sz w:val="20"/>
          <w:szCs w:val="20"/>
        </w:rPr>
        <w:t xml:space="preserve">Article 42 permits the UN Security Council to authorize enforcement action — unlikely given Russian and Chinese veto power.</w:t>
      </w:r>
    </w:p>
    <w:p>
      <w:pPr>
        <w:pStyle w:val="ListParagraph"/>
        <w:numPr>
          <w:ilvl w:val="0"/>
          <w:numId w:val="2"/>
        </w:numPr>
        <w:spacing w:after="80"/>
      </w:pPr>
      <w:r>
        <w:rPr>
          <w:rFonts w:ascii="Arial" w:cs="Arial" w:eastAsia="Arial" w:hAnsi="Arial"/>
          <w:sz w:val="20"/>
          <w:szCs w:val="20"/>
        </w:rPr>
        <w:t xml:space="preserve">ASSESSMENT: Escort operations, mine countermeasures, and defensive air/missile operations in response to demonstrated Iranian attacks are legally sustainable under Article 51 and customary international law. Territorial seizure of Iranian-held positions requires a more robust jus ad bellum justification and is more legally contested.</w:t>
      </w:r>
    </w:p>
    <w:p>
      <w:pPr>
        <w:spacing w:after="80"/>
      </w:pPr>
      <w:r>
        <w:t xml:space="preserve"/>
      </w:r>
    </w:p>
    <w:p>
      <w:pPr>
        <w:pStyle w:val="Heading2"/>
        <w:spacing w:after="80" w:before="240"/>
      </w:pPr>
      <w:r>
        <w:rPr>
          <w:rFonts w:ascii="Arial" w:cs="Arial" w:eastAsia="Arial" w:hAnsi="Arial"/>
          <w:b/>
          <w:bCs/>
          <w:color w:val="1F4E79"/>
          <w:sz w:val="24"/>
          <w:szCs w:val="24"/>
        </w:rPr>
        <w:t xml:space="preserve">6.2 Law of the Sea — Transit Passage and Maritime Control</w:t>
      </w:r>
    </w:p>
    <w:p>
      <w:pPr>
        <w:pStyle w:val="ListParagraph"/>
        <w:numPr>
          <w:ilvl w:val="0"/>
          <w:numId w:val="2"/>
        </w:numPr>
        <w:spacing w:after="80"/>
      </w:pPr>
      <w:r>
        <w:rPr>
          <w:rFonts w:ascii="Arial" w:cs="Arial" w:eastAsia="Arial" w:hAnsi="Arial"/>
          <w:sz w:val="20"/>
          <w:szCs w:val="20"/>
        </w:rPr>
        <w:t xml:space="preserve">UNCLOS Article 38 establishes the right of transit passage through international straits used for international navigation. The Strait of Hormuz qualifies. This right applies to all vessels, including warships, and Iran may not suspend it.</w:t>
      </w:r>
    </w:p>
    <w:p>
      <w:pPr>
        <w:pStyle w:val="ListParagraph"/>
        <w:numPr>
          <w:ilvl w:val="0"/>
          <w:numId w:val="2"/>
        </w:numPr>
        <w:spacing w:after="80"/>
      </w:pPr>
      <w:r>
        <w:rPr>
          <w:rFonts w:ascii="Arial" w:cs="Arial" w:eastAsia="Arial" w:hAnsi="Arial"/>
          <w:sz w:val="20"/>
          <w:szCs w:val="20"/>
        </w:rPr>
        <w:t xml:space="preserve">Iran's position: Iran is not a party to UNCLOS and has claimed a right to control passage based on its national laws. The U.S. and most maritime nations reject this position. The TSS operates under IMO authority, not Iranian national authority.</w:t>
      </w:r>
    </w:p>
    <w:p>
      <w:pPr>
        <w:pStyle w:val="ListParagraph"/>
        <w:numPr>
          <w:ilvl w:val="0"/>
          <w:numId w:val="2"/>
        </w:numPr>
        <w:spacing w:after="80"/>
      </w:pPr>
      <w:r>
        <w:rPr>
          <w:rFonts w:ascii="Arial" w:cs="Arial" w:eastAsia="Arial" w:hAnsi="Arial"/>
          <w:sz w:val="20"/>
          <w:szCs w:val="20"/>
        </w:rPr>
        <w:t xml:space="preserve">Naval escort operations within the TSS: Legally well-grounded under freedom of navigation, customary international law, and Article 51 self-defense rationale.</w:t>
      </w:r>
    </w:p>
    <w:p>
      <w:pPr>
        <w:pStyle w:val="ListParagraph"/>
        <w:numPr>
          <w:ilvl w:val="0"/>
          <w:numId w:val="2"/>
        </w:numPr>
        <w:spacing w:after="80"/>
      </w:pPr>
      <w:r>
        <w:rPr>
          <w:rFonts w:ascii="Arial" w:cs="Arial" w:eastAsia="Arial" w:hAnsi="Arial"/>
          <w:sz w:val="20"/>
          <w:szCs w:val="20"/>
        </w:rPr>
        <w:t xml:space="preserve">Interdiction of Iranian vessels: Interdiction of vessels flying the Iranian flag in international waters requires legal authorization beyond escort operations — either UNSC authorization (unlikely) or armed-conflict rules of engagement.</w:t>
      </w:r>
    </w:p>
    <w:p>
      <w:pPr>
        <w:spacing w:after="80"/>
      </w:pPr>
      <w:r>
        <w:t xml:space="preserve"/>
      </w:r>
    </w:p>
    <w:p>
      <w:pPr>
        <w:pStyle w:val="Heading2"/>
        <w:spacing w:after="80" w:before="240"/>
      </w:pPr>
      <w:r>
        <w:rPr>
          <w:rFonts w:ascii="Arial" w:cs="Arial" w:eastAsia="Arial" w:hAnsi="Arial"/>
          <w:b/>
          <w:bCs/>
          <w:color w:val="1F4E79"/>
          <w:sz w:val="24"/>
          <w:szCs w:val="24"/>
        </w:rPr>
        <w:t xml:space="preserve">6.3 Occupation Law — Belligerent Occupation Constraints</w:t>
      </w:r>
    </w:p>
    <w:p>
      <w:pPr>
        <w:pStyle w:val="ListParagraph"/>
        <w:numPr>
          <w:ilvl w:val="0"/>
          <w:numId w:val="2"/>
        </w:numPr>
        <w:spacing w:after="80"/>
      </w:pPr>
      <w:r>
        <w:rPr>
          <w:rFonts w:ascii="Arial" w:cs="Arial" w:eastAsia="Arial" w:hAnsi="Arial"/>
          <w:sz w:val="20"/>
          <w:szCs w:val="20"/>
        </w:rPr>
        <w:t xml:space="preserve">Under the Hague Regulations (1907) Articles 42–56 and Geneva Convention IV (1949), belligerent occupation of enemy territory creates binding legal obligations on the occupying power.</w:t>
      </w:r>
    </w:p>
    <w:p>
      <w:pPr>
        <w:pStyle w:val="ListParagraph"/>
        <w:numPr>
          <w:ilvl w:val="0"/>
          <w:numId w:val="2"/>
        </w:numPr>
        <w:spacing w:after="80"/>
      </w:pPr>
      <w:r>
        <w:rPr>
          <w:rFonts w:ascii="Arial" w:cs="Arial" w:eastAsia="Arial" w:hAnsi="Arial"/>
          <w:sz w:val="20"/>
          <w:szCs w:val="20"/>
        </w:rPr>
        <w:t xml:space="preserve">Required duties include: maintaining public order and safety, protecting civilian populations, preserving property, providing for basic needs (food, medical care), and eventually accounting for revenues derived from occupied territory.</w:t>
      </w:r>
    </w:p>
    <w:p>
      <w:pPr>
        <w:pStyle w:val="ListParagraph"/>
        <w:numPr>
          <w:ilvl w:val="0"/>
          <w:numId w:val="2"/>
        </w:numPr>
        <w:spacing w:after="80"/>
      </w:pPr>
      <w:r>
        <w:rPr>
          <w:rFonts w:ascii="Arial" w:cs="Arial" w:eastAsia="Arial" w:hAnsi="Arial"/>
          <w:sz w:val="20"/>
          <w:szCs w:val="20"/>
        </w:rPr>
        <w:t xml:space="preserve">Kharg Island specifics: The island has approximately 10,000 permanent residents. Any territorial-control operation immediately triggers civilian-protection obligations under international humanitarian law. These obligations do not diminish with the passage of time — they increase.</w:t>
      </w:r>
    </w:p>
    <w:p>
      <w:pPr>
        <w:pStyle w:val="ListParagraph"/>
        <w:numPr>
          <w:ilvl w:val="0"/>
          <w:numId w:val="2"/>
        </w:numPr>
        <w:spacing w:after="80"/>
      </w:pPr>
      <w:r>
        <w:rPr>
          <w:rFonts w:ascii="Arial" w:cs="Arial" w:eastAsia="Arial" w:hAnsi="Arial"/>
          <w:sz w:val="20"/>
          <w:szCs w:val="20"/>
        </w:rPr>
        <w:t xml:space="preserve">Revenue disposition: Operation of an oil terminal under belligerent occupation generates revenue that under established international law principles belongs to the occupied territory, not the occupying power. The legal mechanism for directing that revenue would require a structure analogous to UN Oil-for-Food — with all the complexity and political liability that implies.</w:t>
      </w:r>
    </w:p>
    <w:p>
      <w:pPr>
        <w:pStyle w:val="ListParagraph"/>
        <w:numPr>
          <w:ilvl w:val="0"/>
          <w:numId w:val="2"/>
        </w:numPr>
        <w:spacing w:after="80"/>
      </w:pPr>
      <w:r>
        <w:rPr>
          <w:rFonts w:ascii="Arial" w:cs="Arial" w:eastAsia="Arial" w:hAnsi="Arial"/>
          <w:sz w:val="20"/>
          <w:szCs w:val="20"/>
        </w:rPr>
        <w:t xml:space="preserve">ASSESSMENT: Legal burden increases over time, not decreases. Every day of occupation adds to the administration burden and the eventual cost of exit. This is the single most underweighted factor in popular commentary about Kharg seizure.</w:t>
      </w:r>
    </w:p>
    <w:p>
      <w:pPr>
        <w:spacing w:after="80"/>
      </w:pPr>
      <w:r>
        <w:t xml:space="preserve"/>
      </w:r>
    </w:p>
    <w:p>
      <w:pPr>
        <w:pStyle w:val="Heading2"/>
        <w:spacing w:after="80" w:before="240"/>
      </w:pPr>
      <w:r>
        <w:rPr>
          <w:rFonts w:ascii="Arial" w:cs="Arial" w:eastAsia="Arial" w:hAnsi="Arial"/>
          <w:b/>
          <w:bCs/>
          <w:color w:val="1F4E79"/>
          <w:sz w:val="24"/>
          <w:szCs w:val="24"/>
        </w:rPr>
        <w:t xml:space="preserve">6.4 Naval Armed-Conflict Law — Mine Warfare and Blockade</w:t>
      </w:r>
    </w:p>
    <w:p>
      <w:pPr>
        <w:pStyle w:val="ListParagraph"/>
        <w:numPr>
          <w:ilvl w:val="0"/>
          <w:numId w:val="2"/>
        </w:numPr>
        <w:spacing w:after="80"/>
      </w:pPr>
      <w:r>
        <w:rPr>
          <w:rFonts w:ascii="Arial" w:cs="Arial" w:eastAsia="Arial" w:hAnsi="Arial"/>
          <w:sz w:val="20"/>
          <w:szCs w:val="20"/>
        </w:rPr>
        <w:t xml:space="preserve">Hague Convention VIII (1907) governs naval mine warfare: mines must be anchored, must become harmless when severed from their moorings, and must not be placed in international shipping lanes in ways that endanger neutral shipping.</w:t>
      </w:r>
    </w:p>
    <w:p>
      <w:pPr>
        <w:pStyle w:val="ListParagraph"/>
        <w:numPr>
          <w:ilvl w:val="0"/>
          <w:numId w:val="2"/>
        </w:numPr>
        <w:spacing w:after="80"/>
      </w:pPr>
      <w:r>
        <w:rPr>
          <w:rFonts w:ascii="Arial" w:cs="Arial" w:eastAsia="Arial" w:hAnsi="Arial"/>
          <w:sz w:val="20"/>
          <w:szCs w:val="20"/>
        </w:rPr>
        <w:t xml:space="preserve">Iran's mine deployment in the strait would violate these constraints and provides additional legal basis for U.S. MCM operations as a defensive measure.</w:t>
      </w:r>
    </w:p>
    <w:p>
      <w:pPr>
        <w:pStyle w:val="ListParagraph"/>
        <w:numPr>
          <w:ilvl w:val="0"/>
          <w:numId w:val="2"/>
        </w:numPr>
        <w:spacing w:after="80"/>
      </w:pPr>
      <w:r>
        <w:rPr>
          <w:rFonts w:ascii="Arial" w:cs="Arial" w:eastAsia="Arial" w:hAnsi="Arial"/>
          <w:sz w:val="20"/>
          <w:szCs w:val="20"/>
        </w:rPr>
        <w:t xml:space="preserve">Blockade: A formal blockade of Iranian ports under the laws of naval warfare is a legally available but highly escalatory option that requires formal declaration, applies to all shipping (including neutral vessels), and creates complex third-party legal obligations. This option is not analyzed further here but should be distinguished from escort operations and MCM.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8B00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LEGAL POSTURE SUMMARY</w:t>
            </w:r>
          </w:p>
        </w:tc>
        <w:tc>
          <w:tcPr>
            <w:tcW w:type="dxa" w:w="8060"/>
            <w:tcBorders>
              <w:top w:val="single" w:color="999999" w:sz="1"/>
              <w:left w:val="single" w:color="999999" w:sz="1"/>
              <w:bottom w:val="single" w:color="999999" w:sz="1"/>
              <w:right w:val="single" w:color="999999" w:sz="1"/>
            </w:tcBorders>
            <w:shd w:fill="FFE8E8" w:val="clear"/>
            <w:tcMar>
              <w:top w:type="dxa" w:w="80"/>
              <w:left w:type="dxa" w:w="140"/>
              <w:bottom w:type="dxa" w:w="80"/>
              <w:right w:type="dxa" w:w="100"/>
            </w:tcMar>
          </w:tcPr>
          <w:p>
            <w:r>
              <w:rPr>
                <w:rFonts w:ascii="Arial" w:cs="Arial" w:eastAsia="Arial" w:hAnsi="Arial"/>
                <w:i/>
                <w:iCs/>
                <w:sz w:val="19"/>
                <w:szCs w:val="19"/>
              </w:rPr>
              <w:t xml:space="preserve">Reinforced maritime escort, MCM, and air/missile defense operations at partner hubs carry the cleanest legal basis. Territorial-control contingencies carry substantial legal burdens that are frontloaded at seizure but persist and compound over time. Strategic decision-making that treats legal burden as merely a planning complexity rather than a genuine constraint is analytically unsound.</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VII: RISK FACTORS AND KEY UNKNOWNS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VII: RISK FACTORS AND KEY UNKNOWNS</w:t>
      </w:r>
    </w:p>
    <w:p>
      <w:pPr>
        <w:pStyle w:val="Heading2"/>
        <w:spacing w:after="80" w:before="240"/>
      </w:pPr>
      <w:r>
        <w:rPr>
          <w:rFonts w:ascii="Arial" w:cs="Arial" w:eastAsia="Arial" w:hAnsi="Arial"/>
          <w:b/>
          <w:bCs/>
          <w:color w:val="1F4E79"/>
          <w:sz w:val="24"/>
          <w:szCs w:val="24"/>
        </w:rPr>
        <w:t xml:space="preserve">7.1 Iranian Military Capabilities and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348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348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POSTURE IMPLICATION</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Naval mines</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5,000+ assessed mines; fast-attack boat deployment; demonstrated intent (June 2025 loading)</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MCM is the non-negotiable first requirement of any posture option. Cannot be deferred.</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Anti-ship missiles</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Noor/Qader coastal defense missiles (120–300 km range); cover entire Persian Gulf</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Standoff suppression required; carrier strike group missile defense; electronic warfare</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IRGC speedboat swarm</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Dozens of fast-attack craft from Larak, Qeshm, Farur; demonstrated tanker seizure capability</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Naval escort must include dedicated anti-swarm protection; Rules of Engagement clarity required</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Ballistic missile strikes on partner hubs</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Shahab-3/Sejjil demonstrated against Al Udeid (June 2025): 14 missiles fired</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Hardened air defense at ALL partner hubs is combat-confirmed requirement, not precautionary</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Proxy activation (Houthi, PMF, Hezbollah)</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Simultaneous activation across multiple theaters is Iran's primary escalation instrument</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Posture 2 must account for concurrent Bab el-Mandeb disruption; Iraq/Syria force protection burden increases</w:t>
            </w:r>
          </w:p>
        </w:tc>
      </w:tr>
      <w:tr>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Submarine pipeline sabotage (if Kharg contingency activated)</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IRGC combat divers or UUVs could attempt pipeline disruption</w:t>
            </w:r>
          </w:p>
        </w:tc>
        <w:tc>
          <w:tcPr>
            <w:tcW w:type="dxa" w:w="312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Critical constraint on Posture 3 feasibility; cannot be resolved without mainland pipeline terminal control</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7.2 Key Unknowns</w:t>
      </w:r>
    </w:p>
    <w:p>
      <w:pPr>
        <w:spacing w:after="120"/>
        <w:jc w:val="both"/>
      </w:pPr>
      <w:r>
        <w:rPr>
          <w:rFonts w:ascii="Arial" w:cs="Arial" w:eastAsia="Arial" w:hAnsi="Arial"/>
          <w:b/>
          <w:bCs/>
          <w:color w:val="0D2137"/>
          <w:sz w:val="20"/>
          <w:szCs w:val="20"/>
        </w:rPr>
        <w:t xml:space="preserve">UNKNOWN 1 — Iranian escalation threshold: </w:t>
      </w:r>
      <w:r>
        <w:rPr>
          <w:rFonts w:ascii="Arial" w:cs="Arial" w:eastAsia="Arial" w:hAnsi="Arial"/>
          <w:color w:val="000000"/>
          <w:sz w:val="20"/>
          <w:szCs w:val="20"/>
        </w:rPr>
        <w:t xml:space="preserve">At what point does reinforced U.S. Posture 2 presence trigger Iranian miscalculation or deliberate escalation? This threshold is not known from open sources. The history of Iranian behavior (tanker war 1987–88; post-June 2025 restraint on Hormuz following nuclear strikes) suggests Iran calibrates responses to avoid triggering a level of U.S. response it cannot absorb — but this is a behavioral inference, not a confirmed limit.</w:t>
      </w:r>
    </w:p>
    <w:p>
      <w:pPr>
        <w:spacing w:after="120"/>
        <w:jc w:val="both"/>
      </w:pPr>
      <w:r>
        <w:rPr>
          <w:rFonts w:ascii="Arial" w:cs="Arial" w:eastAsia="Arial" w:hAnsi="Arial"/>
          <w:b/>
          <w:bCs/>
          <w:color w:val="0D2137"/>
          <w:sz w:val="20"/>
          <w:szCs w:val="20"/>
        </w:rPr>
        <w:t xml:space="preserve">UNKNOWN 2 — Duration of Iranian closure posture: </w:t>
      </w:r>
      <w:r>
        <w:rPr>
          <w:rFonts w:ascii="Arial" w:cs="Arial" w:eastAsia="Arial" w:hAnsi="Arial"/>
          <w:color w:val="000000"/>
          <w:sz w:val="20"/>
          <w:szCs w:val="20"/>
        </w:rPr>
        <w:t xml:space="preserve">Whether the current IRGC closure posture reflects a short-term coercive gambit or a strategic commitment to long-term strait disruption materially affects which U.S. posture is appropriate. ASSESSMENT [LOW CONFIDENCE]: Open-source indicators are insufficient to distinguish between these interpretations.</w:t>
      </w:r>
    </w:p>
    <w:p>
      <w:pPr>
        <w:spacing w:after="120"/>
        <w:jc w:val="both"/>
      </w:pPr>
      <w:r>
        <w:rPr>
          <w:rFonts w:ascii="Arial" w:cs="Arial" w:eastAsia="Arial" w:hAnsi="Arial"/>
          <w:b/>
          <w:bCs/>
          <w:color w:val="0D2137"/>
          <w:sz w:val="20"/>
          <w:szCs w:val="20"/>
        </w:rPr>
        <w:t xml:space="preserve">UNKNOWN 3 — Chinese diplomatic intervention tolerance: </w:t>
      </w:r>
      <w:r>
        <w:rPr>
          <w:rFonts w:ascii="Arial" w:cs="Arial" w:eastAsia="Arial" w:hAnsi="Arial"/>
          <w:color w:val="000000"/>
          <w:sz w:val="20"/>
          <w:szCs w:val="20"/>
        </w:rPr>
        <w:t xml:space="preserve">Whether and when China intervenes diplomatically to facilitate re-opening — given its economic exposure and its December 2025 UAE island statement — is unknown. This is the most potentially significant variable for near-term resolution and cannot be reliably predicted.</w:t>
      </w:r>
    </w:p>
    <w:p>
      <w:pPr>
        <w:spacing w:after="120"/>
        <w:jc w:val="both"/>
      </w:pPr>
      <w:r>
        <w:rPr>
          <w:rFonts w:ascii="Arial" w:cs="Arial" w:eastAsia="Arial" w:hAnsi="Arial"/>
          <w:b/>
          <w:bCs/>
          <w:color w:val="0D2137"/>
          <w:sz w:val="20"/>
          <w:szCs w:val="20"/>
        </w:rPr>
        <w:t xml:space="preserve">UNKNOWN 4 — Coalition political sustainability: </w:t>
      </w:r>
      <w:r>
        <w:rPr>
          <w:rFonts w:ascii="Arial" w:cs="Arial" w:eastAsia="Arial" w:hAnsi="Arial"/>
          <w:color w:val="000000"/>
          <w:sz w:val="20"/>
          <w:szCs w:val="20"/>
        </w:rPr>
        <w:t xml:space="preserve">How long key partners (particularly Qatar, given Al Udeid's exposure, and UAE, given its economic ties to Iran-adjacent trade) will sustain active cooperation at Posture 2 tempo is politically contingent and scenario-dependent.</w:t>
      </w:r>
    </w:p>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VIII: RECOMMENDED U.S. REGIONAL POSTURE AND CAMPAIGN SUSTAINMENT FRAMEWORK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VIII: RECOMMENDED U.S. REGIONAL POSTURE AND CAMPAIGN SUSTAINMENT FRAMEWORK</w:t>
      </w:r>
    </w:p>
    <w:p>
      <w:pPr>
        <w:pStyle w:val="Heading2"/>
        <w:spacing w:after="80" w:before="240"/>
      </w:pPr>
      <w:r>
        <w:rPr>
          <w:rFonts w:ascii="Arial" w:cs="Arial" w:eastAsia="Arial" w:hAnsi="Arial"/>
          <w:b/>
          <w:bCs/>
          <w:color w:val="1F4E79"/>
          <w:sz w:val="24"/>
          <w:szCs w:val="24"/>
        </w:rPr>
        <w:t xml:space="preserve">8.1 Central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CORE JUDGMENT [MODERATE-HIGH CONFIDENCE]</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The analytically favored U.S. approach is a reinforced but distributed regional posture centered on existing Gulf strongpoints — Bahrain, Qatar, UAE, Kuwait — combined with persistent mine countermeasures, naval escort, integrated air and missile defense, logistics redundancy, coordinated energy-market stabilization, and coalition burden-sharing. Territorial-control contingencies remain high-escalation branches rather than the baseline recommended course. The coercive value of Kharg Island as Iran's principal revenue node is real; the execution and administration burden of physically seizing and holding it is also real, and both must be weighed.</w:t>
            </w:r>
          </w:p>
        </w:tc>
      </w:tr>
    </w:tbl>
    <w:p>
      <w:pPr>
        <w:spacing w:after="80"/>
      </w:pPr>
      <w:r>
        <w:t xml:space="preserve"/>
      </w:r>
    </w:p>
    <w:p>
      <w:pPr>
        <w:spacing w:after="120"/>
        <w:jc w:val="both"/>
      </w:pPr>
      <w:r>
        <w:rPr>
          <w:rFonts w:ascii="Arial" w:cs="Arial" w:eastAsia="Arial" w:hAnsi="Arial"/>
          <w:sz w:val="20"/>
          <w:szCs w:val="20"/>
        </w:rPr>
        <w:t xml:space="preserve">Posture 2 should be understood as a combined maritime-security, energy-stabilization, and financial-pressure posture rather than a purely military one. Its non-kinetic companion measures — Treasury-led sanctions enforcement, secondary-sanctions readiness, shadow-fleet insurance pressure, and Section 311 financial isolation — are developed separately in the related financial-statecraft papers and are not reproduced here. The posture framework is most effective when maritime resilience and financial-pressure instruments are synchronized rather than treated as separate policy lanes.</w:t>
      </w:r>
    </w:p>
    <w:p>
      <w:pPr>
        <w:spacing w:after="80"/>
      </w:pPr>
      <w:r>
        <w:t xml:space="preserve"/>
      </w:r>
    </w:p>
    <w:p>
      <w:pPr>
        <w:pStyle w:val="Heading2"/>
        <w:spacing w:after="80" w:before="240"/>
      </w:pPr>
      <w:r>
        <w:rPr>
          <w:rFonts w:ascii="Arial" w:cs="Arial" w:eastAsia="Arial" w:hAnsi="Arial"/>
          <w:b/>
          <w:bCs/>
          <w:color w:val="1F4E79"/>
          <w:sz w:val="24"/>
          <w:szCs w:val="24"/>
        </w:rPr>
        <w:t xml:space="preserve">8.2 Posture-Transition Framework</w:t>
      </w:r>
    </w:p>
    <w:p>
      <w:pPr>
        <w:spacing w:after="120"/>
        <w:jc w:val="both"/>
      </w:pPr>
      <w:r>
        <w:rPr>
          <w:rFonts w:ascii="Arial" w:cs="Arial" w:eastAsia="Arial" w:hAnsi="Arial"/>
          <w:sz w:val="20"/>
          <w:szCs w:val="20"/>
        </w:rPr>
        <w:t xml:space="preserve">The following table replaces implementation-phase sequencing with a posture-transition framework centered on objectives, burdens, and desired end-states.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40"/>
        <w:gridCol w:w="2040"/>
        <w:gridCol w:w="2040"/>
      </w:tblGrid>
      <w:tr>
        <w:tc>
          <w:tcPr>
            <w:tcW w:type="dxa" w:w="144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PERIOD</w:t>
            </w:r>
          </w:p>
        </w:tc>
        <w:tc>
          <w:tcPr>
            <w:tcW w:type="dxa" w:w="180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U.S. OBJECTIVE</w:t>
            </w:r>
          </w:p>
        </w:tc>
        <w:tc>
          <w:tcPr>
            <w:tcW w:type="dxa" w:w="204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PRIMARY POSTURE</w:t>
            </w:r>
          </w:p>
        </w:tc>
        <w:tc>
          <w:tcPr>
            <w:tcW w:type="dxa" w:w="204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KEY BURDEN</w:t>
            </w:r>
          </w:p>
        </w:tc>
        <w:tc>
          <w:tcPr>
            <w:tcW w:type="dxa" w:w="2040"/>
            <w:tcBorders>
              <w:top w:val="single" w:color="999999" w:sz="1"/>
              <w:left w:val="single" w:color="999999" w:sz="1"/>
              <w:bottom w:val="single" w:color="999999" w:sz="1"/>
              <w:right w:val="single" w:color="999999"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DESIRED END-STATE</w:t>
            </w:r>
          </w:p>
        </w:tc>
      </w:tr>
      <w:tr>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0–30 days</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Restore confidence; prevent escalation spiral</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Surge maritime-air defense; DFC insurance; SPR release</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Disruption and escalation control; mine clearance tempo</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Partial commercial re-opening; insurance stabilization</w:t>
            </w:r>
          </w:p>
        </w:tc>
      </w:tr>
      <w:tr>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30–90 days</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Stabilize flows; reassure markets</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Distributed regional security architecture; persistent escort and MCM</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Sustainment tempo; coalition alignment; partner air defense hardening</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Predictable escort and MCM regime; tanker confidence partially restored</w:t>
            </w:r>
          </w:p>
        </w:tc>
      </w:tr>
      <w:tr>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3–12 months</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Prevent reclosure; sustain deterrence</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Hardened distributed campaign posture; coalition burden-sharing</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Endurance costs; CSG rotation; partner political tolerance</w:t>
            </w:r>
          </w:p>
        </w:tc>
        <w:tc>
          <w:tcPr>
            <w:tcW w:type="dxa" w:w="1872"/>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Resilient allied transit system; diplomatic track open</w:t>
            </w:r>
          </w:p>
        </w:tc>
      </w:tr>
      <w:tr>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1–5 years</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Avoid permanent crisis footing; deter without overextension</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Normalized but modernized regional posture; reduced surge footprint</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Strategic drag; Indo-Pacific posture tradeoff</w:t>
            </w:r>
          </w:p>
        </w:tc>
        <w:tc>
          <w:tcPr>
            <w:tcW w:type="dxa" w:w="1872"/>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color w:val="000000"/>
                <w:sz w:val="18"/>
                <w:szCs w:val="18"/>
              </w:rPr>
              <w:t xml:space="preserve">Deterrence without permanent crisis-level overpresence</w:t>
            </w:r>
          </w:p>
        </w:tc>
      </w:tr>
    </w:tbl>
    <w:p>
      <w:pPr>
        <w:spacing w:after="80"/>
      </w:pPr>
      <w:r>
        <w:t xml:space="preserve"/>
      </w:r>
    </w:p>
    <w:p>
      <w:pPr>
        <w:pStyle w:val="Heading2"/>
        <w:spacing w:after="80" w:before="240"/>
      </w:pPr>
      <w:r>
        <w:rPr>
          <w:rFonts w:ascii="Arial" w:cs="Arial" w:eastAsia="Arial" w:hAnsi="Arial"/>
          <w:b/>
          <w:bCs/>
          <w:color w:val="1F4E79"/>
          <w:sz w:val="24"/>
          <w:szCs w:val="24"/>
        </w:rPr>
        <w:t xml:space="preserve">8.3 Five Components Required for Oil-Flow Resilience</w:t>
      </w:r>
    </w:p>
    <w:p>
      <w:pPr>
        <w:spacing w:after="120"/>
        <w:jc w:val="both"/>
      </w:pPr>
      <w:r>
        <w:rPr>
          <w:rFonts w:ascii="Arial" w:cs="Arial" w:eastAsia="Arial" w:hAnsi="Arial"/>
          <w:sz w:val="20"/>
          <w:szCs w:val="20"/>
        </w:rPr>
        <w:t xml:space="preserve">No single posture element produces energy-supply continuity in isolation. Supporting allied oil-flow continuity — not guaranteeing it — requires five simultaneous actions, each of which has independent failure modes.</w:t>
      </w:r>
    </w:p>
    <w:p>
      <w:pPr>
        <w:pStyle w:val="ListParagraph"/>
        <w:numPr>
          <w:ilvl w:val="0"/>
          <w:numId w:val="2"/>
        </w:numPr>
        <w:spacing w:after="80"/>
      </w:pPr>
      <w:r>
        <w:rPr>
          <w:rFonts w:ascii="Arial" w:cs="Arial" w:eastAsia="Arial" w:hAnsi="Arial"/>
          <w:sz w:val="20"/>
          <w:szCs w:val="20"/>
        </w:rPr>
        <w:t xml:space="preserve">Mine countermeasures: Non-negotiable first requirement. Must be sustained continuously. A single mining incident during an escort period resets commercial confidence.</w:t>
      </w:r>
    </w:p>
    <w:p>
      <w:pPr>
        <w:pStyle w:val="ListParagraph"/>
        <w:numPr>
          <w:ilvl w:val="0"/>
          <w:numId w:val="2"/>
        </w:numPr>
        <w:spacing w:after="80"/>
      </w:pPr>
      <w:r>
        <w:rPr>
          <w:rFonts w:ascii="Arial" w:cs="Arial" w:eastAsia="Arial" w:hAnsi="Arial"/>
          <w:sz w:val="20"/>
          <w:szCs w:val="20"/>
        </w:rPr>
        <w:t xml:space="preserve">Naval escort program: U.S. 5th Fleet plus CMF partners escort allied tankers through the TSS. Operation Earnest Will (1987–88) established the legal, operational, and diplomatic precedent. The key lesson: escort operations can be sustained for over a year against Iranian harassment without triggering full-scale war — but only with consistent Rules of Engagement and political backing.</w:t>
      </w:r>
    </w:p>
    <w:p>
      <w:pPr>
        <w:pStyle w:val="ListParagraph"/>
        <w:numPr>
          <w:ilvl w:val="0"/>
          <w:numId w:val="2"/>
        </w:numPr>
        <w:spacing w:after="80"/>
      </w:pPr>
      <w:r>
        <w:rPr>
          <w:rFonts w:ascii="Arial" w:cs="Arial" w:eastAsia="Arial" w:hAnsi="Arial"/>
          <w:sz w:val="20"/>
          <w:szCs w:val="20"/>
        </w:rPr>
        <w:t xml:space="preserve">Strategic reserve coordination: IEA member-state SPR release covers the first 30-day gap while alternative supply routes are activated. Saudi Arabia and UAE spare capacity (assessed at 3.5–4.5 million bpd combined) is the medium-term replacement supply instrument.</w:t>
      </w:r>
    </w:p>
    <w:p>
      <w:pPr>
        <w:pStyle w:val="ListParagraph"/>
        <w:numPr>
          <w:ilvl w:val="0"/>
          <w:numId w:val="2"/>
        </w:numPr>
        <w:spacing w:after="80"/>
      </w:pPr>
      <w:r>
        <w:rPr>
          <w:rFonts w:ascii="Arial" w:cs="Arial" w:eastAsia="Arial" w:hAnsi="Arial"/>
          <w:sz w:val="20"/>
          <w:szCs w:val="20"/>
        </w:rPr>
        <w:t xml:space="preserve">War-risk insurance backstop: DFC government-backed insurance is the commercial-confidence instrument. Without it, most commercial tanker operators will not enter the Gulf regardless of naval escort availability.</w:t>
      </w:r>
    </w:p>
    <w:p>
      <w:pPr>
        <w:pStyle w:val="ListParagraph"/>
        <w:numPr>
          <w:ilvl w:val="0"/>
          <w:numId w:val="2"/>
        </w:numPr>
        <w:spacing w:after="80"/>
      </w:pPr>
      <w:r>
        <w:rPr>
          <w:rFonts w:ascii="Arial" w:cs="Arial" w:eastAsia="Arial" w:hAnsi="Arial"/>
          <w:sz w:val="20"/>
          <w:szCs w:val="20"/>
        </w:rPr>
        <w:t xml:space="preserve">Allied supply diversification: India, Japan, and South Korea redirecting procurement to Saudi, UAE, and Iraqi supply reduces dependence on Iranian production and reduces the leverage Iran retains through potential supply disruption. This is a medium-term (3–6 month) adjustment, not an immediate one.</w:t>
      </w:r>
    </w:p>
    <w:p>
      <w:pPr>
        <w:spacing w:after="80"/>
      </w:pPr>
      <w:r>
        <w:t xml:space="preserve"/>
      </w:r>
    </w:p>
    <w:p>
      <w:pPr>
        <w:pStyle w:val="Heading2"/>
        <w:spacing w:after="80" w:before="240"/>
      </w:pPr>
      <w:r>
        <w:rPr>
          <w:rFonts w:ascii="Arial" w:cs="Arial" w:eastAsia="Arial" w:hAnsi="Arial"/>
          <w:b/>
          <w:bCs/>
          <w:color w:val="1F4E79"/>
          <w:sz w:val="24"/>
          <w:szCs w:val="24"/>
        </w:rPr>
        <w:t xml:space="preserve">8.4 Territorial-Control Contingency — Conditions for Consideration</w:t>
      </w:r>
    </w:p>
    <w:p>
      <w:pPr>
        <w:spacing w:after="120"/>
        <w:jc w:val="both"/>
      </w:pPr>
      <w:r>
        <w:rPr>
          <w:rFonts w:ascii="Arial" w:cs="Arial" w:eastAsia="Arial" w:hAnsi="Arial"/>
          <w:sz w:val="20"/>
          <w:szCs w:val="20"/>
        </w:rPr>
        <w:t xml:space="preserve">ASSESSMENT: If Posture 2 fails to restore commercially viable transit conditions within 60–90 days, territorial-control contingencies may warrant active preparation — not as a default, but as the next available coercive instrument. The conditions that would increase the analytic case for escalation to Posture 3 are:</w:t>
      </w:r>
    </w:p>
    <w:p>
      <w:pPr>
        <w:pStyle w:val="ListParagraph"/>
        <w:numPr>
          <w:ilvl w:val="0"/>
          <w:numId w:val="2"/>
        </w:numPr>
        <w:spacing w:after="80"/>
      </w:pPr>
      <w:r>
        <w:rPr>
          <w:rFonts w:ascii="Arial" w:cs="Arial" w:eastAsia="Arial" w:hAnsi="Arial"/>
          <w:sz w:val="20"/>
          <w:szCs w:val="20"/>
        </w:rPr>
        <w:t xml:space="preserve">Iranian active mining of the TSS lanes at a tempo that exceeds U.S. MCM capacity to clear — making escort operations physically unsustainable.</w:t>
      </w:r>
    </w:p>
    <w:p>
      <w:pPr>
        <w:pStyle w:val="ListParagraph"/>
        <w:numPr>
          <w:ilvl w:val="0"/>
          <w:numId w:val="2"/>
        </w:numPr>
        <w:spacing w:after="80"/>
      </w:pPr>
      <w:r>
        <w:rPr>
          <w:rFonts w:ascii="Arial" w:cs="Arial" w:eastAsia="Arial" w:hAnsi="Arial"/>
          <w:sz w:val="20"/>
          <w:szCs w:val="20"/>
        </w:rPr>
        <w:t xml:space="preserve">Iranian ballistic missile attacks on Bahrain or Qatar naval infrastructure that degrade 5th Fleet operational capacity.</w:t>
      </w:r>
    </w:p>
    <w:p>
      <w:pPr>
        <w:pStyle w:val="ListParagraph"/>
        <w:numPr>
          <w:ilvl w:val="0"/>
          <w:numId w:val="2"/>
        </w:numPr>
        <w:spacing w:after="80"/>
      </w:pPr>
      <w:r>
        <w:rPr>
          <w:rFonts w:ascii="Arial" w:cs="Arial" w:eastAsia="Arial" w:hAnsi="Arial"/>
          <w:sz w:val="20"/>
          <w:szCs w:val="20"/>
        </w:rPr>
        <w:t xml:space="preserve">Failure of diplomatic back-channels (Oman, Switzerland) to produce any movement toward a transit-passage arrangement within 60 days.</w:t>
      </w:r>
    </w:p>
    <w:p>
      <w:pPr>
        <w:pStyle w:val="ListParagraph"/>
        <w:numPr>
          <w:ilvl w:val="0"/>
          <w:numId w:val="2"/>
        </w:numPr>
        <w:spacing w:after="80"/>
      </w:pPr>
      <w:r>
        <w:rPr>
          <w:rFonts w:ascii="Arial" w:cs="Arial" w:eastAsia="Arial" w:hAnsi="Arial"/>
          <w:sz w:val="20"/>
          <w:szCs w:val="20"/>
        </w:rPr>
        <w:t xml:space="preserve">Evidence of accelerating Iranian nuclear reconstitution that raises the strategic cost of extended Gulf presence without resolution.</w:t>
      </w:r>
    </w:p>
    <w:p>
      <w:pPr>
        <w:spacing w:after="120"/>
        <w:jc w:val="both"/>
      </w:pPr>
      <w:r>
        <w:rPr>
          <w:rFonts w:ascii="Arial" w:cs="Arial" w:eastAsia="Arial" w:hAnsi="Arial"/>
          <w:sz w:val="20"/>
          <w:szCs w:val="20"/>
        </w:rPr>
        <w:t xml:space="preserve">Even under these conditions, the legal, civilian-protection, sustainment, and administration burdens described in Part VI remain real and do not disappear because operational necessity increases.</w:t>
      </w:r>
    </w:p>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PART IX: FINAL ASSESSMENT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PART IX: FINAL ASSESSMENT</w:t>
      </w:r>
    </w:p>
    <w:p>
      <w:pPr>
        <w:spacing w:after="120"/>
        <w:jc w:val="both"/>
      </w:pPr>
      <w:r>
        <w:rPr>
          <w:rFonts w:ascii="Arial" w:cs="Arial" w:eastAsia="Arial" w:hAnsi="Arial"/>
          <w:sz w:val="20"/>
          <w:szCs w:val="20"/>
        </w:rPr>
        <w:t xml:space="preserve">The principal U.S. requirement under current crisis conditions is not territorial expansion but the restoration and sustainment of Gulf maritime and energy resilience.</w:t>
      </w:r>
    </w:p>
    <w:p>
      <w:pPr>
        <w:spacing w:after="120"/>
        <w:jc w:val="both"/>
      </w:pPr>
      <w:r>
        <w:rPr>
          <w:rFonts w:ascii="Arial" w:cs="Arial" w:eastAsia="Arial" w:hAnsi="Arial"/>
          <w:sz w:val="20"/>
          <w:szCs w:val="20"/>
        </w:rPr>
        <w:t xml:space="preserve">A reinforced regional posture anchored in existing U.S. and partner hubs offers the strongest available balance of effectiveness, legal defensibility, coalition durability, and market reassurance. It preserves the coercive option without prematurely incurring the legal, administrative, and sustainment burden that territorial seizure would create.</w:t>
      </w:r>
    </w:p>
    <w:p>
      <w:pPr>
        <w:spacing w:after="120"/>
        <w:jc w:val="both"/>
      </w:pPr>
      <w:r>
        <w:rPr>
          <w:rFonts w:ascii="Arial" w:cs="Arial" w:eastAsia="Arial" w:hAnsi="Arial"/>
          <w:sz w:val="20"/>
          <w:szCs w:val="20"/>
        </w:rPr>
        <w:t xml:space="preserve">Kharg Island remains Iran's principal oil-export revenue node — the most important economic center of gravity in the theater. The coercive leverage created by the threat of its seizure may be more durable and more strategically useful than the leverage created by actually seizing it, because the threat preserves optionality while actual seizure creates obligations.</w:t>
      </w:r>
    </w:p>
    <w:p>
      <w:pPr>
        <w:spacing w:after="120"/>
        <w:jc w:val="both"/>
      </w:pPr>
      <w:r>
        <w:rPr>
          <w:rFonts w:ascii="Arial" w:cs="Arial" w:eastAsia="Arial" w:hAnsi="Arial"/>
          <w:sz w:val="20"/>
          <w:szCs w:val="20"/>
        </w:rPr>
        <w:t xml:space="preserve">High-escalation territorial-control contingencies carry substantial escalation, legal, and sustainment burdens. They should be treated as branches — kept live, prepared if conditions warrant, but not treated as the baseline recommended course.</w:t>
      </w:r>
    </w:p>
    <w:p>
      <w:pPr>
        <w:spacing w:after="120"/>
        <w:jc w:val="both"/>
      </w:pPr>
      <w:r>
        <w:rPr>
          <w:rFonts w:ascii="Arial" w:cs="Arial" w:eastAsia="Arial" w:hAnsi="Arial"/>
          <w:sz w:val="20"/>
          <w:szCs w:val="20"/>
        </w:rPr>
        <w:t xml:space="preserve">In the near term, the United States should prioritize mine countermeasures, naval escort capacity, air and missile defense, logistics redundancy, war-risk insurance backstop, and IEA strategic reserve coordination. Over the longer term, success should be defined as resilient allied transit and deterrence without permanent crisis-level overpresence.</w:t>
      </w:r>
    </w:p>
    <w:p>
      <w:pPr>
        <w:spacing w:after="80"/>
      </w:pPr>
      <w:r>
        <w:t xml:space="preserve"/>
      </w:r>
    </w:p>
    <w:p>
      <w:pPr>
        <w:spacing w:after="120"/>
        <w:jc w:val="both"/>
      </w:pPr>
      <w:r>
        <w:rPr>
          <w:rFonts w:ascii="Arial" w:cs="Arial" w:eastAsia="Arial" w:hAnsi="Arial"/>
          <w:sz w:val="20"/>
          <w:szCs w:val="20"/>
        </w:rPr>
        <w:t xml:space="preserve">This conclusion assumes concurrent use of non-kinetic financial pressure instruments addressed in companion papers. The posture framework is strongest when maritime resilience and Treasury-led coercive finance tools are synchronized rather than treated as separate policy lanes. Further statutory and enforcement detail is addressed in companion financial-statecraft papers and is not reproduced 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300"/>
        <w:gridCol w:w="8060"/>
      </w:tblGrid>
      <w:tr>
        <w:tc>
          <w:tcPr>
            <w:tcW w:type="dxa" w:w="13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FINAL JUDGMENT</w:t>
            </w:r>
          </w:p>
        </w:tc>
        <w:tc>
          <w:tcPr>
            <w:tcW w:type="dxa" w:w="8060"/>
            <w:tcBorders>
              <w:top w:val="single" w:color="999999" w:sz="1"/>
              <w:left w:val="single" w:color="999999" w:sz="1"/>
              <w:bottom w:val="single" w:color="999999" w:sz="1"/>
              <w:right w:val="single" w:color="999999" w:sz="1"/>
            </w:tcBorders>
            <w:shd w:fill="D6E4F0" w:val="clear"/>
            <w:tcMar>
              <w:top w:type="dxa" w:w="80"/>
              <w:left w:type="dxa" w:w="140"/>
              <w:bottom w:type="dxa" w:w="80"/>
              <w:right w:type="dxa" w:w="100"/>
            </w:tcMar>
          </w:tcPr>
          <w:p>
            <w:r>
              <w:rPr>
                <w:rFonts w:ascii="Arial" w:cs="Arial" w:eastAsia="Arial" w:hAnsi="Arial"/>
                <w:i/>
                <w:iCs/>
                <w:sz w:val="19"/>
                <w:szCs w:val="19"/>
              </w:rPr>
              <w:t xml:space="preserve">Observed: The Strait of Hormuz is partially closed as of March 2, 2026. Commercial transit is severely disrupted. Assessment: A reinforced distributed posture (Posture 2) is more sustainable, more legally defensible, and more coalition-compatible than seizure-centered territorial control (Posture 3). Key Unknown: Iranian escalation threshold, closure duration, and Chinese diplomatic intervention timing are the three most consequential unresolved variables. Implication: U.S. posture decisions made in the first 30–90 days will shape the feasibility of each subsequent time horizon. Early escalation to Posture 3 without exhausting Posture 2 instruments forecloses diplomatic options and creates legal and administration burdens that are difficult to exit.</w:t>
            </w:r>
          </w:p>
        </w:tc>
      </w:tr>
    </w:tbl>
    <w:p>
      <w:pPr>
        <w:spacing w:after="160"/>
      </w:pPr>
      <w:r>
        <w:t xml:space="preserve"/>
      </w:r>
    </w:p>
    <w:p>
      <w:r>
        <w:br w:type="page"/>
      </w:r>
    </w:p>
    <w:p>
      <w:pPr>
        <w:shd w:fill="0D2137" w:val="clear"/>
        <w:spacing w:after="280" w:before="280"/>
        <w:jc w:val="center"/>
      </w:pPr>
      <w:r>
        <w:rPr>
          <w:rFonts w:ascii="Arial" w:cs="Arial" w:eastAsia="Arial" w:hAnsi="Arial"/>
          <w:b/>
          <w:bCs/>
          <w:color w:val="FFFFFF"/>
          <w:sz w:val="20"/>
          <w:szCs w:val="20"/>
        </w:rPr>
        <w:t xml:space="preserve">  SOURCES AND REFERENCE BASIS  </w:t>
      </w:r>
    </w:p>
    <w:p>
      <w:pPr>
        <w:spacing w:after="80"/>
      </w:pPr>
      <w:r>
        <w:t xml:space="preserve"/>
      </w:r>
    </w:p>
    <w:p>
      <w:pPr>
        <w:pStyle w:val="Heading1"/>
        <w:pBdr>
          <w:bottom w:val="thick" w:color="B8860B" w:sz="8" w:space="4"/>
        </w:pBdr>
        <w:spacing w:after="120" w:before="360"/>
      </w:pPr>
      <w:r>
        <w:rPr>
          <w:rFonts w:ascii="Arial" w:cs="Arial" w:eastAsia="Arial" w:hAnsi="Arial"/>
          <w:b/>
          <w:bCs/>
          <w:color w:val="0D2137"/>
          <w:sz w:val="30"/>
          <w:szCs w:val="30"/>
        </w:rPr>
        <w:t xml:space="preserve">SOURCES AND REFERENCE BASIS</w:t>
      </w:r>
    </w:p>
    <w:p>
      <w:pPr>
        <w:spacing w:after="120"/>
        <w:jc w:val="both"/>
      </w:pPr>
      <w:r>
        <w:rPr>
          <w:rFonts w:ascii="Arial" w:cs="Arial" w:eastAsia="Arial" w:hAnsi="Arial"/>
          <w:sz w:val="20"/>
          <w:szCs w:val="20"/>
        </w:rPr>
        <w:t xml:space="preserve">Sources are organized by tier. Tier 3 sources are used only for contextual background and are not used to carry Tier 1-certainty conclusions.</w:t>
      </w:r>
    </w:p>
    <w:p>
      <w:pPr>
        <w:spacing w:after="80"/>
      </w:pPr>
      <w:r>
        <w:t xml:space="preserve"/>
      </w:r>
    </w:p>
    <w:p>
      <w:pPr>
        <w:spacing w:after="60" w:before="160"/>
      </w:pPr>
      <w:r>
        <w:rPr>
          <w:rFonts w:ascii="Arial" w:cs="Arial" w:eastAsia="Arial" w:hAnsi="Arial"/>
          <w:b/>
          <w:bCs/>
          <w:color w:val="0D2137"/>
          <w:sz w:val="22"/>
          <w:szCs w:val="22"/>
        </w:rPr>
        <w:t xml:space="preserve">[TIER 1 — Government and Treaty Sources]</w:t>
      </w:r>
    </w:p>
    <w:p>
      <w:pPr>
        <w:pStyle w:val="ListParagraph"/>
        <w:numPr>
          <w:ilvl w:val="0"/>
          <w:numId w:val="2"/>
        </w:numPr>
        <w:spacing w:after="80"/>
      </w:pPr>
      <w:r>
        <w:rPr>
          <w:rFonts w:ascii="Arial" w:cs="Arial" w:eastAsia="Arial" w:hAnsi="Arial"/>
          <w:sz w:val="20"/>
          <w:szCs w:val="20"/>
        </w:rPr>
        <w:t xml:space="preserve">U.S. Energy Information Administration (EIA) — 'Amid regional conflict, the Strait of Hormuz remains critical oil chokepoint' (June 2025 and 2026 updates); EIA Short-Term Energy Outlook</w:t>
      </w:r>
    </w:p>
    <w:p>
      <w:pPr>
        <w:pStyle w:val="ListParagraph"/>
        <w:numPr>
          <w:ilvl w:val="0"/>
          <w:numId w:val="2"/>
        </w:numPr>
        <w:spacing w:after="80"/>
      </w:pPr>
      <w:r>
        <w:rPr>
          <w:rFonts w:ascii="Arial" w:cs="Arial" w:eastAsia="Arial" w:hAnsi="Arial"/>
          <w:sz w:val="20"/>
          <w:szCs w:val="20"/>
        </w:rPr>
        <w:t xml:space="preserve">Defense Intelligence Agency (DIA) — Iran naval mine inventory estimates (2019); cited in open-source reporting</w:t>
      </w:r>
    </w:p>
    <w:p>
      <w:pPr>
        <w:pStyle w:val="ListParagraph"/>
        <w:numPr>
          <w:ilvl w:val="0"/>
          <w:numId w:val="2"/>
        </w:numPr>
        <w:spacing w:after="80"/>
      </w:pPr>
      <w:r>
        <w:rPr>
          <w:rFonts w:ascii="Arial" w:cs="Arial" w:eastAsia="Arial" w:hAnsi="Arial"/>
          <w:sz w:val="20"/>
          <w:szCs w:val="20"/>
        </w:rPr>
        <w:t xml:space="preserve">Trump Administration / U.S. Development Finance Corporation — War-risk insurance backstop announcement, March 3, 2026 (per Axios and public White House statement)</w:t>
      </w:r>
    </w:p>
    <w:p>
      <w:pPr>
        <w:pStyle w:val="ListParagraph"/>
        <w:numPr>
          <w:ilvl w:val="0"/>
          <w:numId w:val="2"/>
        </w:numPr>
        <w:spacing w:after="80"/>
      </w:pPr>
      <w:r>
        <w:rPr>
          <w:rFonts w:ascii="Arial" w:cs="Arial" w:eastAsia="Arial" w:hAnsi="Arial"/>
          <w:sz w:val="20"/>
          <w:szCs w:val="20"/>
        </w:rPr>
        <w:t xml:space="preserve">UN Charter Articles 2(4), 42, 51 — Jus ad bellum framework</w:t>
      </w:r>
    </w:p>
    <w:p>
      <w:pPr>
        <w:pStyle w:val="ListParagraph"/>
        <w:numPr>
          <w:ilvl w:val="0"/>
          <w:numId w:val="2"/>
        </w:numPr>
        <w:spacing w:after="80"/>
      </w:pPr>
      <w:r>
        <w:rPr>
          <w:rFonts w:ascii="Arial" w:cs="Arial" w:eastAsia="Arial" w:hAnsi="Arial"/>
          <w:sz w:val="20"/>
          <w:szCs w:val="20"/>
        </w:rPr>
        <w:t xml:space="preserve">UNCLOS (United Nations Convention on the Law of the Sea) — Articles 37–44 (transit passage); Article 38 specifically</w:t>
      </w:r>
    </w:p>
    <w:p>
      <w:pPr>
        <w:pStyle w:val="ListParagraph"/>
        <w:numPr>
          <w:ilvl w:val="0"/>
          <w:numId w:val="2"/>
        </w:numPr>
        <w:spacing w:after="80"/>
      </w:pPr>
      <w:r>
        <w:rPr>
          <w:rFonts w:ascii="Arial" w:cs="Arial" w:eastAsia="Arial" w:hAnsi="Arial"/>
          <w:sz w:val="20"/>
          <w:szCs w:val="20"/>
        </w:rPr>
        <w:t xml:space="preserve">Hague Regulations (1907) — Articles 42–56 (belligerent occupation)</w:t>
      </w:r>
    </w:p>
    <w:p>
      <w:pPr>
        <w:pStyle w:val="ListParagraph"/>
        <w:numPr>
          <w:ilvl w:val="0"/>
          <w:numId w:val="2"/>
        </w:numPr>
        <w:spacing w:after="80"/>
      </w:pPr>
      <w:r>
        <w:rPr>
          <w:rFonts w:ascii="Arial" w:cs="Arial" w:eastAsia="Arial" w:hAnsi="Arial"/>
          <w:sz w:val="20"/>
          <w:szCs w:val="20"/>
        </w:rPr>
        <w:t xml:space="preserve">Geneva Convention IV (1949) — Civilian protection under occupation</w:t>
      </w:r>
    </w:p>
    <w:p>
      <w:pPr>
        <w:pStyle w:val="ListParagraph"/>
        <w:numPr>
          <w:ilvl w:val="0"/>
          <w:numId w:val="2"/>
        </w:numPr>
        <w:spacing w:after="80"/>
      </w:pPr>
      <w:r>
        <w:rPr>
          <w:rFonts w:ascii="Arial" w:cs="Arial" w:eastAsia="Arial" w:hAnsi="Arial"/>
          <w:sz w:val="20"/>
          <w:szCs w:val="20"/>
        </w:rPr>
        <w:t xml:space="preserve">Hague Convention VIII (1907) — Naval mine warfare constraints</w:t>
      </w:r>
    </w:p>
    <w:p>
      <w:pPr>
        <w:pStyle w:val="ListParagraph"/>
        <w:numPr>
          <w:ilvl w:val="0"/>
          <w:numId w:val="2"/>
        </w:numPr>
        <w:spacing w:after="80"/>
      </w:pPr>
      <w:r>
        <w:rPr>
          <w:rFonts w:ascii="Arial" w:cs="Arial" w:eastAsia="Arial" w:hAnsi="Arial"/>
          <w:sz w:val="20"/>
          <w:szCs w:val="20"/>
        </w:rPr>
        <w:t xml:space="preserve">IMO Traffic Separation Scheme — Strait of Hormuz TSS authority and configuration</w:t>
      </w:r>
    </w:p>
    <w:p>
      <w:pPr>
        <w:spacing w:after="80"/>
      </w:pPr>
      <w:r>
        <w:t xml:space="preserve"/>
      </w:r>
    </w:p>
    <w:p>
      <w:pPr>
        <w:spacing w:after="60" w:before="160"/>
      </w:pPr>
      <w:r>
        <w:rPr>
          <w:rFonts w:ascii="Arial" w:cs="Arial" w:eastAsia="Arial" w:hAnsi="Arial"/>
          <w:b/>
          <w:bCs/>
          <w:color w:val="0D2137"/>
          <w:sz w:val="22"/>
          <w:szCs w:val="22"/>
        </w:rPr>
        <w:t xml:space="preserve">[TIER 2 — Established Research and Policy Organizations]</w:t>
      </w:r>
    </w:p>
    <w:p>
      <w:pPr>
        <w:pStyle w:val="ListParagraph"/>
        <w:numPr>
          <w:ilvl w:val="0"/>
          <w:numId w:val="2"/>
        </w:numPr>
        <w:spacing w:after="80"/>
      </w:pPr>
      <w:r>
        <w:rPr>
          <w:rFonts w:ascii="Arial" w:cs="Arial" w:eastAsia="Arial" w:hAnsi="Arial"/>
          <w:sz w:val="20"/>
          <w:szCs w:val="20"/>
        </w:rPr>
        <w:t xml:space="preserve">Atlantic Council Energy Source — 'What the US can do to mitigate an impending energy crisis' (March 2026)</w:t>
      </w:r>
    </w:p>
    <w:p>
      <w:pPr>
        <w:pStyle w:val="ListParagraph"/>
        <w:numPr>
          <w:ilvl w:val="0"/>
          <w:numId w:val="2"/>
        </w:numPr>
        <w:spacing w:after="80"/>
      </w:pPr>
      <w:r>
        <w:rPr>
          <w:rFonts w:ascii="Arial" w:cs="Arial" w:eastAsia="Arial" w:hAnsi="Arial"/>
          <w:sz w:val="20"/>
          <w:szCs w:val="20"/>
        </w:rPr>
        <w:t xml:space="preserve">CSIS Nuclear Network — Iran regional assessment materials</w:t>
      </w:r>
    </w:p>
    <w:p>
      <w:pPr>
        <w:pStyle w:val="ListParagraph"/>
        <w:numPr>
          <w:ilvl w:val="0"/>
          <w:numId w:val="2"/>
        </w:numPr>
        <w:spacing w:after="80"/>
      </w:pPr>
      <w:r>
        <w:rPr>
          <w:rFonts w:ascii="Arial" w:cs="Arial" w:eastAsia="Arial" w:hAnsi="Arial"/>
          <w:sz w:val="20"/>
          <w:szCs w:val="20"/>
        </w:rPr>
        <w:t xml:space="preserve">NTI (Nuclear Threat Initiative) — Iran conventional forces overview</w:t>
      </w:r>
    </w:p>
    <w:p>
      <w:pPr>
        <w:pStyle w:val="ListParagraph"/>
        <w:numPr>
          <w:ilvl w:val="0"/>
          <w:numId w:val="2"/>
        </w:numPr>
        <w:spacing w:after="80"/>
      </w:pPr>
      <w:r>
        <w:rPr>
          <w:rFonts w:ascii="Arial" w:cs="Arial" w:eastAsia="Arial" w:hAnsi="Arial"/>
          <w:sz w:val="20"/>
          <w:szCs w:val="20"/>
        </w:rPr>
        <w:t xml:space="preserve">Strauss Center — Strait of Hormuz geography and bathymetry analysis</w:t>
      </w:r>
    </w:p>
    <w:p>
      <w:pPr>
        <w:pStyle w:val="ListParagraph"/>
        <w:numPr>
          <w:ilvl w:val="0"/>
          <w:numId w:val="2"/>
        </w:numPr>
        <w:spacing w:after="80"/>
      </w:pPr>
      <w:r>
        <w:rPr>
          <w:rFonts w:ascii="Arial" w:cs="Arial" w:eastAsia="Arial" w:hAnsi="Arial"/>
          <w:sz w:val="20"/>
          <w:szCs w:val="20"/>
        </w:rPr>
        <w:t xml:space="preserve">JP Morgan energy analysis — Kharg Island operational capacity assessment (March 2026); cited in major financial and policy reporting</w:t>
      </w:r>
    </w:p>
    <w:p>
      <w:pPr>
        <w:pStyle w:val="ListParagraph"/>
        <w:numPr>
          <w:ilvl w:val="0"/>
          <w:numId w:val="2"/>
        </w:numPr>
        <w:spacing w:after="80"/>
      </w:pPr>
      <w:r>
        <w:rPr>
          <w:rFonts w:ascii="Arial" w:cs="Arial" w:eastAsia="Arial" w:hAnsi="Arial"/>
          <w:sz w:val="20"/>
          <w:szCs w:val="20"/>
        </w:rPr>
        <w:t xml:space="preserve">Britannica — Kharg Island entry; loading capacity and historical development</w:t>
      </w:r>
    </w:p>
    <w:p>
      <w:pPr>
        <w:spacing w:after="80"/>
      </w:pPr>
      <w:r>
        <w:t xml:space="preserve"/>
      </w:r>
    </w:p>
    <w:p>
      <w:pPr>
        <w:spacing w:after="60" w:before="160"/>
      </w:pPr>
      <w:r>
        <w:rPr>
          <w:rFonts w:ascii="Arial" w:cs="Arial" w:eastAsia="Arial" w:hAnsi="Arial"/>
          <w:b/>
          <w:bCs/>
          <w:color w:val="0D2137"/>
          <w:sz w:val="22"/>
          <w:szCs w:val="22"/>
        </w:rPr>
        <w:t xml:space="preserve">[TIER 2 — Major Media with Named Institutional Sources]</w:t>
      </w:r>
    </w:p>
    <w:p>
      <w:pPr>
        <w:pStyle w:val="ListParagraph"/>
        <w:numPr>
          <w:ilvl w:val="0"/>
          <w:numId w:val="2"/>
        </w:numPr>
        <w:spacing w:after="80"/>
      </w:pPr>
      <w:r>
        <w:rPr>
          <w:rFonts w:ascii="Arial" w:cs="Arial" w:eastAsia="Arial" w:hAnsi="Arial"/>
          <w:sz w:val="20"/>
          <w:szCs w:val="20"/>
        </w:rPr>
        <w:t xml:space="preserve">Axios — U.S. government discussions of Kharg Island seizure contingency, named senior officials (March 8, 2026). Principal news source for active policy deliberation on territorial-control contingencies.</w:t>
      </w:r>
    </w:p>
    <w:p>
      <w:pPr>
        <w:pStyle w:val="ListParagraph"/>
        <w:numPr>
          <w:ilvl w:val="0"/>
          <w:numId w:val="2"/>
        </w:numPr>
        <w:spacing w:after="80"/>
      </w:pPr>
      <w:r>
        <w:rPr>
          <w:rFonts w:ascii="Arial" w:cs="Arial" w:eastAsia="Arial" w:hAnsi="Arial"/>
          <w:sz w:val="20"/>
          <w:szCs w:val="20"/>
        </w:rPr>
        <w:t xml:space="preserve">GlobalSecurity.org / RFE/RL — 'China Draws Iranian Ire Over UAE Islands Claim' (December 2025). Named diplomatic sourcing on UAE island sovereignty claim and Chinese position.</w:t>
      </w:r>
    </w:p>
    <w:p>
      <w:pPr>
        <w:spacing w:after="80"/>
      </w:pPr>
      <w:r>
        <w:t xml:space="preserve"/>
      </w:r>
    </w:p>
    <w:p>
      <w:pPr>
        <w:spacing w:after="60" w:before="160"/>
      </w:pPr>
      <w:r>
        <w:rPr>
          <w:rFonts w:ascii="Arial" w:cs="Arial" w:eastAsia="Arial" w:hAnsi="Arial"/>
          <w:b/>
          <w:bCs/>
          <w:color w:val="0D2137"/>
          <w:sz w:val="22"/>
          <w:szCs w:val="22"/>
        </w:rPr>
        <w:t xml:space="preserve">[BACKGROUND ORIENTATION — Not Cited as Evidentiary Basis]</w:t>
      </w:r>
    </w:p>
    <w:p>
      <w:pPr>
        <w:pStyle w:val="ListParagraph"/>
        <w:numPr>
          <w:ilvl w:val="0"/>
          <w:numId w:val="2"/>
        </w:numPr>
        <w:spacing w:after="80"/>
      </w:pPr>
      <w:r>
        <w:rPr>
          <w:rFonts w:ascii="Arial" w:cs="Arial" w:eastAsia="Arial" w:hAnsi="Arial"/>
          <w:sz w:val="20"/>
          <w:szCs w:val="20"/>
        </w:rPr>
        <w:t xml:space="preserve">Geography, bathymetry, and facility background data drawn from Britannica, Strauss Center, and EIA reference materials. No claim in the main assessment rests on these sources alone.</w:t>
      </w:r>
    </w:p>
    <w:p>
      <w:pPr>
        <w:spacing w:after="80"/>
      </w:pPr>
      <w:r>
        <w:t xml:space="preserve"/>
      </w:r>
    </w:p>
    <w:p>
      <w:pPr>
        <w:spacing w:after="60" w:before="160"/>
      </w:pPr>
      <w:r>
        <w:rPr>
          <w:rFonts w:ascii="Arial" w:cs="Arial" w:eastAsia="Arial" w:hAnsi="Arial"/>
          <w:b/>
          <w:bCs/>
          <w:color w:val="0D2137"/>
          <w:sz w:val="22"/>
          <w:szCs w:val="22"/>
        </w:rPr>
        <w:t xml:space="preserve">[RELATED COMPANION PAPERS]</w:t>
      </w:r>
    </w:p>
    <w:p>
      <w:pPr>
        <w:spacing w:after="120"/>
        <w:jc w:val="both"/>
      </w:pPr>
      <w:r>
        <w:rPr>
          <w:rFonts w:ascii="Arial" w:cs="Arial" w:eastAsia="Arial" w:hAnsi="Arial"/>
          <w:sz w:val="20"/>
          <w:szCs w:val="20"/>
        </w:rPr>
        <w:t xml:space="preserve">The following companion financial-statecraft papers are referenced at points in this assessment and address the non-kinetic enforcement architecture that supports the Posture 2 recommendation. Detailed statutory authorities, target logic, and enforcement sequencing are contained in those papers and are not reproduced here.</w:t>
      </w:r>
    </w:p>
    <w:p>
      <w:pPr>
        <w:pStyle w:val="ListParagraph"/>
        <w:numPr>
          <w:ilvl w:val="0"/>
          <w:numId w:val="2"/>
        </w:numPr>
        <w:spacing w:after="80"/>
      </w:pPr>
      <w:r>
        <w:rPr>
          <w:rFonts w:ascii="Arial" w:cs="Arial" w:eastAsia="Arial" w:hAnsi="Arial"/>
          <w:sz w:val="20"/>
          <w:szCs w:val="20"/>
        </w:rPr>
        <w:t xml:space="preserve">WP-2026-MAXPRESS-01 — Maximum-pressure implementation: secondary-sanctions readiness, EO 13846, CISADA § 104, shadow-fleet insurance pressure, and calibrated escalation guardrails.</w:t>
      </w:r>
    </w:p>
    <w:p>
      <w:pPr>
        <w:pStyle w:val="ListParagraph"/>
        <w:numPr>
          <w:ilvl w:val="0"/>
          <w:numId w:val="2"/>
        </w:numPr>
        <w:spacing w:after="80"/>
      </w:pPr>
      <w:r>
        <w:rPr>
          <w:rFonts w:ascii="Arial" w:cs="Arial" w:eastAsia="Arial" w:hAnsi="Arial"/>
          <w:sz w:val="20"/>
          <w:szCs w:val="20"/>
        </w:rPr>
        <w:t xml:space="preserve">WP-2026-UNIFIED-01 — Integrated financial isolation: Section 311, § 5318(k) correspondent severance, § 981(k) forfeiture, § 5323 whistleblower incentives, registry enforcement, and interagency coordination.</w:t>
      </w:r>
    </w:p>
    <w:p>
      <w:pPr>
        <w:pStyle w:val="ListParagraph"/>
        <w:numPr>
          <w:ilvl w:val="0"/>
          <w:numId w:val="2"/>
        </w:numPr>
        <w:spacing w:after="80"/>
      </w:pPr>
      <w:r>
        <w:rPr>
          <w:rFonts w:ascii="Arial" w:cs="Arial" w:eastAsia="Arial" w:hAnsi="Arial"/>
          <w:sz w:val="20"/>
          <w:szCs w:val="20"/>
        </w:rPr>
        <w:t xml:space="preserve">WP-2026-CONTAIN-01 — Long-term non-kinetic containment under multipolar shielding: coalition endurance, transaction-cost inflation, structured attrition, 24–60 month horizon. Applicable to Sections 3.2 and 3.3.</w:t>
      </w:r>
    </w:p>
    <w:p>
      <w:pPr>
        <w:pStyle w:val="ListParagraph"/>
        <w:numPr>
          <w:ilvl w:val="0"/>
          <w:numId w:val="2"/>
        </w:numPr>
        <w:spacing w:after="80"/>
      </w:pPr>
      <w:r>
        <w:rPr>
          <w:rFonts w:ascii="Arial" w:cs="Arial" w:eastAsia="Arial" w:hAnsi="Arial"/>
          <w:sz w:val="20"/>
          <w:szCs w:val="20"/>
        </w:rPr>
        <w:t xml:space="preserve">WP-2026-INFRA-01 — OSINT-gated enforcement predicates: AIS and shipping data linkage, parallel BIS and OFAC sequencing, § 314(a) information sharing, Section 311 administrative-record preparation.</w:t>
      </w:r>
    </w:p>
    <w:p>
      <w:pPr>
        <w:spacing w:after="80"/>
      </w:pPr>
      <w:r>
        <w:t xml:space="preserve"/>
      </w:r>
    </w:p>
    <w:p>
      <w:pPr>
        <w:spacing w:before="240"/>
        <w:jc w:val="center"/>
      </w:pPr>
      <w:r>
        <w:rPr>
          <w:rFonts w:ascii="Arial" w:cs="Arial" w:eastAsia="Arial" w:hAnsi="Arial"/>
          <w:b/>
          <w:bCs/>
          <w:color w:val="B8860B"/>
          <w:sz w:val="20"/>
          <w:szCs w:val="20"/>
        </w:rPr>
        <w:t xml:space="preserve">— END OF DOCUMENT —</w:t>
      </w:r>
    </w:p>
    <w:p>
      <w:pPr>
        <w:jc w:val="center"/>
      </w:pPr>
      <w:r>
        <w:rPr>
          <w:rFonts w:ascii="Arial" w:cs="Arial" w:eastAsia="Arial" w:hAnsi="Arial"/>
          <w:b/>
          <w:bCs/>
          <w:color w:val="8B0000"/>
          <w:sz w:val="16"/>
          <w:szCs w:val="16"/>
        </w:rPr>
        <w:t xml:space="preserve">UNCLASSIFIED // OPEN SOURCE ACADEMIC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before="120"/>
    </w:pPr>
    <w:r>
      <w:rPr>
        <w:rFonts w:ascii="Arial" w:cs="Arial" w:eastAsia="Arial" w:hAnsi="Arial"/>
        <w:color w:val="0D2137"/>
        <w:sz w:val="16"/>
        <w:szCs w:val="16"/>
      </w:rPr>
      <w:t xml:space="preserve">UNCLASSIFIED — OPEN SOURCE | Page </w:t>
    </w:r>
    <w:r>
      <w:rPr>
        <w:rFonts w:ascii="Arial" w:cs="Arial" w:eastAsia="Arial" w:hAnsi="Arial"/>
        <w:color w:val="0D213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tabs>
        <w:tab w:val="right" w:pos="9026"/>
      </w:tabs>
      <w:spacing w:after="120"/>
    </w:pPr>
    <w:r>
      <w:rPr>
        <w:rFonts w:ascii="Arial" w:cs="Arial" w:eastAsia="Arial" w:hAnsi="Arial"/>
        <w:b/>
        <w:bCs/>
        <w:color w:val="8B0000"/>
        <w:sz w:val="16"/>
        <w:szCs w:val="16"/>
      </w:rPr>
      <w:t xml:space="preserve">UNCLASSIFIED // OPEN SOURCE ACADEMIC ANALYSIS</w:t>
    </w:r>
    <w:r>
      <w:rPr>
        <w:rFonts w:ascii="Arial" w:cs="Arial" w:eastAsia="Arial" w:hAnsi="Arial"/>
        <w:color w:val="0D2137"/>
        <w:sz w:val="16"/>
        <w:szCs w:val="16"/>
      </w:rPr>
      <w:t xml:space="preserve">		STRAIT OF HORMUZ REGIONAL POSTURE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2026-03-10T12:31:07.506Z</dcterms:created>
  <dcterms:modified xsi:type="dcterms:W3CDTF">2026-03-10T12:31:07.507Z</dcterms:modified>
</cp:coreProperties>
</file>

<file path=docProps/custom.xml><?xml version="1.0" encoding="utf-8"?>
<Properties xmlns="http://schemas.openxmlformats.org/officeDocument/2006/custom-properties" xmlns:vt="http://schemas.openxmlformats.org/officeDocument/2006/docPropsVTypes"/>
</file>