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8B0000"/>
          <w:sz w:val="18"/>
          <w:szCs w:val="18"/>
        </w:rPr>
        <w:t xml:space="preserve">UNCLASSIFIED // OPEN SOURCE ANALYSIS</w:t>
      </w:r>
    </w:p>
    <w:p>
      <w:pPr>
        <w:spacing w:after="160"/>
      </w:pPr>
      <w:r>
        <w:t xml:space="preserve"/>
      </w:r>
    </w:p>
    <w:p>
      <w:pPr>
        <w:spacing w:after="60"/>
        <w:jc w:val="center"/>
      </w:pPr>
      <w:r>
        <w:rPr>
          <w:rFonts w:ascii="Arial" w:cs="Arial" w:eastAsia="Arial" w:hAnsi="Arial"/>
          <w:b/>
          <w:bCs/>
          <w:color w:val="0D2137"/>
          <w:sz w:val="48"/>
          <w:szCs w:val="48"/>
        </w:rPr>
        <w:t xml:space="preserve">IRAN'S POST-STRIKE NUCLEAR STATUS</w:t>
      </w:r>
    </w:p>
    <w:p>
      <w:pPr>
        <w:spacing w:after="40"/>
        <w:jc w:val="center"/>
      </w:pPr>
      <w:r>
        <w:rPr>
          <w:rFonts w:ascii="Arial" w:cs="Arial" w:eastAsia="Arial" w:hAnsi="Arial"/>
          <w:b/>
          <w:bCs/>
          <w:color w:val="B8860B"/>
          <w:sz w:val="28"/>
          <w:szCs w:val="28"/>
        </w:rPr>
        <w:t xml:space="preserve">An Open-Source Assessment of Stockpile Integrity,</w:t>
      </w:r>
    </w:p>
    <w:p>
      <w:pPr>
        <w:spacing w:after="100"/>
        <w:jc w:val="center"/>
      </w:pPr>
      <w:r>
        <w:rPr>
          <w:rFonts w:ascii="Arial" w:cs="Arial" w:eastAsia="Arial" w:hAnsi="Arial"/>
          <w:b/>
          <w:bCs/>
          <w:color w:val="B8860B"/>
          <w:sz w:val="28"/>
          <w:szCs w:val="28"/>
        </w:rPr>
        <w:t xml:space="preserve">Pickaxe Mountain, and Covert Reconstitution Risk</w:t>
      </w:r>
    </w:p>
    <w:p>
      <w:pPr>
        <w:pBdr>
          <w:top w:val="thick" w:color="B8860B" w:sz="8"/>
          <w:bottom w:val="thick" w:color="B8860B" w:sz="8"/>
        </w:pBdr>
        <w:spacing w:after="80" w:before="80"/>
        <w:jc w:val="center"/>
      </w:pPr>
      <w:r>
        <w:rPr>
          <w:rFonts w:ascii="Arial" w:cs="Arial" w:eastAsia="Arial" w:hAnsi="Arial"/>
          <w:i/>
          <w:iCs/>
          <w:color w:val="000000"/>
          <w:sz w:val="20"/>
          <w:szCs w:val="20"/>
        </w:rPr>
        <w:t xml:space="preserve">Open-Source Nuclear Assessment  ·  March 2026  ·  Post-Strike Status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400"/>
        <w:gridCol w:w="7960"/>
      </w:tblGrid>
      <w:tr>
        <w:tc>
          <w:tcPr>
            <w:tcW w:type="dxa" w:w="14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SCOPE NOTE</w:t>
            </w:r>
          </w:p>
        </w:tc>
        <w:tc>
          <w:tcPr>
            <w:tcW w:type="dxa" w:w="7960"/>
            <w:tcBorders>
              <w:top w:val="single" w:color="999999" w:sz="1"/>
              <w:left w:val="single" w:color="999999" w:sz="1"/>
              <w:bottom w:val="single" w:color="999999" w:sz="1"/>
              <w:right w:val="single" w:color="999999" w:sz="1"/>
            </w:tcBorders>
            <w:shd w:fill="D6E4F0" w:val="clear"/>
            <w:tcMar>
              <w:top w:type="dxa" w:w="80"/>
              <w:left w:type="dxa" w:w="140"/>
              <w:bottom w:type="dxa" w:w="80"/>
              <w:right w:type="dxa" w:w="100"/>
            </w:tcMar>
          </w:tcPr>
          <w:p>
            <w:r>
              <w:rPr>
                <w:rFonts w:ascii="Arial" w:cs="Arial" w:eastAsia="Arial" w:hAnsi="Arial"/>
                <w:i/>
                <w:iCs/>
                <w:sz w:val="19"/>
                <w:szCs w:val="19"/>
              </w:rPr>
              <w:t xml:space="preserve">This is a narrow, nuclear-centered open-source analytic assessment. It is not a comprehensive WMD survey. Biological indicators are addressed in Annex B; site reference tables are in Annex A. The central estimative questions are: (1) What is the current integrity and location of Iran's 60% enriched uranium stockpile? (2) What is the operational status of Pickaxe Mountain? (3) Does available open-source evidence support an assessment of active covert reconstitution? This assessment is not a comprehensive history of Iran's nuclear program. It is a bounded analytic exercise focused on what open-source evidence can and cannot support about stockpile integrity, hardened infrastructure, and reconstitution risk after the June 2025 strikes. This product contains no classified information.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400"/>
        <w:gridCol w:w="7960"/>
      </w:tblGrid>
      <w:tr>
        <w:tc>
          <w:tcPr>
            <w:tcW w:type="dxa" w:w="1400"/>
            <w:tcBorders>
              <w:top w:val="single" w:color="999999" w:sz="1"/>
              <w:left w:val="single" w:color="999999" w:sz="1"/>
              <w:bottom w:val="single" w:color="999999" w:sz="1"/>
              <w:right w:val="single" w:color="999999" w:sz="1"/>
            </w:tcBorders>
            <w:shd w:fill="5C00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ACCESS LIMITATION</w:t>
            </w:r>
          </w:p>
        </w:tc>
        <w:tc>
          <w:tcPr>
            <w:tcW w:type="dxa" w:w="7960"/>
            <w:tcBorders>
              <w:top w:val="single" w:color="999999" w:sz="1"/>
              <w:left w:val="single" w:color="999999" w:sz="1"/>
              <w:bottom w:val="single" w:color="999999" w:sz="1"/>
              <w:right w:val="single" w:color="999999" w:sz="1"/>
            </w:tcBorders>
            <w:shd w:fill="FFE8E8" w:val="clear"/>
            <w:tcMar>
              <w:top w:type="dxa" w:w="80"/>
              <w:left w:type="dxa" w:w="140"/>
              <w:bottom w:type="dxa" w:w="80"/>
              <w:right w:type="dxa" w:w="100"/>
            </w:tcMar>
          </w:tcPr>
          <w:p>
            <w:r>
              <w:rPr>
                <w:rFonts w:ascii="Arial" w:cs="Arial" w:eastAsia="Arial" w:hAnsi="Arial"/>
                <w:i/>
                <w:iCs/>
                <w:sz w:val="19"/>
                <w:szCs w:val="19"/>
              </w:rPr>
              <w:t xml:space="preserve">IAEA inspectors have not had access to Iranian nuclear sites since June 2025. This is the principal constraint on any external assessment of Iran's post-strike nuclear status. Judgments that would require physical access to verify are marked accordingly throughout.</w:t>
            </w:r>
          </w:p>
        </w:tc>
      </w:tr>
    </w:tbl>
    <w:p>
      <w:pPr>
        <w:spacing w:after="160"/>
      </w:pPr>
      <w:r>
        <w:t xml:space="preserve"/>
      </w:r>
    </w:p>
    <w:p>
      <w:pPr>
        <w:jc w:val="center"/>
      </w:pPr>
      <w:r>
        <w:rPr>
          <w:rFonts w:ascii="Arial" w:cs="Arial" w:eastAsia="Arial" w:hAnsi="Arial"/>
          <w:color w:val="0D2137"/>
          <w:sz w:val="20"/>
          <w:szCs w:val="20"/>
        </w:rPr>
        <w:t xml:space="preserve">Assessment Date: March 2026</w:t>
      </w:r>
    </w:p>
    <w:p>
      <w:pPr>
        <w:jc w:val="center"/>
      </w:pPr>
      <w:r>
        <w:rPr>
          <w:rFonts w:ascii="Arial" w:cs="Arial" w:eastAsia="Arial" w:hAnsi="Arial"/>
          <w:i/>
          <w:iCs/>
          <w:color w:val="555555"/>
          <w:sz w:val="18"/>
          <w:szCs w:val="18"/>
        </w:rPr>
        <w:t xml:space="preserve">Principal Sources: IAEA, ODNI, DIA, CRS, ISIS, CSIS, Arms Control Association, NTI</w:t>
      </w:r>
    </w:p>
    <w:p>
      <w:pPr>
        <w:spacing w:after="160"/>
      </w:pPr>
      <w:r>
        <w:t xml:space="preserve"/>
      </w:r>
    </w:p>
    <w:p>
      <w:r>
        <w:br w:type="page"/>
      </w:r>
    </w:p>
    <w:p>
      <w:pPr>
        <w:shd w:fill="0D2137" w:val="clear"/>
        <w:spacing w:after="260" w:before="260"/>
        <w:jc w:val="center"/>
      </w:pPr>
      <w:r>
        <w:rPr>
          <w:rFonts w:ascii="Arial" w:cs="Arial" w:eastAsia="Arial" w:hAnsi="Arial"/>
          <w:b/>
          <w:bCs/>
          <w:color w:val="FFFFFF"/>
          <w:sz w:val="20"/>
          <w:szCs w:val="20"/>
        </w:rPr>
        <w:t xml:space="preserve">  KEY JUDGMENTS  </w:t>
      </w:r>
    </w:p>
    <w:p>
      <w:pPr>
        <w:spacing w:after="80"/>
      </w:pPr>
      <w:r>
        <w:t xml:space="preserve"/>
      </w:r>
    </w:p>
    <w:p>
      <w:pPr>
        <w:pStyle w:val="Heading1"/>
        <w:pBdr>
          <w:bottom w:val="thick" w:color="B8860B" w:sz="8" w:space="4"/>
        </w:pBdr>
        <w:spacing w:after="100" w:before="320"/>
      </w:pPr>
      <w:r>
        <w:rPr>
          <w:rFonts w:ascii="Arial" w:cs="Arial" w:eastAsia="Arial" w:hAnsi="Arial"/>
          <w:b/>
          <w:bCs/>
          <w:color w:val="0D2137"/>
          <w:sz w:val="30"/>
          <w:szCs w:val="30"/>
        </w:rPr>
        <w:t xml:space="preserve">KEY JUDGMENTS</w:t>
      </w:r>
    </w:p>
    <w:p>
      <w:pPr>
        <w:spacing w:after="110"/>
        <w:jc w:val="both"/>
      </w:pPr>
      <w:r>
        <w:rPr>
          <w:rFonts w:ascii="Arial" w:cs="Arial" w:eastAsia="Arial" w:hAnsi="Arial"/>
          <w:color w:val="000000"/>
          <w:sz w:val="20"/>
          <w:szCs w:val="20"/>
        </w:rPr>
        <w:t xml:space="preserve">The following five judgments represent the principal analytic conclusions of this assessment. Each carries an explicit confidence level, evidentiary basis, and limiting factor. They are not ranked by importance; all five bear on the central intelligence problem.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999999" w:sz="1"/>
              <w:left w:val="single" w:color="999999" w:sz="1"/>
              <w:bottom w:val="single" w:color="999999" w:sz="1"/>
              <w:right w:val="single" w:color="999999"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Key Judgment 1  </w:t>
            </w:r>
            <w:r>
              <w:rPr>
                <w:rFonts w:ascii="Arial" w:cs="Arial" w:eastAsia="Arial" w:hAnsi="Arial"/>
                <w:b/>
                <w:bCs/>
                <w:color w:val="FFD700"/>
                <w:sz w:val="18"/>
                <w:szCs w:val="18"/>
              </w:rPr>
              <w:t xml:space="preserve">[ MODERATE CONFIDENCE ]</w:t>
            </w:r>
          </w:p>
        </w:tc>
      </w:tr>
      <w:tr>
        <w:tc>
          <w:tcPr>
            <w:tcW w:type="dxa" w:w="9360"/>
            <w:tcBorders>
              <w:top w:val="single" w:color="999999" w:sz="1"/>
              <w:left w:val="single" w:color="999999" w:sz="1"/>
              <w:bottom w:val="single" w:color="999999" w:sz="1"/>
              <w:right w:val="single" w:color="999999" w:sz="1"/>
            </w:tcBorders>
            <w:shd w:fill="D6E4F0" w:val="clear"/>
            <w:tcMar>
              <w:top w:type="dxa" w:w="80"/>
              <w:left w:type="dxa" w:w="160"/>
              <w:bottom w:type="dxa" w:w="80"/>
              <w:right w:type="dxa" w:w="160"/>
            </w:tcMar>
          </w:tcPr>
          <w:p>
            <w:pPr>
              <w:jc w:val="both"/>
            </w:pPr>
            <w:r>
              <w:rPr>
                <w:rFonts w:ascii="Arial" w:cs="Arial" w:eastAsia="Arial" w:hAnsi="Arial"/>
                <w:color w:val="000000"/>
                <w:sz w:val="20"/>
                <w:szCs w:val="20"/>
              </w:rPr>
              <w:t xml:space="preserve">Iran's declared enrichment infrastructure was significantly degraded by the June 2025 strikes. Available open-source reporting does not support the assessment that Iran's fissile material base was eliminated or that reconstitution capacity was fully neutralized.</w:t>
            </w:r>
          </w:p>
        </w:tc>
      </w:tr>
      <w:tr>
        <w:tc>
          <w:tcPr>
            <w:tcW w:type="dxa" w:w="9360"/>
            <w:tcBorders>
              <w:top w:val="single" w:color="999999" w:sz="1"/>
              <w:left w:val="single" w:color="999999" w:sz="1"/>
              <w:bottom w:val="single" w:color="999999" w:sz="1"/>
              <w:right w:val="single" w:color="999999" w:sz="1"/>
            </w:tcBorders>
            <w:shd w:fill="FFFFFF" w:val="clear"/>
            <w:tcMar>
              <w:top w:type="dxa" w:w="60"/>
              <w:left w:type="dxa" w:w="160"/>
              <w:bottom w:type="dxa" w:w="60"/>
              <w:right w:type="dxa" w:w="160"/>
            </w:tcMar>
          </w:tcPr>
          <w:p>
            <w:r>
              <w:rPr>
                <w:rFonts w:ascii="Arial" w:cs="Arial" w:eastAsia="Arial" w:hAnsi="Arial"/>
                <w:b/>
                <w:bCs/>
                <w:color w:val="0D2137"/>
                <w:sz w:val="19"/>
                <w:szCs w:val="19"/>
              </w:rPr>
              <w:t xml:space="preserve">Basis: </w:t>
            </w:r>
            <w:r>
              <w:rPr>
                <w:rFonts w:ascii="Arial" w:cs="Arial" w:eastAsia="Arial" w:hAnsi="Arial"/>
                <w:i/>
                <w:iCs/>
                <w:color w:val="000000"/>
                <w:sz w:val="19"/>
                <w:szCs w:val="19"/>
              </w:rPr>
              <w:t xml:space="preserve">IAEA pre-access reporting on equipment destruction at Fordow and Natanz (Tier 1); ISIS/CSIS satellite imagery analysis (Tier 2); IAEA DG Grossi post-strike public statement.</w:t>
            </w:r>
          </w:p>
          <w:p>
            <w:r>
              <w:rPr>
                <w:rFonts w:ascii="Arial" w:cs="Arial" w:eastAsia="Arial" w:hAnsi="Arial"/>
                <w:b/>
                <w:bCs/>
                <w:color w:val="5C0000"/>
                <w:sz w:val="19"/>
                <w:szCs w:val="19"/>
              </w:rPr>
              <w:t xml:space="preserve">Limiting factor: </w:t>
            </w:r>
            <w:r>
              <w:rPr>
                <w:rFonts w:ascii="Arial" w:cs="Arial" w:eastAsia="Arial" w:hAnsi="Arial"/>
                <w:i/>
                <w:iCs/>
                <w:color w:val="000000"/>
                <w:sz w:val="19"/>
                <w:szCs w:val="19"/>
              </w:rPr>
              <w:t xml:space="preserve">IAEA has lacked site access since June 2025. Damage assessments rest on remote sensing and pre-access reporting. Interior status of surviving infrastructure cannot be verified.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999999" w:sz="1"/>
              <w:left w:val="single" w:color="999999" w:sz="1"/>
              <w:bottom w:val="single" w:color="999999" w:sz="1"/>
              <w:right w:val="single" w:color="999999"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Key Judgment 2  </w:t>
            </w:r>
            <w:r>
              <w:rPr>
                <w:rFonts w:ascii="Arial" w:cs="Arial" w:eastAsia="Arial" w:hAnsi="Arial"/>
                <w:b/>
                <w:bCs/>
                <w:color w:val="FFD700"/>
                <w:sz w:val="18"/>
                <w:szCs w:val="18"/>
              </w:rPr>
              <w:t xml:space="preserve">[ MODERATE CONFIDENCE ]</w:t>
            </w:r>
          </w:p>
        </w:tc>
      </w:tr>
      <w:tr>
        <w:tc>
          <w:tcPr>
            <w:tcW w:type="dxa" w:w="9360"/>
            <w:tcBorders>
              <w:top w:val="single" w:color="999999" w:sz="1"/>
              <w:left w:val="single" w:color="999999" w:sz="1"/>
              <w:bottom w:val="single" w:color="999999" w:sz="1"/>
              <w:right w:val="single" w:color="999999" w:sz="1"/>
            </w:tcBorders>
            <w:shd w:fill="D6E4F0" w:val="clear"/>
            <w:tcMar>
              <w:top w:type="dxa" w:w="80"/>
              <w:left w:type="dxa" w:w="160"/>
              <w:bottom w:type="dxa" w:w="80"/>
              <w:right w:type="dxa" w:w="160"/>
            </w:tcMar>
          </w:tcPr>
          <w:p>
            <w:pPr>
              <w:jc w:val="both"/>
            </w:pPr>
            <w:r>
              <w:rPr>
                <w:rFonts w:ascii="Arial" w:cs="Arial" w:eastAsia="Arial" w:hAnsi="Arial"/>
                <w:color w:val="000000"/>
                <w:sz w:val="20"/>
                <w:szCs w:val="20"/>
              </w:rPr>
              <w:t xml:space="preserve">The physical location and integrity of approximately 400+ kilograms of uranium enriched to 60% U-235 remain the central unresolved question for this assessment. The material was not confirmed destroyed by the strikes. Its current location is assessed as unknown to external monitoring bodies.</w:t>
            </w:r>
          </w:p>
        </w:tc>
      </w:tr>
      <w:tr>
        <w:tc>
          <w:tcPr>
            <w:tcW w:type="dxa" w:w="9360"/>
            <w:tcBorders>
              <w:top w:val="single" w:color="999999" w:sz="1"/>
              <w:left w:val="single" w:color="999999" w:sz="1"/>
              <w:bottom w:val="single" w:color="999999" w:sz="1"/>
              <w:right w:val="single" w:color="999999" w:sz="1"/>
            </w:tcBorders>
            <w:shd w:fill="FFFFFF" w:val="clear"/>
            <w:tcMar>
              <w:top w:type="dxa" w:w="60"/>
              <w:left w:type="dxa" w:w="160"/>
              <w:bottom w:type="dxa" w:w="60"/>
              <w:right w:type="dxa" w:w="160"/>
            </w:tcMar>
          </w:tcPr>
          <w:p>
            <w:r>
              <w:rPr>
                <w:rFonts w:ascii="Arial" w:cs="Arial" w:eastAsia="Arial" w:hAnsi="Arial"/>
                <w:b/>
                <w:bCs/>
                <w:color w:val="0D2137"/>
                <w:sz w:val="19"/>
                <w:szCs w:val="19"/>
              </w:rPr>
              <w:t xml:space="preserve">Basis: </w:t>
            </w:r>
            <w:r>
              <w:rPr>
                <w:rFonts w:ascii="Arial" w:cs="Arial" w:eastAsia="Arial" w:hAnsi="Arial"/>
                <w:i/>
                <w:iCs/>
                <w:color w:val="000000"/>
                <w:sz w:val="19"/>
                <w:szCs w:val="19"/>
              </w:rPr>
              <w:t xml:space="preserve">IAEA November 2025 assessment that material had not departed known sites (prior to access loss); DIA May 2025 public assessment on breakout timelines conditional on stockpile accessibility (Tier 1).</w:t>
            </w:r>
          </w:p>
          <w:p>
            <w:r>
              <w:rPr>
                <w:rFonts w:ascii="Arial" w:cs="Arial" w:eastAsia="Arial" w:hAnsi="Arial"/>
                <w:b/>
                <w:bCs/>
                <w:color w:val="5C0000"/>
                <w:sz w:val="19"/>
                <w:szCs w:val="19"/>
              </w:rPr>
              <w:t xml:space="preserve">Limiting factor: </w:t>
            </w:r>
            <w:r>
              <w:rPr>
                <w:rFonts w:ascii="Arial" w:cs="Arial" w:eastAsia="Arial" w:hAnsi="Arial"/>
                <w:i/>
                <w:iCs/>
                <w:color w:val="000000"/>
                <w:sz w:val="19"/>
                <w:szCs w:val="19"/>
              </w:rPr>
              <w:t xml:space="preserve">IAEA access denial since June 2025 means no verification body has confirmed the material's current location, integrity, or processing status. All location assessments in this paper are inferential.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999999" w:sz="1"/>
              <w:left w:val="single" w:color="999999" w:sz="1"/>
              <w:bottom w:val="single" w:color="999999" w:sz="1"/>
              <w:right w:val="single" w:color="999999"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Key Judgment 3  </w:t>
            </w:r>
            <w:r>
              <w:rPr>
                <w:rFonts w:ascii="Arial" w:cs="Arial" w:eastAsia="Arial" w:hAnsi="Arial"/>
                <w:b/>
                <w:bCs/>
                <w:color w:val="FFD700"/>
                <w:sz w:val="18"/>
                <w:szCs w:val="18"/>
              </w:rPr>
              <w:t xml:space="preserve">[ MODERATE CONFIDENCE ]</w:t>
            </w:r>
          </w:p>
        </w:tc>
      </w:tr>
      <w:tr>
        <w:tc>
          <w:tcPr>
            <w:tcW w:type="dxa" w:w="9360"/>
            <w:tcBorders>
              <w:top w:val="single" w:color="999999" w:sz="1"/>
              <w:left w:val="single" w:color="999999" w:sz="1"/>
              <w:bottom w:val="single" w:color="999999" w:sz="1"/>
              <w:right w:val="single" w:color="999999" w:sz="1"/>
            </w:tcBorders>
            <w:shd w:fill="D6E4F0" w:val="clear"/>
            <w:tcMar>
              <w:top w:type="dxa" w:w="80"/>
              <w:left w:type="dxa" w:w="160"/>
              <w:bottom w:type="dxa" w:w="80"/>
              <w:right w:type="dxa" w:w="160"/>
            </w:tcMar>
          </w:tcPr>
          <w:p>
            <w:pPr>
              <w:jc w:val="both"/>
            </w:pPr>
            <w:r>
              <w:rPr>
                <w:rFonts w:ascii="Arial" w:cs="Arial" w:eastAsia="Arial" w:hAnsi="Arial"/>
                <w:color w:val="000000"/>
                <w:sz w:val="20"/>
                <w:szCs w:val="20"/>
              </w:rPr>
              <w:t xml:space="preserve">Pickaxe Mountain is assessed as an analytically significant unresolved site based on post-strike construction acceleration, assessed depth, and proximity to Natanz. Its interior configuration and operational role are unknown and cannot be determined from available open-source methods.</w:t>
            </w:r>
          </w:p>
        </w:tc>
      </w:tr>
      <w:tr>
        <w:tc>
          <w:tcPr>
            <w:tcW w:type="dxa" w:w="9360"/>
            <w:tcBorders>
              <w:top w:val="single" w:color="999999" w:sz="1"/>
              <w:left w:val="single" w:color="999999" w:sz="1"/>
              <w:bottom w:val="single" w:color="999999" w:sz="1"/>
              <w:right w:val="single" w:color="999999" w:sz="1"/>
            </w:tcBorders>
            <w:shd w:fill="FFFFFF" w:val="clear"/>
            <w:tcMar>
              <w:top w:type="dxa" w:w="60"/>
              <w:left w:type="dxa" w:w="160"/>
              <w:bottom w:type="dxa" w:w="60"/>
              <w:right w:type="dxa" w:w="160"/>
            </w:tcMar>
          </w:tcPr>
          <w:p>
            <w:r>
              <w:rPr>
                <w:rFonts w:ascii="Arial" w:cs="Arial" w:eastAsia="Arial" w:hAnsi="Arial"/>
                <w:b/>
                <w:bCs/>
                <w:color w:val="0D2137"/>
                <w:sz w:val="19"/>
                <w:szCs w:val="19"/>
              </w:rPr>
              <w:t xml:space="preserve">Basis: </w:t>
            </w:r>
            <w:r>
              <w:rPr>
                <w:rFonts w:ascii="Arial" w:cs="Arial" w:eastAsia="Arial" w:hAnsi="Arial"/>
                <w:i/>
                <w:iCs/>
                <w:color w:val="000000"/>
                <w:sz w:val="19"/>
                <w:szCs w:val="19"/>
              </w:rPr>
              <w:t xml:space="preserve">Commercial satellite imagery via CSIS and ISIS reporting (Tier 2); IAEA documentation that access has never been granted; PBS Frontline open-source depth analysis.</w:t>
            </w:r>
          </w:p>
          <w:p>
            <w:r>
              <w:rPr>
                <w:rFonts w:ascii="Arial" w:cs="Arial" w:eastAsia="Arial" w:hAnsi="Arial"/>
                <w:b/>
                <w:bCs/>
                <w:color w:val="5C0000"/>
                <w:sz w:val="19"/>
                <w:szCs w:val="19"/>
              </w:rPr>
              <w:t xml:space="preserve">Limiting factor: </w:t>
            </w:r>
            <w:r>
              <w:rPr>
                <w:rFonts w:ascii="Arial" w:cs="Arial" w:eastAsia="Arial" w:hAnsi="Arial"/>
                <w:i/>
                <w:iCs/>
                <w:color w:val="000000"/>
                <w:sz w:val="19"/>
                <w:szCs w:val="19"/>
              </w:rPr>
              <w:t xml:space="preserve">No open-source collection method can determine interior configuration. The range of plausible roles cannot be adjudicated without access.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999999" w:sz="1"/>
              <w:left w:val="single" w:color="999999" w:sz="1"/>
              <w:bottom w:val="single" w:color="999999" w:sz="1"/>
              <w:right w:val="single" w:color="999999"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Key Judgment 4  </w:t>
            </w:r>
            <w:r>
              <w:rPr>
                <w:rFonts w:ascii="Arial" w:cs="Arial" w:eastAsia="Arial" w:hAnsi="Arial"/>
                <w:b/>
                <w:bCs/>
                <w:color w:val="FFD700"/>
                <w:sz w:val="18"/>
                <w:szCs w:val="18"/>
              </w:rPr>
              <w:t xml:space="preserve">[ MODERATE CONFIDENCE ]</w:t>
            </w:r>
          </w:p>
        </w:tc>
      </w:tr>
      <w:tr>
        <w:tc>
          <w:tcPr>
            <w:tcW w:type="dxa" w:w="9360"/>
            <w:tcBorders>
              <w:top w:val="single" w:color="999999" w:sz="1"/>
              <w:left w:val="single" w:color="999999" w:sz="1"/>
              <w:bottom w:val="single" w:color="999999" w:sz="1"/>
              <w:right w:val="single" w:color="999999" w:sz="1"/>
            </w:tcBorders>
            <w:shd w:fill="D6E4F0" w:val="clear"/>
            <w:tcMar>
              <w:top w:type="dxa" w:w="80"/>
              <w:left w:type="dxa" w:w="160"/>
              <w:bottom w:type="dxa" w:w="80"/>
              <w:right w:type="dxa" w:w="160"/>
            </w:tcMar>
          </w:tcPr>
          <w:p>
            <w:pPr>
              <w:jc w:val="both"/>
            </w:pPr>
            <w:r>
              <w:rPr>
                <w:rFonts w:ascii="Arial" w:cs="Arial" w:eastAsia="Arial" w:hAnsi="Arial"/>
                <w:color w:val="000000"/>
                <w:sz w:val="20"/>
                <w:szCs w:val="20"/>
              </w:rPr>
              <w:t xml:space="preserve">Post-strike dispersal and reconstitution activity is assessed as plausible based on available indicators. The open-source record does not support a categorical assessment of active weapons-grade enrichment or confirmed breakout preparation. Reconstitution is consistent with observed indicators; it is not confirmed by them.</w:t>
            </w:r>
          </w:p>
        </w:tc>
      </w:tr>
      <w:tr>
        <w:tc>
          <w:tcPr>
            <w:tcW w:type="dxa" w:w="9360"/>
            <w:tcBorders>
              <w:top w:val="single" w:color="999999" w:sz="1"/>
              <w:left w:val="single" w:color="999999" w:sz="1"/>
              <w:bottom w:val="single" w:color="999999" w:sz="1"/>
              <w:right w:val="single" w:color="999999" w:sz="1"/>
            </w:tcBorders>
            <w:shd w:fill="FFFFFF" w:val="clear"/>
            <w:tcMar>
              <w:top w:type="dxa" w:w="60"/>
              <w:left w:type="dxa" w:w="160"/>
              <w:bottom w:type="dxa" w:w="60"/>
              <w:right w:type="dxa" w:w="160"/>
            </w:tcMar>
          </w:tcPr>
          <w:p>
            <w:r>
              <w:rPr>
                <w:rFonts w:ascii="Arial" w:cs="Arial" w:eastAsia="Arial" w:hAnsi="Arial"/>
                <w:b/>
                <w:bCs/>
                <w:color w:val="0D2137"/>
                <w:sz w:val="19"/>
                <w:szCs w:val="19"/>
              </w:rPr>
              <w:t xml:space="preserve">Basis: </w:t>
            </w:r>
            <w:r>
              <w:rPr>
                <w:rFonts w:ascii="Arial" w:cs="Arial" w:eastAsia="Arial" w:hAnsi="Arial"/>
                <w:i/>
                <w:iCs/>
                <w:color w:val="000000"/>
                <w:sz w:val="19"/>
                <w:szCs w:val="19"/>
              </w:rPr>
              <w:t xml:space="preserve">Commercial satellite imagery of Pickaxe Mountain, Taleghan-2, and repair activity at Natanz and Isfahan (ISIS, CSIS — Tier 2); Iran's documented concealment history (IAEA reporting).</w:t>
            </w:r>
          </w:p>
          <w:p>
            <w:r>
              <w:rPr>
                <w:rFonts w:ascii="Arial" w:cs="Arial" w:eastAsia="Arial" w:hAnsi="Arial"/>
                <w:b/>
                <w:bCs/>
                <w:color w:val="5C0000"/>
                <w:sz w:val="19"/>
                <w:szCs w:val="19"/>
              </w:rPr>
              <w:t xml:space="preserve">Limiting factor: </w:t>
            </w:r>
            <w:r>
              <w:rPr>
                <w:rFonts w:ascii="Arial" w:cs="Arial" w:eastAsia="Arial" w:hAnsi="Arial"/>
                <w:i/>
                <w:iCs/>
                <w:color w:val="000000"/>
                <w:sz w:val="19"/>
                <w:szCs w:val="19"/>
              </w:rPr>
              <w:t xml:space="preserve">Observable indicators are consistent with multiple explanations. Distinguishing survivability hardening from active covert enrichment requires access that is not available.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999999" w:sz="1"/>
              <w:left w:val="single" w:color="999999" w:sz="1"/>
              <w:bottom w:val="single" w:color="999999" w:sz="1"/>
              <w:right w:val="single" w:color="999999" w:sz="1"/>
            </w:tcBorders>
            <w:shd w:fill="0D2137" w:val="clear"/>
            <w:tcMar>
              <w:top w:type="dxa" w:w="80"/>
              <w:left w:type="dxa" w:w="160"/>
              <w:bottom w:type="dxa" w:w="80"/>
              <w:right w:type="dxa" w:w="160"/>
            </w:tcMar>
          </w:tcPr>
          <w:p>
            <w:r>
              <w:rPr>
                <w:rFonts w:ascii="Arial" w:cs="Arial" w:eastAsia="Arial" w:hAnsi="Arial"/>
                <w:b/>
                <w:bCs/>
                <w:color w:val="FFFFFF"/>
                <w:sz w:val="20"/>
                <w:szCs w:val="20"/>
              </w:rPr>
              <w:t xml:space="preserve">Key Judgment 5  </w:t>
            </w:r>
            <w:r>
              <w:rPr>
                <w:rFonts w:ascii="Arial" w:cs="Arial" w:eastAsia="Arial" w:hAnsi="Arial"/>
                <w:b/>
                <w:bCs/>
                <w:color w:val="FFD700"/>
                <w:sz w:val="18"/>
                <w:szCs w:val="18"/>
              </w:rPr>
              <w:t xml:space="preserve">[ LOW CONFIDENCE ]</w:t>
            </w:r>
          </w:p>
        </w:tc>
      </w:tr>
      <w:tr>
        <w:tc>
          <w:tcPr>
            <w:tcW w:type="dxa" w:w="9360"/>
            <w:tcBorders>
              <w:top w:val="single" w:color="999999" w:sz="1"/>
              <w:left w:val="single" w:color="999999" w:sz="1"/>
              <w:bottom w:val="single" w:color="999999" w:sz="1"/>
              <w:right w:val="single" w:color="999999" w:sz="1"/>
            </w:tcBorders>
            <w:shd w:fill="D6E4F0" w:val="clear"/>
            <w:tcMar>
              <w:top w:type="dxa" w:w="80"/>
              <w:left w:type="dxa" w:w="160"/>
              <w:bottom w:type="dxa" w:w="80"/>
              <w:right w:type="dxa" w:w="160"/>
            </w:tcMar>
          </w:tcPr>
          <w:p>
            <w:pPr>
              <w:jc w:val="both"/>
            </w:pPr>
            <w:r>
              <w:rPr>
                <w:rFonts w:ascii="Arial" w:cs="Arial" w:eastAsia="Arial" w:hAnsi="Arial"/>
                <w:color w:val="000000"/>
                <w:sz w:val="20"/>
                <w:szCs w:val="20"/>
              </w:rPr>
              <w:t xml:space="preserve">Open-source biological weapons reporting for this period is too uneven to support high-confidence judgments. The 2025 ODNI assessment upgrade to 'very likely' is a significant Tier 1 indicator. January 2026 warhead-integration reporting rests on anonymous sources and is unconfirmed. Biological indicators are addressed in Annex B.</w:t>
            </w:r>
          </w:p>
        </w:tc>
      </w:tr>
      <w:tr>
        <w:tc>
          <w:tcPr>
            <w:tcW w:type="dxa" w:w="9360"/>
            <w:tcBorders>
              <w:top w:val="single" w:color="999999" w:sz="1"/>
              <w:left w:val="single" w:color="999999" w:sz="1"/>
              <w:bottom w:val="single" w:color="999999" w:sz="1"/>
              <w:right w:val="single" w:color="999999" w:sz="1"/>
            </w:tcBorders>
            <w:shd w:fill="FFFFFF" w:val="clear"/>
            <w:tcMar>
              <w:top w:type="dxa" w:w="60"/>
              <w:left w:type="dxa" w:w="160"/>
              <w:bottom w:type="dxa" w:w="60"/>
              <w:right w:type="dxa" w:w="160"/>
            </w:tcMar>
          </w:tcPr>
          <w:p>
            <w:r>
              <w:rPr>
                <w:rFonts w:ascii="Arial" w:cs="Arial" w:eastAsia="Arial" w:hAnsi="Arial"/>
                <w:b/>
                <w:bCs/>
                <w:color w:val="0D2137"/>
                <w:sz w:val="19"/>
                <w:szCs w:val="19"/>
              </w:rPr>
              <w:t xml:space="preserve">Basis: </w:t>
            </w:r>
            <w:r>
              <w:rPr>
                <w:rFonts w:ascii="Arial" w:cs="Arial" w:eastAsia="Arial" w:hAnsi="Arial"/>
                <w:i/>
                <w:iCs/>
                <w:color w:val="000000"/>
                <w:sz w:val="19"/>
                <w:szCs w:val="19"/>
              </w:rPr>
              <w:t xml:space="preserve">ODNI Annual Threat Assessment 2025 (Tier 1); Iran International January 2026 reporting (Tier 3 — anonymous sources, single outlet).</w:t>
            </w:r>
          </w:p>
          <w:p>
            <w:r>
              <w:rPr>
                <w:rFonts w:ascii="Arial" w:cs="Arial" w:eastAsia="Arial" w:hAnsi="Arial"/>
                <w:b/>
                <w:bCs/>
                <w:color w:val="5C0000"/>
                <w:sz w:val="19"/>
                <w:szCs w:val="19"/>
              </w:rPr>
              <w:t xml:space="preserve">Limiting factor: </w:t>
            </w:r>
            <w:r>
              <w:rPr>
                <w:rFonts w:ascii="Arial" w:cs="Arial" w:eastAsia="Arial" w:hAnsi="Arial"/>
                <w:i/>
                <w:iCs/>
                <w:color w:val="000000"/>
                <w:sz w:val="19"/>
                <w:szCs w:val="19"/>
              </w:rPr>
              <w:t xml:space="preserve">The unclassified ODNI assessment does not provide operational detail. Open-source biological analysis cannot reach conclusions comparable to the nuclear evidence base.</w:t>
            </w:r>
          </w:p>
        </w:tc>
      </w:tr>
    </w:tbl>
    <w:p>
      <w:pPr>
        <w:spacing w:after="160"/>
      </w:pPr>
      <w:r>
        <w:t xml:space="preserve"/>
      </w:r>
    </w:p>
    <w:p>
      <w:r>
        <w:br w:type="page"/>
      </w:r>
    </w:p>
    <w:p>
      <w:pPr>
        <w:shd w:fill="0D2137" w:val="clear"/>
        <w:spacing w:after="260" w:before="260"/>
        <w:jc w:val="center"/>
      </w:pPr>
      <w:r>
        <w:rPr>
          <w:rFonts w:ascii="Arial" w:cs="Arial" w:eastAsia="Arial" w:hAnsi="Arial"/>
          <w:b/>
          <w:bCs/>
          <w:color w:val="FFFFFF"/>
          <w:sz w:val="20"/>
          <w:szCs w:val="20"/>
        </w:rPr>
        <w:t xml:space="preserve">  ANALYTIC BASIS AND CONFIDENCE  </w:t>
      </w:r>
    </w:p>
    <w:p>
      <w:pPr>
        <w:spacing w:after="80"/>
      </w:pPr>
      <w:r>
        <w:t xml:space="preserve"/>
      </w:r>
    </w:p>
    <w:p>
      <w:pPr>
        <w:pStyle w:val="Heading1"/>
        <w:pBdr>
          <w:bottom w:val="thick" w:color="B8860B" w:sz="8" w:space="4"/>
        </w:pBdr>
        <w:spacing w:after="100" w:before="320"/>
      </w:pPr>
      <w:r>
        <w:rPr>
          <w:rFonts w:ascii="Arial" w:cs="Arial" w:eastAsia="Arial" w:hAnsi="Arial"/>
          <w:b/>
          <w:bCs/>
          <w:color w:val="0D2137"/>
          <w:sz w:val="30"/>
          <w:szCs w:val="30"/>
        </w:rPr>
        <w:t xml:space="preserve">ANALYTIC BASIS AND CONFIDENCE</w:t>
      </w:r>
    </w:p>
    <w:p>
      <w:pPr>
        <w:spacing w:after="110"/>
        <w:jc w:val="both"/>
      </w:pPr>
      <w:r>
        <w:rPr>
          <w:rFonts w:ascii="Arial" w:cs="Arial" w:eastAsia="Arial" w:hAnsi="Arial"/>
          <w:color w:val="000000"/>
          <w:sz w:val="20"/>
          <w:szCs w:val="20"/>
        </w:rPr>
        <w:t xml:space="preserve">This assessment distinguishes observed reporting from analytic inference, alternative explanation, and unresolved unknowns. Where direct verification is unavailable, it privileges conservative interpretation over worst-case extrapolation. Tier 3 reporting is treated as a monitoring lead unless corroborated by higher-confidence sources. This product does not attempt independent source validation beyond cross-comparison, source-tiering, and consistency review.</w:t>
      </w:r>
    </w:p>
    <w:p>
      <w:pPr>
        <w:spacing w:after="80"/>
      </w:pPr>
      <w:r>
        <w:t xml:space="preserve"/>
      </w:r>
    </w:p>
    <w:p>
      <w:pPr>
        <w:pStyle w:val="Heading2"/>
        <w:spacing w:after="80" w:before="220"/>
      </w:pPr>
      <w:r>
        <w:rPr>
          <w:rFonts w:ascii="Arial" w:cs="Arial" w:eastAsia="Arial" w:hAnsi="Arial"/>
          <w:b/>
          <w:bCs/>
          <w:color w:val="1F4E79"/>
          <w:sz w:val="24"/>
          <w:szCs w:val="24"/>
        </w:rPr>
        <w:t xml:space="preserve">Source Tiers</w:t>
      </w:r>
    </w:p>
    <w:p>
      <w:pPr>
        <w:spacing w:after="110"/>
        <w:jc w:val="both"/>
      </w:pPr>
      <w:r>
        <w:rPr>
          <w:rFonts w:ascii="Arial" w:cs="Arial" w:eastAsia="Arial" w:hAnsi="Arial"/>
          <w:color w:val="000000"/>
          <w:sz w:val="20"/>
          <w:szCs w:val="20"/>
        </w:rPr>
        <w:t xml:space="preserve">Three source tiers govern this assessment. Each major claim is sourced to the appropriate tier. No Tier 3 claim is presented with Tier 1 certainty.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TIER</w:t>
            </w:r>
          </w:p>
        </w:tc>
        <w:tc>
          <w:tcPr>
            <w:tcW w:type="dxa" w:w="22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SOURCES</w:t>
            </w:r>
          </w:p>
        </w:tc>
        <w:tc>
          <w:tcPr>
            <w:tcW w:type="dxa" w:w="576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EXAMPLES</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Tier 1</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Government assessments, IAEA reports, CRS, peer-reviewed literature</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IAEA Safeguards Reports, ODNI ATA, DIA public assessments, Congressional Research Service</w:t>
            </w:r>
          </w:p>
        </w:tc>
      </w:tr>
      <w:tr>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Tier 2</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Established nonproliferation organizations</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ISIS (Institute for Science and International Security), CSIS, Arms Control Association, NTI, Iran Watch</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Tier 3</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Media, single-source, anonymous-source, opposition-linked</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Iran International anonymous-source reporting; NCRI allegations; single-outlet media</w:t>
            </w:r>
          </w:p>
        </w:tc>
      </w:tr>
    </w:tbl>
    <w:p>
      <w:pPr>
        <w:spacing w:after="80"/>
      </w:pPr>
      <w:r>
        <w:t xml:space="preserve"/>
      </w:r>
    </w:p>
    <w:p>
      <w:pPr>
        <w:pStyle w:val="Heading2"/>
        <w:spacing w:after="80" w:before="220"/>
      </w:pPr>
      <w:r>
        <w:rPr>
          <w:rFonts w:ascii="Arial" w:cs="Arial" w:eastAsia="Arial" w:hAnsi="Arial"/>
          <w:b/>
          <w:bCs/>
          <w:color w:val="1F4E79"/>
          <w:sz w:val="24"/>
          <w:szCs w:val="24"/>
        </w:rPr>
        <w:t xml:space="preserve">Analytic Categories</w:t>
      </w:r>
    </w:p>
    <w:p>
      <w:pPr>
        <w:spacing w:after="110"/>
        <w:jc w:val="both"/>
      </w:pPr>
      <w:r>
        <w:rPr>
          <w:rFonts w:ascii="Arial" w:cs="Arial" w:eastAsia="Arial" w:hAnsi="Arial"/>
          <w:color w:val="000000"/>
          <w:sz w:val="20"/>
          <w:szCs w:val="20"/>
        </w:rPr>
        <w:t xml:space="preserve">Every substantive claim in this assessment is categorized as one of the following. These categories appear throughout the document.</w:t>
      </w:r>
    </w:p>
    <w:p>
      <w:pPr>
        <w:pStyle w:val="ListParagraph"/>
        <w:numPr>
          <w:ilvl w:val="0"/>
          <w:numId w:val="2"/>
        </w:numPr>
        <w:spacing w:after="80"/>
      </w:pPr>
      <w:r>
        <w:rPr>
          <w:rFonts w:ascii="Arial" w:cs="Arial" w:eastAsia="Arial" w:hAnsi="Arial"/>
          <w:sz w:val="20"/>
          <w:szCs w:val="20"/>
        </w:rPr>
        <w:t xml:space="preserve">OBSERVED: A reported fact from a named source, either a direct statement by a government body, IAEA documentation, or attributed media reporting with specific sourcing.</w:t>
      </w:r>
    </w:p>
    <w:p>
      <w:pPr>
        <w:pStyle w:val="ListParagraph"/>
        <w:numPr>
          <w:ilvl w:val="0"/>
          <w:numId w:val="2"/>
        </w:numPr>
        <w:spacing w:after="80"/>
      </w:pPr>
      <w:r>
        <w:rPr>
          <w:rFonts w:ascii="Arial" w:cs="Arial" w:eastAsia="Arial" w:hAnsi="Arial"/>
          <w:sz w:val="20"/>
          <w:szCs w:val="20"/>
        </w:rPr>
        <w:t xml:space="preserve">ASSESSMENT: An analytic inference from available evidence. Assessments may be wrong. They are stated as assessments, not facts.</w:t>
      </w:r>
    </w:p>
    <w:p>
      <w:pPr>
        <w:pStyle w:val="ListParagraph"/>
        <w:numPr>
          <w:ilvl w:val="0"/>
          <w:numId w:val="2"/>
        </w:numPr>
        <w:spacing w:after="80"/>
      </w:pPr>
      <w:r>
        <w:rPr>
          <w:rFonts w:ascii="Arial" w:cs="Arial" w:eastAsia="Arial" w:hAnsi="Arial"/>
          <w:sz w:val="20"/>
          <w:szCs w:val="20"/>
        </w:rPr>
        <w:t xml:space="preserve">ALTERNATIVE EXPLANATION: A competing interpretation of the same evidence that cannot be excluded by available open-source analysis.</w:t>
      </w:r>
    </w:p>
    <w:p>
      <w:pPr>
        <w:pStyle w:val="ListParagraph"/>
        <w:numPr>
          <w:ilvl w:val="0"/>
          <w:numId w:val="2"/>
        </w:numPr>
        <w:spacing w:after="80"/>
      </w:pPr>
      <w:r>
        <w:rPr>
          <w:rFonts w:ascii="Arial" w:cs="Arial" w:eastAsia="Arial" w:hAnsi="Arial"/>
          <w:sz w:val="20"/>
          <w:szCs w:val="20"/>
        </w:rPr>
        <w:t xml:space="preserve">KEY UNKNOWN: A question that is analytically consequential but cannot be answered from available open-source evidence. Often requires physical access.</w:t>
      </w:r>
    </w:p>
    <w:p>
      <w:pPr>
        <w:pStyle w:val="ListParagraph"/>
        <w:numPr>
          <w:ilvl w:val="0"/>
          <w:numId w:val="2"/>
        </w:numPr>
        <w:spacing w:after="80"/>
      </w:pPr>
      <w:r>
        <w:rPr>
          <w:rFonts w:ascii="Arial" w:cs="Arial" w:eastAsia="Arial" w:hAnsi="Arial"/>
          <w:sz w:val="20"/>
          <w:szCs w:val="20"/>
        </w:rPr>
        <w:t xml:space="preserve">IMPLICATION: The strategic consequence of a given finding, assessment, or unknown.</w:t>
      </w:r>
    </w:p>
    <w:p>
      <w:pPr>
        <w:spacing w:after="80"/>
      </w:pPr>
      <w:r>
        <w:t xml:space="preserve"/>
      </w:r>
    </w:p>
    <w:p>
      <w:pPr>
        <w:pStyle w:val="Heading2"/>
        <w:spacing w:after="80" w:before="220"/>
      </w:pPr>
      <w:r>
        <w:rPr>
          <w:rFonts w:ascii="Arial" w:cs="Arial" w:eastAsia="Arial" w:hAnsi="Arial"/>
          <w:b/>
          <w:bCs/>
          <w:color w:val="1F4E79"/>
          <w:sz w:val="24"/>
          <w:szCs w:val="24"/>
        </w:rPr>
        <w:t xml:space="preserve">Structural Analytic Limitations</w:t>
      </w:r>
    </w:p>
    <w:p>
      <w:pPr>
        <w:pStyle w:val="ListParagraph"/>
        <w:numPr>
          <w:ilvl w:val="0"/>
          <w:numId w:val="2"/>
        </w:numPr>
        <w:spacing w:after="80"/>
      </w:pPr>
      <w:r>
        <w:rPr>
          <w:rFonts w:ascii="Arial" w:cs="Arial" w:eastAsia="Arial" w:hAnsi="Arial"/>
          <w:sz w:val="20"/>
          <w:szCs w:val="20"/>
        </w:rPr>
        <w:t xml:space="preserve">IAEA access denial since June 2025 is the primary analytic constraint. No international verification body has confirmed any aspect of Iran's nuclear program status since that date.</w:t>
      </w:r>
    </w:p>
    <w:p>
      <w:pPr>
        <w:pStyle w:val="ListParagraph"/>
        <w:numPr>
          <w:ilvl w:val="0"/>
          <w:numId w:val="2"/>
        </w:numPr>
        <w:spacing w:after="80"/>
      </w:pPr>
      <w:r>
        <w:rPr>
          <w:rFonts w:ascii="Arial" w:cs="Arial" w:eastAsia="Arial" w:hAnsi="Arial"/>
          <w:sz w:val="20"/>
          <w:szCs w:val="20"/>
        </w:rPr>
        <w:t xml:space="preserve">Remote sensing — satellite imagery, atmospheric sampling, seismic monitoring — provides observable indicators but cannot resolve interior configuration, operational status, or material location.</w:t>
      </w:r>
    </w:p>
    <w:p>
      <w:pPr>
        <w:pStyle w:val="ListParagraph"/>
        <w:numPr>
          <w:ilvl w:val="0"/>
          <w:numId w:val="2"/>
        </w:numPr>
        <w:spacing w:after="80"/>
      </w:pPr>
      <w:r>
        <w:rPr>
          <w:rFonts w:ascii="Arial" w:cs="Arial" w:eastAsia="Arial" w:hAnsi="Arial"/>
          <w:sz w:val="20"/>
          <w:szCs w:val="20"/>
        </w:rPr>
        <w:t xml:space="preserve">Human intelligence is not available in the open-source domain. HUMINT-derived conclusions in classified assessments cannot be replicated or verified here.</w:t>
      </w:r>
    </w:p>
    <w:p>
      <w:pPr>
        <w:pStyle w:val="ListParagraph"/>
        <w:numPr>
          <w:ilvl w:val="0"/>
          <w:numId w:val="2"/>
        </w:numPr>
        <w:spacing w:after="80"/>
      </w:pPr>
      <w:r>
        <w:rPr>
          <w:rFonts w:ascii="Arial" w:cs="Arial" w:eastAsia="Arial" w:hAnsi="Arial"/>
          <w:sz w:val="20"/>
          <w:szCs w:val="20"/>
        </w:rPr>
        <w:t xml:space="preserve">Denial and deception: Iran has a demonstrated history of concealing nuclear activities from inspectors (Natanz 2002, Fordow 2009). Observable indicators in denied-access environments cannot be assumed to represent the full program status.</w:t>
      </w:r>
    </w:p>
    <w:p>
      <w:pPr>
        <w:spacing w:after="160"/>
      </w:pPr>
      <w:r>
        <w:t xml:space="preserve"/>
      </w:r>
    </w:p>
    <w:p>
      <w:r>
        <w:br w:type="page"/>
      </w:r>
    </w:p>
    <w:p>
      <w:pPr>
        <w:shd w:fill="0D2137" w:val="clear"/>
        <w:spacing w:after="260" w:before="260"/>
        <w:jc w:val="center"/>
      </w:pPr>
      <w:r>
        <w:rPr>
          <w:rFonts w:ascii="Arial" w:cs="Arial" w:eastAsia="Arial" w:hAnsi="Arial"/>
          <w:b/>
          <w:bCs/>
          <w:color w:val="FFFFFF"/>
          <w:sz w:val="20"/>
          <w:szCs w:val="20"/>
        </w:rPr>
        <w:t xml:space="preserve">  SECTION 1: OBSERVED POST-STRIKE FACTS  </w:t>
      </w:r>
    </w:p>
    <w:p>
      <w:pPr>
        <w:spacing w:after="80"/>
      </w:pPr>
      <w:r>
        <w:t xml:space="preserve"/>
      </w:r>
    </w:p>
    <w:p>
      <w:pPr>
        <w:pStyle w:val="Heading1"/>
        <w:pBdr>
          <w:bottom w:val="thick" w:color="B8860B" w:sz="8" w:space="4"/>
        </w:pBdr>
        <w:spacing w:after="100" w:before="320"/>
      </w:pPr>
      <w:r>
        <w:rPr>
          <w:rFonts w:ascii="Arial" w:cs="Arial" w:eastAsia="Arial" w:hAnsi="Arial"/>
          <w:b/>
          <w:bCs/>
          <w:color w:val="0D2137"/>
          <w:sz w:val="30"/>
          <w:szCs w:val="30"/>
        </w:rPr>
        <w:t xml:space="preserve">Section 1: Observed Post-Strike Facts</w:t>
      </w:r>
    </w:p>
    <w:p>
      <w:pPr>
        <w:spacing w:after="110"/>
        <w:jc w:val="both"/>
      </w:pPr>
      <w:r>
        <w:rPr>
          <w:rFonts w:ascii="Arial" w:cs="Arial" w:eastAsia="Arial" w:hAnsi="Arial"/>
          <w:color w:val="000000"/>
          <w:sz w:val="20"/>
          <w:szCs w:val="20"/>
        </w:rPr>
        <w:t xml:space="preserve">This section confines itself to what can be stated as observed or reported from named Tier 1 and Tier 2 sources. Inferences and assessments appear in Section 2 onward.</w:t>
      </w:r>
    </w:p>
    <w:p>
      <w:pPr>
        <w:spacing w:after="80"/>
      </w:pPr>
      <w:r>
        <w:t xml:space="preserve"/>
      </w:r>
    </w:p>
    <w:p>
      <w:pPr>
        <w:pStyle w:val="Heading2"/>
        <w:spacing w:after="80" w:before="220"/>
      </w:pPr>
      <w:r>
        <w:rPr>
          <w:rFonts w:ascii="Arial" w:cs="Arial" w:eastAsia="Arial" w:hAnsi="Arial"/>
          <w:b/>
          <w:bCs/>
          <w:color w:val="1F4E79"/>
          <w:sz w:val="24"/>
          <w:szCs w:val="24"/>
        </w:rPr>
        <w:t xml:space="preserve">1.1 Pre-Strike Baseline</w:t>
      </w:r>
    </w:p>
    <w:p>
      <w:pPr>
        <w:spacing w:after="110"/>
        <w:jc w:val="both"/>
      </w:pPr>
      <w:r>
        <w:rPr>
          <w:rFonts w:ascii="Arial" w:cs="Arial" w:eastAsia="Arial" w:hAnsi="Arial"/>
          <w:color w:val="000000"/>
          <w:sz w:val="20"/>
          <w:szCs w:val="20"/>
        </w:rPr>
        <w:t xml:space="preserve">OBSERVED (Tier 1/2): Prior to the June 2025 strikes, Iran had achieved what nonproliferation analysts termed nuclear latency — possessing all technical prerequisites for rapid weapons production without having made, as far as the Intelligence Community could assess, the formal decision to build a weapon. The IAEA declared Iran in breach of its non-proliferation obligations on June 12, 2025, for the first time since 2005. Key pre-strike indicators:</w:t>
      </w:r>
    </w:p>
    <w:p>
      <w:pPr>
        <w:pStyle w:val="ListParagraph"/>
        <w:numPr>
          <w:ilvl w:val="0"/>
          <w:numId w:val="2"/>
        </w:numPr>
        <w:spacing w:after="80"/>
      </w:pPr>
      <w:r>
        <w:rPr>
          <w:rFonts w:ascii="Arial" w:cs="Arial" w:eastAsia="Arial" w:hAnsi="Arial"/>
          <w:sz w:val="20"/>
          <w:szCs w:val="20"/>
        </w:rPr>
        <w:t xml:space="preserve">Approximately 408–440 kg of uranium enriched to 60% U-235 — the largest disclosed stockpile of near-weapons-grade material outside declared nuclear weapon states (IAEA, Tier 1).</w:t>
      </w:r>
    </w:p>
    <w:p>
      <w:pPr>
        <w:pStyle w:val="ListParagraph"/>
        <w:numPr>
          <w:ilvl w:val="0"/>
          <w:numId w:val="2"/>
        </w:numPr>
        <w:spacing w:after="80"/>
      </w:pPr>
      <w:r>
        <w:rPr>
          <w:rFonts w:ascii="Arial" w:cs="Arial" w:eastAsia="Arial" w:hAnsi="Arial"/>
          <w:sz w:val="20"/>
          <w:szCs w:val="20"/>
        </w:rPr>
        <w:t xml:space="preserve">18,000+ centrifuges installed at Natanz; 10 cascades of advanced IR-6 centrifuges at Fordow (IAEA, Tier 1).</w:t>
      </w:r>
    </w:p>
    <w:p>
      <w:pPr>
        <w:pStyle w:val="ListParagraph"/>
        <w:numPr>
          <w:ilvl w:val="0"/>
          <w:numId w:val="2"/>
        </w:numPr>
        <w:spacing w:after="80"/>
      </w:pPr>
      <w:r>
        <w:rPr>
          <w:rFonts w:ascii="Arial" w:cs="Arial" w:eastAsia="Arial" w:hAnsi="Arial"/>
          <w:sz w:val="20"/>
          <w:szCs w:val="20"/>
        </w:rPr>
        <w:t xml:space="preserve">DIA assessed in May 2025 that Iran needed 'probably less than one week' to produce HEU for one weapon if the stockpile was accessible and a cascade was operational (Tier 1).</w:t>
      </w:r>
    </w:p>
    <w:p>
      <w:pPr>
        <w:pStyle w:val="ListParagraph"/>
        <w:numPr>
          <w:ilvl w:val="0"/>
          <w:numId w:val="2"/>
        </w:numPr>
        <w:spacing w:after="80"/>
      </w:pPr>
      <w:r>
        <w:rPr>
          <w:rFonts w:ascii="Arial" w:cs="Arial" w:eastAsia="Arial" w:hAnsi="Arial"/>
          <w:sz w:val="20"/>
          <w:szCs w:val="20"/>
        </w:rPr>
        <w:t xml:space="preserve">The Intelligence Community assessed through mid-2025 that no formal decision to build a nuclear weapon had been made (ODNI, Tier 1). This assessment's current status is unknown given the post-strike access denial.</w:t>
      </w:r>
    </w:p>
    <w:p>
      <w:pPr>
        <w:spacing w:after="80"/>
      </w:pPr>
      <w:r>
        <w:t xml:space="preserve"/>
      </w:r>
    </w:p>
    <w:p>
      <w:pPr>
        <w:pStyle w:val="Heading2"/>
        <w:spacing w:after="80" w:before="220"/>
      </w:pPr>
      <w:r>
        <w:rPr>
          <w:rFonts w:ascii="Arial" w:cs="Arial" w:eastAsia="Arial" w:hAnsi="Arial"/>
          <w:b/>
          <w:bCs/>
          <w:color w:val="1F4E79"/>
          <w:sz w:val="24"/>
          <w:szCs w:val="24"/>
        </w:rPr>
        <w:t xml:space="preserve">1.2 Strike Effects — Declared Infrastructure</w:t>
      </w:r>
    </w:p>
    <w:p>
      <w:pPr>
        <w:spacing w:after="110"/>
        <w:jc w:val="both"/>
      </w:pPr>
      <w:r>
        <w:rPr>
          <w:rFonts w:ascii="Arial" w:cs="Arial" w:eastAsia="Arial" w:hAnsi="Arial"/>
          <w:color w:val="000000"/>
          <w:sz w:val="20"/>
          <w:szCs w:val="20"/>
        </w:rPr>
        <w:t xml:space="preserve">OBSERVED (Tier 1/2): The U.S.-Israeli strikes designated Operation Midnight Hammer substantially degraded Iran's declared enrichment infrastructure. The following reflects pre-access-loss IAEA reporting and post-strike satellite analysis by ISIS and CSIS:</w:t>
      </w:r>
    </w:p>
    <w:p>
      <w:pPr>
        <w:pStyle w:val="ListParagraph"/>
        <w:numPr>
          <w:ilvl w:val="0"/>
          <w:numId w:val="2"/>
        </w:numPr>
        <w:spacing w:after="80"/>
      </w:pPr>
      <w:r>
        <w:rPr>
          <w:rFonts w:ascii="Arial" w:cs="Arial" w:eastAsia="Arial" w:hAnsi="Arial"/>
          <w:sz w:val="20"/>
          <w:szCs w:val="20"/>
        </w:rPr>
        <w:t xml:space="preserve">Natanz Fuel Enrichment Plant: Above-ground pilot fuel enrichment plant and primary power infrastructure destroyed. Underground halls: status prior to access loss was degraded; extent of remaining operational capacity unknown.</w:t>
      </w:r>
    </w:p>
    <w:p>
      <w:pPr>
        <w:pStyle w:val="ListParagraph"/>
        <w:numPr>
          <w:ilvl w:val="0"/>
          <w:numId w:val="2"/>
        </w:numPr>
        <w:spacing w:after="80"/>
      </w:pPr>
      <w:r>
        <w:rPr>
          <w:rFonts w:ascii="Arial" w:cs="Arial" w:eastAsia="Arial" w:hAnsi="Arial"/>
          <w:sz w:val="20"/>
          <w:szCs w:val="20"/>
        </w:rPr>
        <w:t xml:space="preserve">Fordow Fuel Enrichment Plant: Penetrated by 12 GBU-57 Massive Ordnance Penetrator (MOP) bombs. IAEA confirmed 'almost all sensitive equipment' destroyed in the enrichment halls it was able to assess before losing access (Tier 1).</w:t>
      </w:r>
    </w:p>
    <w:p>
      <w:pPr>
        <w:pStyle w:val="ListParagraph"/>
        <w:numPr>
          <w:ilvl w:val="0"/>
          <w:numId w:val="2"/>
        </w:numPr>
        <w:spacing w:after="80"/>
      </w:pPr>
      <w:r>
        <w:rPr>
          <w:rFonts w:ascii="Arial" w:cs="Arial" w:eastAsia="Arial" w:hAnsi="Arial"/>
          <w:sz w:val="20"/>
          <w:szCs w:val="20"/>
        </w:rPr>
        <w:t xml:space="preserve">Isfahan Uranium Conversion Facility: Conversion line heavily damaged. The IAEA noted the location of the Isfahan Fuel Plate Fabrication Plant (IFEP) was unknown to inspectors as of the last reporting period (Tier 1).</w:t>
      </w:r>
    </w:p>
    <w:p>
      <w:pPr>
        <w:pStyle w:val="ListParagraph"/>
        <w:numPr>
          <w:ilvl w:val="0"/>
          <w:numId w:val="2"/>
        </w:numPr>
        <w:spacing w:after="80"/>
      </w:pPr>
      <w:r>
        <w:rPr>
          <w:rFonts w:ascii="Arial" w:cs="Arial" w:eastAsia="Arial" w:hAnsi="Arial"/>
          <w:sz w:val="20"/>
          <w:szCs w:val="20"/>
        </w:rPr>
        <w:t xml:space="preserve">The strikes did not eliminate the fissile material stockpile. IAEA Director General Grossi stated publicly that if Iran enriched its existing stockpile to 90%, 'it would only take them a few weeks to complete the process' (Tier 1, post-strike statement).</w:t>
      </w:r>
    </w:p>
    <w:p>
      <w:pPr>
        <w:pStyle w:val="ListParagraph"/>
        <w:numPr>
          <w:ilvl w:val="0"/>
          <w:numId w:val="2"/>
        </w:numPr>
        <w:spacing w:after="80"/>
      </w:pPr>
      <w:r>
        <w:rPr>
          <w:rFonts w:ascii="Arial" w:cs="Arial" w:eastAsia="Arial" w:hAnsi="Arial"/>
          <w:sz w:val="20"/>
          <w:szCs w:val="20"/>
        </w:rPr>
        <w:t xml:space="preserve">Iran responded with approximately 530 ballistic missiles and 1,000+ drones against Israel, and 14 ballistic missiles against U.S. assets at Al Udeid Air Base, Qatar, before a ceasefire was brokered.</w:t>
      </w:r>
    </w:p>
    <w:p>
      <w:pPr>
        <w:spacing w:after="80"/>
      </w:pPr>
      <w:r>
        <w:t xml:space="preserve"/>
      </w:r>
    </w:p>
    <w:p>
      <w:pPr>
        <w:pStyle w:val="Heading2"/>
        <w:spacing w:after="80" w:before="220"/>
      </w:pPr>
      <w:r>
        <w:rPr>
          <w:rFonts w:ascii="Arial" w:cs="Arial" w:eastAsia="Arial" w:hAnsi="Arial"/>
          <w:b/>
          <w:bCs/>
          <w:color w:val="1F4E79"/>
          <w:sz w:val="24"/>
          <w:szCs w:val="24"/>
        </w:rPr>
        <w:t xml:space="preserve">1.3 Current Observable Indicators (March 2026)</w:t>
      </w:r>
    </w:p>
    <w:p>
      <w:pPr>
        <w:spacing w:after="110"/>
        <w:jc w:val="both"/>
      </w:pPr>
      <w:r>
        <w:rPr>
          <w:rFonts w:ascii="Arial" w:cs="Arial" w:eastAsia="Arial" w:hAnsi="Arial"/>
          <w:color w:val="000000"/>
          <w:sz w:val="20"/>
          <w:szCs w:val="20"/>
        </w:rPr>
        <w:t xml:space="preserve">OBSERVED (Tier 2 — commercial satellite imagery, ISIS/CSIS analysis): The following have been reported from open-source satellite imagery analysis since the June 2025 strikes. These are observations, not assessments of purpose.</w:t>
      </w:r>
    </w:p>
    <w:p>
      <w:pPr>
        <w:pStyle w:val="ListParagraph"/>
        <w:numPr>
          <w:ilvl w:val="0"/>
          <w:numId w:val="2"/>
        </w:numPr>
        <w:spacing w:after="80"/>
      </w:pPr>
      <w:r>
        <w:rPr>
          <w:rFonts w:ascii="Arial" w:cs="Arial" w:eastAsia="Arial" w:hAnsi="Arial"/>
          <w:sz w:val="20"/>
          <w:szCs w:val="20"/>
        </w:rPr>
        <w:t xml:space="preserve">Pickaxe Mountain: Continued and accelerated construction and hardening activity. Tunnel entrances extended and covered with concrete and gravel. Assessed depth reported as potentially exceeding Fordow (est. 260–330 feet, per open-source analysis). IAEA has never been granted access to this site.</w:t>
      </w:r>
    </w:p>
    <w:p>
      <w:pPr>
        <w:pStyle w:val="ListParagraph"/>
        <w:numPr>
          <w:ilvl w:val="0"/>
          <w:numId w:val="2"/>
        </w:numPr>
        <w:spacing w:after="80"/>
      </w:pPr>
      <w:r>
        <w:rPr>
          <w:rFonts w:ascii="Arial" w:cs="Arial" w:eastAsia="Arial" w:hAnsi="Arial"/>
          <w:sz w:val="20"/>
          <w:szCs w:val="20"/>
        </w:rPr>
        <w:t xml:space="preserve">Taleghan-2 (Parchin): Reconstruction activity reported. Site was struck in October 2024 and is assessed as being rebuilt and hardened. IAEA has had only one brief visit to Parchin; interior access was never granted to this specific facility.</w:t>
      </w:r>
    </w:p>
    <w:p>
      <w:pPr>
        <w:pStyle w:val="ListParagraph"/>
        <w:numPr>
          <w:ilvl w:val="0"/>
          <w:numId w:val="2"/>
        </w:numPr>
        <w:spacing w:after="80"/>
      </w:pPr>
      <w:r>
        <w:rPr>
          <w:rFonts w:ascii="Arial" w:cs="Arial" w:eastAsia="Arial" w:hAnsi="Arial"/>
          <w:sz w:val="20"/>
          <w:szCs w:val="20"/>
        </w:rPr>
        <w:t xml:space="preserve">Natanz and Isfahan: Repair and reconstruction activity reported at surface-level infrastructure. Underground status not assessable from available open-source methods.</w:t>
      </w:r>
    </w:p>
    <w:p>
      <w:pPr>
        <w:spacing w:after="160"/>
      </w:pPr>
      <w:r>
        <w:t xml:space="preserve"/>
      </w:r>
    </w:p>
    <w:p>
      <w:r>
        <w:br w:type="page"/>
      </w:r>
    </w:p>
    <w:p>
      <w:pPr>
        <w:shd w:fill="0D2137" w:val="clear"/>
        <w:spacing w:after="260" w:before="260"/>
        <w:jc w:val="center"/>
      </w:pPr>
      <w:r>
        <w:rPr>
          <w:rFonts w:ascii="Arial" w:cs="Arial" w:eastAsia="Arial" w:hAnsi="Arial"/>
          <w:b/>
          <w:bCs/>
          <w:color w:val="FFFFFF"/>
          <w:sz w:val="20"/>
          <w:szCs w:val="20"/>
        </w:rPr>
        <w:t xml:space="preserve">  SECTION 2: THE 60% STOCKPILE — CENTRAL INTELLIGENCE GAP  </w:t>
      </w:r>
    </w:p>
    <w:p>
      <w:pPr>
        <w:spacing w:after="80"/>
      </w:pPr>
      <w:r>
        <w:t xml:space="preserve"/>
      </w:r>
    </w:p>
    <w:p>
      <w:pPr>
        <w:pStyle w:val="Heading1"/>
        <w:pBdr>
          <w:bottom w:val="thick" w:color="B8860B" w:sz="8" w:space="4"/>
        </w:pBdr>
        <w:spacing w:after="100" w:before="320"/>
      </w:pPr>
      <w:r>
        <w:rPr>
          <w:rFonts w:ascii="Arial" w:cs="Arial" w:eastAsia="Arial" w:hAnsi="Arial"/>
          <w:b/>
          <w:bCs/>
          <w:color w:val="0D2137"/>
          <w:sz w:val="30"/>
          <w:szCs w:val="30"/>
        </w:rPr>
        <w:t xml:space="preserve">Section 2: The 60% Stockpile — Central Intelligence Gap</w:t>
      </w:r>
    </w:p>
    <w:p>
      <w:pPr>
        <w:spacing w:after="110"/>
        <w:jc w:val="both"/>
      </w:pPr>
      <w:r>
        <w:rPr>
          <w:rFonts w:ascii="Arial" w:cs="Arial" w:eastAsia="Arial" w:hAnsi="Arial"/>
          <w:color w:val="000000"/>
          <w:sz w:val="20"/>
          <w:szCs w:val="20"/>
        </w:rPr>
        <w:t xml:space="preserve">The location and integrity of Iran's 60% enriched uranium stockpile is the central unresolved question for this assessment. Every breakout timeline, deterrence calculation, and diplomatic leverage assessment is conditional on its resolution. The precise stockpile figure in the open-source record is approximately 408–440 kilograms; Key Judgment 2 uses a rounded figure at the judgment level; the precise range is carried here.</w:t>
      </w:r>
    </w:p>
    <w:p>
      <w:pPr>
        <w:spacing w:after="80"/>
      </w:pPr>
      <w:r>
        <w:t xml:space="preserve"/>
      </w:r>
    </w:p>
    <w:p>
      <w:pPr>
        <w:pStyle w:val="Heading2"/>
        <w:spacing w:after="80" w:before="220"/>
      </w:pPr>
      <w:r>
        <w:rPr>
          <w:rFonts w:ascii="Arial" w:cs="Arial" w:eastAsia="Arial" w:hAnsi="Arial"/>
          <w:b/>
          <w:bCs/>
          <w:color w:val="1F4E79"/>
          <w:sz w:val="24"/>
          <w:szCs w:val="24"/>
        </w:rPr>
        <w:t xml:space="preserve">2.1 What Is Established</w:t>
      </w:r>
    </w:p>
    <w:p>
      <w:pPr>
        <w:spacing w:after="110"/>
        <w:jc w:val="both"/>
      </w:pPr>
      <w:r>
        <w:rPr>
          <w:rFonts w:ascii="Arial" w:cs="Arial" w:eastAsia="Arial" w:hAnsi="Arial"/>
          <w:color w:val="000000"/>
          <w:sz w:val="20"/>
          <w:szCs w:val="20"/>
        </w:rPr>
        <w:t xml:space="preserve">OBSERVED (Tier 1): Prior to losing access, the IAEA confirmed Iran held approximately 408–440 kilograms of uranium enriched to 60% U-235, stored as uranium hexafluoride (UF6) in pressurized cylinders. This represented the largest disclosed stockpile of near-weapons-grade material held by any non-nuclear-weapon state.</w:t>
      </w:r>
    </w:p>
    <w:p>
      <w:pPr>
        <w:spacing w:after="110"/>
        <w:jc w:val="both"/>
      </w:pPr>
      <w:r>
        <w:rPr>
          <w:rFonts w:ascii="Arial" w:cs="Arial" w:eastAsia="Arial" w:hAnsi="Arial"/>
          <w:color w:val="000000"/>
          <w:sz w:val="20"/>
          <w:szCs w:val="20"/>
        </w:rPr>
        <w:t xml:space="preserve">OBSERVED (Tier 1): The IAEA's November 2025 assessment — its last with any site access — held that material had not been confirmed as having departed the Esfahan, Fordow, or Natanz site network as of that date. The IAEA acknowledged that material may have moved within sites and that its confidence was degraded by restricted access.</w:t>
      </w:r>
    </w:p>
    <w:p>
      <w:pPr>
        <w:spacing w:after="110"/>
        <w:jc w:val="both"/>
      </w:pPr>
      <w:r>
        <w:rPr>
          <w:rFonts w:ascii="Arial" w:cs="Arial" w:eastAsia="Arial" w:hAnsi="Arial"/>
          <w:color w:val="000000"/>
          <w:sz w:val="20"/>
          <w:szCs w:val="20"/>
        </w:rPr>
        <w:t xml:space="preserve">KEY UNKNOWN: No verification body has confirmed the stockpile's current location, physical integrity, or processing status since June 2025.</w:t>
      </w:r>
    </w:p>
    <w:p>
      <w:pPr>
        <w:spacing w:after="80"/>
      </w:pPr>
      <w:r>
        <w:t xml:space="preserve"/>
      </w:r>
    </w:p>
    <w:p>
      <w:pPr>
        <w:pStyle w:val="Heading2"/>
        <w:spacing w:after="80" w:before="220"/>
      </w:pPr>
      <w:r>
        <w:rPr>
          <w:rFonts w:ascii="Arial" w:cs="Arial" w:eastAsia="Arial" w:hAnsi="Arial"/>
          <w:b/>
          <w:bCs/>
          <w:color w:val="1F4E79"/>
          <w:sz w:val="24"/>
          <w:szCs w:val="24"/>
        </w:rPr>
        <w:t xml:space="preserve">2.2 What Cannot Be Verified</w:t>
      </w:r>
    </w:p>
    <w:p>
      <w:pPr>
        <w:pStyle w:val="ListParagraph"/>
        <w:numPr>
          <w:ilvl w:val="0"/>
          <w:numId w:val="2"/>
        </w:numPr>
        <w:spacing w:after="80"/>
      </w:pPr>
      <w:r>
        <w:rPr>
          <w:rFonts w:ascii="Arial" w:cs="Arial" w:eastAsia="Arial" w:hAnsi="Arial"/>
          <w:sz w:val="20"/>
          <w:szCs w:val="20"/>
        </w:rPr>
        <w:t xml:space="preserve">Physical location of UF6 cylinders.</w:t>
      </w:r>
    </w:p>
    <w:p>
      <w:pPr>
        <w:pStyle w:val="ListParagraph"/>
        <w:numPr>
          <w:ilvl w:val="0"/>
          <w:numId w:val="2"/>
        </w:numPr>
        <w:spacing w:after="80"/>
      </w:pPr>
      <w:r>
        <w:rPr>
          <w:rFonts w:ascii="Arial" w:cs="Arial" w:eastAsia="Arial" w:hAnsi="Arial"/>
          <w:sz w:val="20"/>
          <w:szCs w:val="20"/>
        </w:rPr>
        <w:t xml:space="preserve">Whether the material remains consolidated at one or a small number of sites.</w:t>
      </w:r>
    </w:p>
    <w:p>
      <w:pPr>
        <w:pStyle w:val="ListParagraph"/>
        <w:numPr>
          <w:ilvl w:val="0"/>
          <w:numId w:val="2"/>
        </w:numPr>
        <w:spacing w:after="80"/>
      </w:pPr>
      <w:r>
        <w:rPr>
          <w:rFonts w:ascii="Arial" w:cs="Arial" w:eastAsia="Arial" w:hAnsi="Arial"/>
          <w:sz w:val="20"/>
          <w:szCs w:val="20"/>
        </w:rPr>
        <w:t xml:space="preserve">Whether any portion has been further enriched beyond 60%.</w:t>
      </w:r>
    </w:p>
    <w:p>
      <w:pPr>
        <w:pStyle w:val="ListParagraph"/>
        <w:numPr>
          <w:ilvl w:val="0"/>
          <w:numId w:val="2"/>
        </w:numPr>
        <w:spacing w:after="80"/>
      </w:pPr>
      <w:r>
        <w:rPr>
          <w:rFonts w:ascii="Arial" w:cs="Arial" w:eastAsia="Arial" w:hAnsi="Arial"/>
          <w:sz w:val="20"/>
          <w:szCs w:val="20"/>
        </w:rPr>
        <w:t xml:space="preserve">Whether the material remains in hexafluoride gas form or has been converted to metal — a step required for weapons use but also detectable by environmental sampling if access were available.</w:t>
      </w:r>
    </w:p>
    <w:p>
      <w:pPr>
        <w:pStyle w:val="ListParagraph"/>
        <w:numPr>
          <w:ilvl w:val="0"/>
          <w:numId w:val="2"/>
        </w:numPr>
        <w:spacing w:after="80"/>
      </w:pPr>
      <w:r>
        <w:rPr>
          <w:rFonts w:ascii="Arial" w:cs="Arial" w:eastAsia="Arial" w:hAnsi="Arial"/>
          <w:sz w:val="20"/>
          <w:szCs w:val="20"/>
        </w:rPr>
        <w:t xml:space="preserve">Whether the material is in Iranian government custody versus any dispersed or distributed arrangement.</w:t>
      </w:r>
    </w:p>
    <w:p>
      <w:pPr>
        <w:spacing w:after="80"/>
      </w:pPr>
      <w:r>
        <w:t xml:space="preserve"/>
      </w:r>
    </w:p>
    <w:p>
      <w:pPr>
        <w:pStyle w:val="Heading2"/>
        <w:spacing w:after="80" w:before="220"/>
      </w:pPr>
      <w:r>
        <w:rPr>
          <w:rFonts w:ascii="Arial" w:cs="Arial" w:eastAsia="Arial" w:hAnsi="Arial"/>
          <w:b/>
          <w:bCs/>
          <w:color w:val="1F4E79"/>
          <w:sz w:val="24"/>
          <w:szCs w:val="24"/>
        </w:rPr>
        <w:t xml:space="preserve">2.3 Most Plausible Location Models</w:t>
      </w:r>
    </w:p>
    <w:p>
      <w:pPr>
        <w:spacing w:after="110"/>
        <w:jc w:val="both"/>
      </w:pPr>
      <w:r>
        <w:rPr>
          <w:rFonts w:ascii="Arial" w:cs="Arial" w:eastAsia="Arial" w:hAnsi="Arial"/>
          <w:color w:val="000000"/>
          <w:sz w:val="20"/>
          <w:szCs w:val="20"/>
        </w:rPr>
        <w:t xml:space="preserve">ASSESSMENT: Three location models are analytically plausible. Available evidence does not adjudicate decisively between them, and dispersal across multiple models is also consistent with observed indicators.</w:t>
      </w:r>
    </w:p>
    <w:p>
      <w:pPr>
        <w:spacing w:after="110"/>
        <w:jc w:val="both"/>
      </w:pPr>
      <w:r>
        <w:rPr>
          <w:rFonts w:ascii="Arial" w:cs="Arial" w:eastAsia="Arial" w:hAnsi="Arial"/>
          <w:b/>
          <w:bCs/>
          <w:color w:val="0D2137"/>
          <w:sz w:val="20"/>
          <w:szCs w:val="20"/>
        </w:rPr>
        <w:t xml:space="preserve">Model 1 — Remains within known declared-site network [MODERATE CONFIDENCE]: </w:t>
      </w:r>
      <w:r>
        <w:rPr>
          <w:rFonts w:ascii="Arial" w:cs="Arial" w:eastAsia="Arial" w:hAnsi="Arial"/>
          <w:color w:val="000000"/>
          <w:sz w:val="20"/>
          <w:szCs w:val="20"/>
        </w:rPr>
        <w:t xml:space="preserve">The IAEA's last assessment supports this as the baseline. UF6 cylinders require specialized handling; rapid movement carries contamination and detection risk. ALTERNATIVE EXPLANATION: The IAEA's assessment was constrained by restricted access. The declared-site network was the most observable location; that observability may have prompted dispersal prior to or during the strikes.</w:t>
      </w:r>
    </w:p>
    <w:p>
      <w:pPr>
        <w:spacing w:after="110"/>
        <w:jc w:val="both"/>
      </w:pPr>
      <w:r>
        <w:rPr>
          <w:rFonts w:ascii="Arial" w:cs="Arial" w:eastAsia="Arial" w:hAnsi="Arial"/>
          <w:b/>
          <w:bCs/>
          <w:color w:val="0D2137"/>
          <w:sz w:val="20"/>
          <w:szCs w:val="20"/>
        </w:rPr>
        <w:t xml:space="preserve">Model 2 — Relocated to hardened covert infrastructure [ASSESSED AS POSSIBLE]: </w:t>
      </w:r>
      <w:r>
        <w:rPr>
          <w:rFonts w:ascii="Arial" w:cs="Arial" w:eastAsia="Arial" w:hAnsi="Arial"/>
          <w:color w:val="000000"/>
          <w:sz w:val="20"/>
          <w:szCs w:val="20"/>
        </w:rPr>
        <w:t xml:space="preserve">Construction acceleration at Pickaxe Mountain post-strikes is consistent with active use of a survivable deep facility. Proximity to Natanz enables covert transfer via connecting underground infrastructure. ALTERNATIVE EXPLANATION: Construction activity may reflect centrifuge assembly hardening, as Iran claims, without current stockpile presence. KEY UNKNOWN: Interior configuration cannot be determined from open-source methods.</w:t>
      </w:r>
    </w:p>
    <w:p>
      <w:pPr>
        <w:spacing w:after="110"/>
        <w:jc w:val="both"/>
      </w:pPr>
      <w:r>
        <w:rPr>
          <w:rFonts w:ascii="Arial" w:cs="Arial" w:eastAsia="Arial" w:hAnsi="Arial"/>
          <w:b/>
          <w:bCs/>
          <w:color w:val="0D2137"/>
          <w:sz w:val="20"/>
          <w:szCs w:val="20"/>
        </w:rPr>
        <w:t xml:space="preserve">Model 3 — Dispersed across multiple undeclared sites [ASSESSED AS POSSIBLE]: </w:t>
      </w:r>
      <w:r>
        <w:rPr>
          <w:rFonts w:ascii="Arial" w:cs="Arial" w:eastAsia="Arial" w:hAnsi="Arial"/>
          <w:color w:val="000000"/>
          <w:sz w:val="20"/>
          <w:szCs w:val="20"/>
        </w:rPr>
        <w:t xml:space="preserve">Iran's concealment history — Natanz (2002), Fordow (2009), Lavizan-Shian (demolished before IAEA access, 2003–2004) — is consistent with a dispersal logic. No positive open-source evidence currently confirms dispersal of the post-strike 60% stockpile. ALTERNATIVE EXPLANATION: Dispersal creates management and security risks and is more difficult to execute covertly than consolidation.</w:t>
      </w:r>
    </w:p>
    <w:p>
      <w:pPr>
        <w:spacing w:after="80"/>
      </w:pPr>
      <w:r>
        <w:t xml:space="preserve"/>
      </w:r>
    </w:p>
    <w:p>
      <w:pPr>
        <w:pStyle w:val="Heading2"/>
        <w:spacing w:after="80" w:before="220"/>
      </w:pPr>
      <w:r>
        <w:rPr>
          <w:rFonts w:ascii="Arial" w:cs="Arial" w:eastAsia="Arial" w:hAnsi="Arial"/>
          <w:b/>
          <w:bCs/>
          <w:color w:val="1F4E79"/>
          <w:sz w:val="24"/>
          <w:szCs w:val="24"/>
        </w:rPr>
        <w:t xml:space="preserve">2.4 Strategic Implication</w:t>
      </w:r>
    </w:p>
    <w:p>
      <w:pPr>
        <w:spacing w:after="110"/>
        <w:jc w:val="both"/>
      </w:pPr>
      <w:r>
        <w:rPr>
          <w:rFonts w:ascii="Arial" w:cs="Arial" w:eastAsia="Arial" w:hAnsi="Arial"/>
          <w:color w:val="000000"/>
          <w:sz w:val="20"/>
          <w:szCs w:val="20"/>
        </w:rPr>
        <w:t xml:space="preserve">IMPLICATION: All breakout timeline estimates are conditional on two variables that cannot currently be resolved: whether the stockpile is accessible to a centrifuge cascade, and whether an operational cascade currently exists. Under worst-case conditions — stockpile accessible, covert cascade operational — available Tier 1 analysis (DIA, May 2025) indicates Iran could produce enough weapons-grade uranium for one device in approximately 5–10 days. Under better-case conditions — stockpile inaccessible or dispersed, no operational covert cascade — the timeline extends to weeks or months, and declared-site degradation from the strikes carries greater strategic weight. Both endpoints remain within the plausible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400"/>
        <w:gridCol w:w="7960"/>
      </w:tblGrid>
      <w:tr>
        <w:tc>
          <w:tcPr>
            <w:tcW w:type="dxa" w:w="1400"/>
            <w:tcBorders>
              <w:top w:val="single" w:color="999999" w:sz="1"/>
              <w:left w:val="single" w:color="999999" w:sz="1"/>
              <w:bottom w:val="single" w:color="999999" w:sz="1"/>
              <w:right w:val="single" w:color="999999" w:sz="1"/>
            </w:tcBorders>
            <w:shd w:fill="5C00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IMPLICATION</w:t>
            </w:r>
          </w:p>
        </w:tc>
        <w:tc>
          <w:tcPr>
            <w:tcW w:type="dxa" w:w="7960"/>
            <w:tcBorders>
              <w:top w:val="single" w:color="999999" w:sz="1"/>
              <w:left w:val="single" w:color="999999" w:sz="1"/>
              <w:bottom w:val="single" w:color="999999" w:sz="1"/>
              <w:right w:val="single" w:color="999999" w:sz="1"/>
            </w:tcBorders>
            <w:shd w:fill="FFE8E8" w:val="clear"/>
            <w:tcMar>
              <w:top w:type="dxa" w:w="80"/>
              <w:left w:type="dxa" w:w="140"/>
              <w:bottom w:type="dxa" w:w="80"/>
              <w:right w:type="dxa" w:w="100"/>
            </w:tcMar>
          </w:tcPr>
          <w:p>
            <w:r>
              <w:rPr>
                <w:rFonts w:ascii="Arial" w:cs="Arial" w:eastAsia="Arial" w:hAnsi="Arial"/>
                <w:i/>
                <w:iCs/>
                <w:sz w:val="19"/>
                <w:szCs w:val="19"/>
              </w:rPr>
              <w:t xml:space="preserve">Military, diplomatic, and verification options are materially different depending on which endpoint is closer to reality. The stockpile question materially affects every category of strategic planning, and its resolution requires physical access that is not currently available.</w:t>
            </w:r>
          </w:p>
        </w:tc>
      </w:tr>
    </w:tbl>
    <w:p>
      <w:pPr>
        <w:spacing w:after="160"/>
      </w:pPr>
      <w:r>
        <w:t xml:space="preserve"/>
      </w:r>
    </w:p>
    <w:p>
      <w:r>
        <w:br w:type="page"/>
      </w:r>
    </w:p>
    <w:p>
      <w:pPr>
        <w:shd w:fill="0D2137" w:val="clear"/>
        <w:spacing w:after="260" w:before="260"/>
        <w:jc w:val="center"/>
      </w:pPr>
      <w:r>
        <w:rPr>
          <w:rFonts w:ascii="Arial" w:cs="Arial" w:eastAsia="Arial" w:hAnsi="Arial"/>
          <w:b/>
          <w:bCs/>
          <w:color w:val="FFFFFF"/>
          <w:sz w:val="20"/>
          <w:szCs w:val="20"/>
        </w:rPr>
        <w:t xml:space="preserve">  SECTION 3: PICKAXE MOUNTAIN — INDICATORS AND LIMITS  </w:t>
      </w:r>
    </w:p>
    <w:p>
      <w:pPr>
        <w:spacing w:after="80"/>
      </w:pPr>
      <w:r>
        <w:t xml:space="preserve"/>
      </w:r>
    </w:p>
    <w:p>
      <w:pPr>
        <w:pStyle w:val="Heading1"/>
        <w:pBdr>
          <w:bottom w:val="thick" w:color="B8860B" w:sz="8" w:space="4"/>
        </w:pBdr>
        <w:spacing w:after="100" w:before="320"/>
      </w:pPr>
      <w:r>
        <w:rPr>
          <w:rFonts w:ascii="Arial" w:cs="Arial" w:eastAsia="Arial" w:hAnsi="Arial"/>
          <w:b/>
          <w:bCs/>
          <w:color w:val="0D2137"/>
          <w:sz w:val="30"/>
          <w:szCs w:val="30"/>
        </w:rPr>
        <w:t xml:space="preserve">Section 3: Pickaxe Mountain — Indicators and Limits</w:t>
      </w:r>
    </w:p>
    <w:p>
      <w:pPr>
        <w:spacing w:after="110"/>
        <w:jc w:val="both"/>
      </w:pPr>
      <w:r>
        <w:rPr>
          <w:rFonts w:ascii="Arial" w:cs="Arial" w:eastAsia="Arial" w:hAnsi="Arial"/>
          <w:color w:val="000000"/>
          <w:sz w:val="20"/>
          <w:szCs w:val="20"/>
        </w:rPr>
        <w:t xml:space="preserve">Pickaxe Mountain (Kuh-e Kolang Gaz La, approximately 33.707°N, 51.718°E) is assessed as the highest-priority unresolved site in Iran's post-strike nuclear posture. This assessment rests entirely on observable surface indicators and open-source depth estimates. No assessment of interior configuration or operational role is supportable from available evidence.</w:t>
      </w:r>
    </w:p>
    <w:p>
      <w:pPr>
        <w:spacing w:after="80"/>
      </w:pPr>
      <w:r>
        <w:t xml:space="preserve"/>
      </w:r>
    </w:p>
    <w:p>
      <w:pPr>
        <w:pStyle w:val="Heading2"/>
        <w:spacing w:after="80" w:before="220"/>
      </w:pPr>
      <w:r>
        <w:rPr>
          <w:rFonts w:ascii="Arial" w:cs="Arial" w:eastAsia="Arial" w:hAnsi="Arial"/>
          <w:b/>
          <w:bCs/>
          <w:color w:val="1F4E79"/>
          <w:sz w:val="24"/>
          <w:szCs w:val="24"/>
        </w:rPr>
        <w:t xml:space="preserve">3.1 Observed Indicators</w:t>
      </w:r>
    </w:p>
    <w:p>
      <w:pPr>
        <w:pStyle w:val="ListParagraph"/>
        <w:numPr>
          <w:ilvl w:val="0"/>
          <w:numId w:val="2"/>
        </w:numPr>
        <w:spacing w:after="80"/>
      </w:pPr>
      <w:r>
        <w:rPr>
          <w:rFonts w:ascii="Arial" w:cs="Arial" w:eastAsia="Arial" w:hAnsi="Arial"/>
          <w:sz w:val="20"/>
          <w:szCs w:val="20"/>
        </w:rPr>
        <w:t xml:space="preserve">OBSERVED (Tier 2 — commercial satellite imagery, PBS Frontline, ISIS): Construction and hardening activity at the site has continued and accelerated since the June 2025 strikes.</w:t>
      </w:r>
    </w:p>
    <w:p>
      <w:pPr>
        <w:pStyle w:val="ListParagraph"/>
        <w:numPr>
          <w:ilvl w:val="0"/>
          <w:numId w:val="2"/>
        </w:numPr>
        <w:spacing w:after="80"/>
      </w:pPr>
      <w:r>
        <w:rPr>
          <w:rFonts w:ascii="Arial" w:cs="Arial" w:eastAsia="Arial" w:hAnsi="Arial"/>
          <w:sz w:val="20"/>
          <w:szCs w:val="20"/>
        </w:rPr>
        <w:t xml:space="preserve">OBSERVED (Tier 2): Tunnel entrances have been extended and covered with concrete and gravel, consistent with hardening against aerial penetration.</w:t>
      </w:r>
    </w:p>
    <w:p>
      <w:pPr>
        <w:pStyle w:val="ListParagraph"/>
        <w:numPr>
          <w:ilvl w:val="0"/>
          <w:numId w:val="2"/>
        </w:numPr>
        <w:spacing w:after="80"/>
      </w:pPr>
      <w:r>
        <w:rPr>
          <w:rFonts w:ascii="Arial" w:cs="Arial" w:eastAsia="Arial" w:hAnsi="Arial"/>
          <w:sz w:val="20"/>
          <w:szCs w:val="20"/>
        </w:rPr>
        <w:t xml:space="preserve">OBSERVED (Tier 2): Open-source depth estimates based on surface construction signatures and comparison to known underground facilities place the assessed depth at approximately 260–330 feet — consistent with or exceeding the demonstrated GBU-57 MOP penetration depth at Fordow.</w:t>
      </w:r>
    </w:p>
    <w:p>
      <w:pPr>
        <w:pStyle w:val="ListParagraph"/>
        <w:numPr>
          <w:ilvl w:val="0"/>
          <w:numId w:val="2"/>
        </w:numPr>
        <w:spacing w:after="80"/>
      </w:pPr>
      <w:r>
        <w:rPr>
          <w:rFonts w:ascii="Arial" w:cs="Arial" w:eastAsia="Arial" w:hAnsi="Arial"/>
          <w:sz w:val="20"/>
          <w:szCs w:val="20"/>
        </w:rPr>
        <w:t xml:space="preserve">OBSERVED (Tier 1): IAEA has never been granted access to this site. Iran has not formally declared it as a nuclear facility.</w:t>
      </w:r>
    </w:p>
    <w:p>
      <w:pPr>
        <w:pStyle w:val="ListParagraph"/>
        <w:numPr>
          <w:ilvl w:val="0"/>
          <w:numId w:val="2"/>
        </w:numPr>
        <w:spacing w:after="80"/>
      </w:pPr>
      <w:r>
        <w:rPr>
          <w:rFonts w:ascii="Arial" w:cs="Arial" w:eastAsia="Arial" w:hAnsi="Arial"/>
          <w:sz w:val="20"/>
          <w:szCs w:val="20"/>
        </w:rPr>
        <w:t xml:space="preserve">OBSERVED: Iran's stated explanation is centrifuge assembly. This claim has not been verified or refuted by independent inspection.</w:t>
      </w:r>
    </w:p>
    <w:p>
      <w:pPr>
        <w:spacing w:after="80"/>
      </w:pPr>
      <w:r>
        <w:t xml:space="preserve"/>
      </w:r>
    </w:p>
    <w:p>
      <w:pPr>
        <w:pStyle w:val="Heading2"/>
        <w:spacing w:after="80" w:before="220"/>
      </w:pPr>
      <w:r>
        <w:rPr>
          <w:rFonts w:ascii="Arial" w:cs="Arial" w:eastAsia="Arial" w:hAnsi="Arial"/>
          <w:b/>
          <w:bCs/>
          <w:color w:val="1F4E79"/>
          <w:sz w:val="24"/>
          <w:szCs w:val="24"/>
        </w:rPr>
        <w:t xml:space="preserve">3.2 Assessment</w:t>
      </w:r>
    </w:p>
    <w:p>
      <w:pPr>
        <w:spacing w:after="110"/>
        <w:jc w:val="both"/>
      </w:pPr>
      <w:r>
        <w:rPr>
          <w:rFonts w:ascii="Arial" w:cs="Arial" w:eastAsia="Arial" w:hAnsi="Arial"/>
          <w:color w:val="000000"/>
          <w:sz w:val="20"/>
          <w:szCs w:val="20"/>
        </w:rPr>
        <w:t xml:space="preserve">ASSESSMENT [MODERATE CONFIDENCE]: Pickaxe Mountain is plausibly relevant to Iran's post-strike survivable nuclear infrastructure. The combination of location (approximately 1 mile south of Natanz), assessed depth, post-strike construction acceleration, and persistent denial of IAEA access is consistent with a facility potentially intended for significant protected nuclear-related functions.</w:t>
      </w:r>
    </w:p>
    <w:p>
      <w:pPr>
        <w:spacing w:after="110"/>
        <w:jc w:val="both"/>
      </w:pPr>
      <w:r>
        <w:rPr>
          <w:rFonts w:ascii="Arial" w:cs="Arial" w:eastAsia="Arial" w:hAnsi="Arial"/>
          <w:color w:val="000000"/>
          <w:sz w:val="20"/>
          <w:szCs w:val="20"/>
        </w:rPr>
        <w:t xml:space="preserve">ASSESSMENT: The site may support one or more of the following roles: protected centrifuge assembly or storage; emergency stockpile relocation; covert enrichment capacity. These roles cannot be distinguished from available open-source evidence.</w:t>
      </w:r>
    </w:p>
    <w:p>
      <w:pPr>
        <w:spacing w:after="80"/>
      </w:pPr>
      <w:r>
        <w:t xml:space="preserve"/>
      </w:r>
    </w:p>
    <w:p>
      <w:pPr>
        <w:pStyle w:val="Heading2"/>
        <w:spacing w:after="80" w:before="220"/>
      </w:pPr>
      <w:r>
        <w:rPr>
          <w:rFonts w:ascii="Arial" w:cs="Arial" w:eastAsia="Arial" w:hAnsi="Arial"/>
          <w:b/>
          <w:bCs/>
          <w:color w:val="1F4E79"/>
          <w:sz w:val="24"/>
          <w:szCs w:val="24"/>
        </w:rPr>
        <w:t xml:space="preserve">3.3 Alternative Explanations</w:t>
      </w:r>
    </w:p>
    <w:p>
      <w:pPr>
        <w:pStyle w:val="ListParagraph"/>
        <w:numPr>
          <w:ilvl w:val="0"/>
          <w:numId w:val="2"/>
        </w:numPr>
        <w:spacing w:after="80"/>
      </w:pPr>
      <w:r>
        <w:rPr>
          <w:rFonts w:ascii="Arial" w:cs="Arial" w:eastAsia="Arial" w:hAnsi="Arial"/>
          <w:sz w:val="20"/>
          <w:szCs w:val="20"/>
        </w:rPr>
        <w:t xml:space="preserve">Iran's stated explanation — centrifuge assembly — is a plausible legitimate function for a hardened underground facility and cannot be excluded.</w:t>
      </w:r>
    </w:p>
    <w:p>
      <w:pPr>
        <w:pStyle w:val="ListParagraph"/>
        <w:numPr>
          <w:ilvl w:val="0"/>
          <w:numId w:val="2"/>
        </w:numPr>
        <w:spacing w:after="80"/>
      </w:pPr>
      <w:r>
        <w:rPr>
          <w:rFonts w:ascii="Arial" w:cs="Arial" w:eastAsia="Arial" w:hAnsi="Arial"/>
          <w:sz w:val="20"/>
          <w:szCs w:val="20"/>
        </w:rPr>
        <w:t xml:space="preserve">General survivability hardening without active nuclear operations is consistent with post-strike construction activity at this and other Iranian military sites.</w:t>
      </w:r>
    </w:p>
    <w:p>
      <w:pPr>
        <w:pStyle w:val="ListParagraph"/>
        <w:numPr>
          <w:ilvl w:val="0"/>
          <w:numId w:val="2"/>
        </w:numPr>
        <w:spacing w:after="80"/>
      </w:pPr>
      <w:r>
        <w:rPr>
          <w:rFonts w:ascii="Arial" w:cs="Arial" w:eastAsia="Arial" w:hAnsi="Arial"/>
          <w:sz w:val="20"/>
          <w:szCs w:val="20"/>
        </w:rPr>
        <w:t xml:space="preserve">The facility may be contingency infrastructure intended for future use that is not currently operational.</w:t>
      </w:r>
    </w:p>
    <w:p>
      <w:pPr>
        <w:pStyle w:val="ListParagraph"/>
        <w:numPr>
          <w:ilvl w:val="0"/>
          <w:numId w:val="2"/>
        </w:numPr>
        <w:spacing w:after="80"/>
      </w:pPr>
      <w:r>
        <w:rPr>
          <w:rFonts w:ascii="Arial" w:cs="Arial" w:eastAsia="Arial" w:hAnsi="Arial"/>
          <w:sz w:val="20"/>
          <w:szCs w:val="20"/>
        </w:rPr>
        <w:t xml:space="preserve">The depth and hardening may reflect military planning logic — protecting any asset of value from future strikes — rather than indicating a specific nuclear operational role.</w:t>
      </w:r>
    </w:p>
    <w:p>
      <w:pPr>
        <w:spacing w:after="80"/>
      </w:pPr>
      <w:r>
        <w:t xml:space="preserve"/>
      </w:r>
    </w:p>
    <w:p>
      <w:pPr>
        <w:pStyle w:val="Heading2"/>
        <w:spacing w:after="80" w:before="220"/>
      </w:pPr>
      <w:r>
        <w:rPr>
          <w:rFonts w:ascii="Arial" w:cs="Arial" w:eastAsia="Arial" w:hAnsi="Arial"/>
          <w:b/>
          <w:bCs/>
          <w:color w:val="1F4E79"/>
          <w:sz w:val="24"/>
          <w:szCs w:val="24"/>
        </w:rPr>
        <w:t xml:space="preserve">3.4 Key Unknown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400"/>
        <w:gridCol w:w="7960"/>
      </w:tblGrid>
      <w:tr>
        <w:tc>
          <w:tcPr>
            <w:tcW w:type="dxa" w:w="1400"/>
            <w:tcBorders>
              <w:top w:val="single" w:color="999999" w:sz="1"/>
              <w:left w:val="single" w:color="999999" w:sz="1"/>
              <w:bottom w:val="single" w:color="999999" w:sz="1"/>
              <w:right w:val="single" w:color="999999" w:sz="1"/>
            </w:tcBorders>
            <w:shd w:fill="5C00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KEY UNKNOWN</w:t>
            </w:r>
          </w:p>
        </w:tc>
        <w:tc>
          <w:tcPr>
            <w:tcW w:type="dxa" w:w="7960"/>
            <w:tcBorders>
              <w:top w:val="single" w:color="999999" w:sz="1"/>
              <w:left w:val="single" w:color="999999" w:sz="1"/>
              <w:bottom w:val="single" w:color="999999" w:sz="1"/>
              <w:right w:val="single" w:color="999999" w:sz="1"/>
            </w:tcBorders>
            <w:shd w:fill="FFE8E8" w:val="clear"/>
            <w:tcMar>
              <w:top w:type="dxa" w:w="80"/>
              <w:left w:type="dxa" w:w="140"/>
              <w:bottom w:type="dxa" w:w="80"/>
              <w:right w:type="dxa" w:w="100"/>
            </w:tcMar>
          </w:tcPr>
          <w:p>
            <w:r>
              <w:rPr>
                <w:rFonts w:ascii="Arial" w:cs="Arial" w:eastAsia="Arial" w:hAnsi="Arial"/>
                <w:i/>
                <w:iCs/>
                <w:sz w:val="19"/>
                <w:szCs w:val="19"/>
              </w:rPr>
              <w:t xml:space="preserve">The interior configuration, equipment inventory, and operational status of Pickaxe Mountain are unknown and cannot be determined from any open-source collection method currently available. Observable surface indicators and assessed depth establish this as an analytically significant unresolved site. They do not establish what the site contains or what role it currently serves. Any more specific claim about the site's contents or function goes beyond what available evidence supports.</w:t>
            </w:r>
          </w:p>
        </w:tc>
      </w:tr>
    </w:tbl>
    <w:p>
      <w:pPr>
        <w:spacing w:after="160"/>
      </w:pPr>
      <w:r>
        <w:t xml:space="preserve"/>
      </w:r>
    </w:p>
    <w:p>
      <w:r>
        <w:br w:type="page"/>
      </w:r>
    </w:p>
    <w:p>
      <w:pPr>
        <w:shd w:fill="0D2137" w:val="clear"/>
        <w:spacing w:after="260" w:before="260"/>
        <w:jc w:val="center"/>
      </w:pPr>
      <w:r>
        <w:rPr>
          <w:rFonts w:ascii="Arial" w:cs="Arial" w:eastAsia="Arial" w:hAnsi="Arial"/>
          <w:b/>
          <w:bCs/>
          <w:color w:val="FFFFFF"/>
          <w:sz w:val="20"/>
          <w:szCs w:val="20"/>
        </w:rPr>
        <w:t xml:space="preserve">  SECTION 4: COVERT RECONSTITUTION — PLAUSIBLE MODELS AND COMPETING EXPLANATIONS  </w:t>
      </w:r>
    </w:p>
    <w:p>
      <w:pPr>
        <w:spacing w:after="80"/>
      </w:pPr>
      <w:r>
        <w:t xml:space="preserve"/>
      </w:r>
    </w:p>
    <w:p>
      <w:pPr>
        <w:pStyle w:val="Heading1"/>
        <w:pBdr>
          <w:bottom w:val="thick" w:color="B8860B" w:sz="8" w:space="4"/>
        </w:pBdr>
        <w:spacing w:after="100" w:before="320"/>
      </w:pPr>
      <w:r>
        <w:rPr>
          <w:rFonts w:ascii="Arial" w:cs="Arial" w:eastAsia="Arial" w:hAnsi="Arial"/>
          <w:b/>
          <w:bCs/>
          <w:color w:val="0D2137"/>
          <w:sz w:val="30"/>
          <w:szCs w:val="30"/>
        </w:rPr>
        <w:t xml:space="preserve">Section 4: Covert Reconstitution — Plausible Models and Competing Explanations</w:t>
      </w:r>
    </w:p>
    <w:p>
      <w:pPr>
        <w:spacing w:after="110"/>
        <w:jc w:val="both"/>
      </w:pPr>
      <w:r>
        <w:rPr>
          <w:rFonts w:ascii="Arial" w:cs="Arial" w:eastAsia="Arial" w:hAnsi="Arial"/>
          <w:color w:val="000000"/>
          <w:sz w:val="20"/>
          <w:szCs w:val="20"/>
        </w:rPr>
        <w:t xml:space="preserve">This section addresses the central estimative question: does available open-source evidence support a judgment that Iran is engaged in organized, active covert reconstitution of its nuclear weapons program following the June 2025 strikes? The answer is that reconstitution is plausible and consistent with available indicators, but is not confirmed by them.</w:t>
      </w:r>
    </w:p>
    <w:p>
      <w:pPr>
        <w:spacing w:after="80"/>
      </w:pPr>
      <w:r>
        <w:t xml:space="preserve"/>
      </w:r>
    </w:p>
    <w:p>
      <w:pPr>
        <w:pStyle w:val="Heading2"/>
        <w:spacing w:after="80" w:before="220"/>
      </w:pPr>
      <w:r>
        <w:rPr>
          <w:rFonts w:ascii="Arial" w:cs="Arial" w:eastAsia="Arial" w:hAnsi="Arial"/>
          <w:b/>
          <w:bCs/>
          <w:color w:val="1F4E79"/>
          <w:sz w:val="24"/>
          <w:szCs w:val="24"/>
        </w:rPr>
        <w:t xml:space="preserve">4.1 Observed Indicators Consistent With Reconstitution</w:t>
      </w:r>
    </w:p>
    <w:p>
      <w:pPr>
        <w:pStyle w:val="ListParagraph"/>
        <w:numPr>
          <w:ilvl w:val="0"/>
          <w:numId w:val="2"/>
        </w:numPr>
        <w:spacing w:after="80"/>
      </w:pPr>
      <w:r>
        <w:rPr>
          <w:rFonts w:ascii="Arial" w:cs="Arial" w:eastAsia="Arial" w:hAnsi="Arial"/>
          <w:sz w:val="20"/>
          <w:szCs w:val="20"/>
        </w:rPr>
        <w:t xml:space="preserve">Post-strike construction acceleration at Pickaxe Mountain (Section 3).</w:t>
      </w:r>
    </w:p>
    <w:p>
      <w:pPr>
        <w:pStyle w:val="ListParagraph"/>
        <w:numPr>
          <w:ilvl w:val="0"/>
          <w:numId w:val="2"/>
        </w:numPr>
        <w:spacing w:after="80"/>
      </w:pPr>
      <w:r>
        <w:rPr>
          <w:rFonts w:ascii="Arial" w:cs="Arial" w:eastAsia="Arial" w:hAnsi="Arial"/>
          <w:sz w:val="20"/>
          <w:szCs w:val="20"/>
        </w:rPr>
        <w:t xml:space="preserve">Reconstruction and hardening at Taleghan-2, Parchin — a site with a documented IAEA-confirmed uranium particle finding and assessed weapons-component testing history.</w:t>
      </w:r>
    </w:p>
    <w:p>
      <w:pPr>
        <w:pStyle w:val="ListParagraph"/>
        <w:numPr>
          <w:ilvl w:val="0"/>
          <w:numId w:val="2"/>
        </w:numPr>
        <w:spacing w:after="80"/>
      </w:pPr>
      <w:r>
        <w:rPr>
          <w:rFonts w:ascii="Arial" w:cs="Arial" w:eastAsia="Arial" w:hAnsi="Arial"/>
          <w:sz w:val="20"/>
          <w:szCs w:val="20"/>
        </w:rPr>
        <w:t xml:space="preserve">Repair activity at Natanz and Isfahan surface infrastructure.</w:t>
      </w:r>
    </w:p>
    <w:p>
      <w:pPr>
        <w:pStyle w:val="ListParagraph"/>
        <w:numPr>
          <w:ilvl w:val="0"/>
          <w:numId w:val="2"/>
        </w:numPr>
        <w:spacing w:after="80"/>
      </w:pPr>
      <w:r>
        <w:rPr>
          <w:rFonts w:ascii="Arial" w:cs="Arial" w:eastAsia="Arial" w:hAnsi="Arial"/>
          <w:sz w:val="20"/>
          <w:szCs w:val="20"/>
        </w:rPr>
        <w:t xml:space="preserve">Iran's scientific and engineering knowledge base is assessed as substantially intact — the strikes targeted physical infrastructure, not knowledge (Tier 2 consensus assessment).</w:t>
      </w:r>
    </w:p>
    <w:p>
      <w:pPr>
        <w:pStyle w:val="ListParagraph"/>
        <w:numPr>
          <w:ilvl w:val="0"/>
          <w:numId w:val="2"/>
        </w:numPr>
        <w:spacing w:after="80"/>
      </w:pPr>
      <w:r>
        <w:rPr>
          <w:rFonts w:ascii="Arial" w:cs="Arial" w:eastAsia="Arial" w:hAnsi="Arial"/>
          <w:sz w:val="20"/>
          <w:szCs w:val="20"/>
        </w:rPr>
        <w:t xml:space="preserve">Iran retains an undeclared centrifuge inventory. IAEA monitoring of centrifuge manufacturing was suspended in 2021. The number, type, and current location of centrifuges built but not installed prior to the strikes is not known to external bodies (Tier 1: IAEA reporting).</w:t>
      </w:r>
    </w:p>
    <w:p>
      <w:pPr>
        <w:spacing w:after="80"/>
      </w:pPr>
      <w:r>
        <w:t xml:space="preserve"/>
      </w:r>
    </w:p>
    <w:p>
      <w:pPr>
        <w:pStyle w:val="Heading2"/>
        <w:spacing w:after="80" w:before="220"/>
      </w:pPr>
      <w:r>
        <w:rPr>
          <w:rFonts w:ascii="Arial" w:cs="Arial" w:eastAsia="Arial" w:hAnsi="Arial"/>
          <w:b/>
          <w:bCs/>
          <w:color w:val="1F4E79"/>
          <w:sz w:val="24"/>
          <w:szCs w:val="24"/>
        </w:rPr>
        <w:t xml:space="preserve">4.2 Assessment [MODERATE CONFIDENCE — with required caveats]</w:t>
      </w:r>
    </w:p>
    <w:p>
      <w:pPr>
        <w:spacing w:after="110"/>
        <w:jc w:val="both"/>
      </w:pPr>
      <w:r>
        <w:rPr>
          <w:rFonts w:ascii="Arial" w:cs="Arial" w:eastAsia="Arial" w:hAnsi="Arial"/>
          <w:color w:val="000000"/>
          <w:sz w:val="20"/>
          <w:szCs w:val="20"/>
        </w:rPr>
        <w:t xml:space="preserve">ASSESSMENT: Available open-source reporting is consistent with a post-strike posture in which Iran is taking steps to preserve and reconstitute survivable nuclear infrastructure. This inference is supported by circumstantial indicators and is not confirmed by direct evidence of operational enrichment or weapons development activity.</w:t>
      </w:r>
    </w:p>
    <w:p>
      <w:pPr>
        <w:spacing w:after="110"/>
        <w:jc w:val="both"/>
      </w:pPr>
      <w:r>
        <w:rPr>
          <w:rFonts w:ascii="Arial" w:cs="Arial" w:eastAsia="Arial" w:hAnsi="Arial"/>
          <w:color w:val="000000"/>
          <w:sz w:val="20"/>
          <w:szCs w:val="20"/>
        </w:rPr>
        <w:t xml:space="preserve">The knowledge base and technical workforce required to reconstitute Iran's nuclear program are assessed as substantially intact. Iran has produced multiple generations of domestically trained nuclear scientists; the assassination campaign of 2010–2025 degraded individual capacity but did not dismantle the institutional base (Tier 2: ISIS, CSIS).</w:t>
      </w:r>
    </w:p>
    <w:p>
      <w:pPr>
        <w:spacing w:after="80"/>
      </w:pPr>
      <w:r>
        <w:t xml:space="preserve"/>
      </w:r>
    </w:p>
    <w:p>
      <w:pPr>
        <w:pStyle w:val="Heading2"/>
        <w:spacing w:after="80" w:before="220"/>
      </w:pPr>
      <w:r>
        <w:rPr>
          <w:rFonts w:ascii="Arial" w:cs="Arial" w:eastAsia="Arial" w:hAnsi="Arial"/>
          <w:b/>
          <w:bCs/>
          <w:color w:val="1F4E79"/>
          <w:sz w:val="24"/>
          <w:szCs w:val="24"/>
        </w:rPr>
        <w:t xml:space="preserve">4.3 Competing Explanations</w:t>
      </w:r>
    </w:p>
    <w:p>
      <w:pPr>
        <w:spacing w:after="110"/>
        <w:jc w:val="both"/>
      </w:pPr>
      <w:r>
        <w:rPr>
          <w:rFonts w:ascii="Arial" w:cs="Arial" w:eastAsia="Arial" w:hAnsi="Arial"/>
          <w:color w:val="000000"/>
          <w:sz w:val="20"/>
          <w:szCs w:val="20"/>
        </w:rPr>
        <w:t xml:space="preserve">ALTERNATIVE EXPLANATION A — Survivability hardening without active reconstitution: Post-strike construction activity is consistent with Iran hardening residual and new infrastructure against future strikes without necessarily pursuing active enrichment. A rational state actor struck by a major air campaign would harden surviving assets regardless of operational intent.</w:t>
      </w:r>
    </w:p>
    <w:p>
      <w:pPr>
        <w:spacing w:after="110"/>
        <w:jc w:val="both"/>
      </w:pPr>
      <w:r>
        <w:rPr>
          <w:rFonts w:ascii="Arial" w:cs="Arial" w:eastAsia="Arial" w:hAnsi="Arial"/>
          <w:color w:val="000000"/>
          <w:sz w:val="20"/>
          <w:szCs w:val="20"/>
        </w:rPr>
        <w:t xml:space="preserve">ALTERNATIVE EXPLANATION B — Reconstitution without near-term breakout intent: Iran may be rebuilding enrichment capacity as a long-term hedge without having made a decision to produce weapons-grade material. This is consistent with its pre-strike 'nuclear latency' posture.</w:t>
      </w:r>
    </w:p>
    <w:p>
      <w:pPr>
        <w:spacing w:after="110"/>
        <w:jc w:val="both"/>
      </w:pPr>
      <w:r>
        <w:rPr>
          <w:rFonts w:ascii="Arial" w:cs="Arial" w:eastAsia="Arial" w:hAnsi="Arial"/>
          <w:color w:val="000000"/>
          <w:sz w:val="20"/>
          <w:szCs w:val="20"/>
        </w:rPr>
        <w:t xml:space="preserve">ALTERNATIVE EXPLANATION C — Active covert enrichment underway: This possibility cannot be excluded but is not supported by direct open-source evidence. Its plausibility depends on unverifiable conditions — operational cascade, accessible stockpile, IAEA-evading configuration — that represent the maximum-risk scenario, not the assessed central case.</w:t>
      </w:r>
    </w:p>
    <w:p>
      <w:pPr>
        <w:spacing w:after="80"/>
      </w:pPr>
      <w:r>
        <w:t xml:space="preserve"/>
      </w:r>
    </w:p>
    <w:p>
      <w:pPr>
        <w:pStyle w:val="Heading2"/>
        <w:spacing w:after="80" w:before="220"/>
      </w:pPr>
      <w:r>
        <w:rPr>
          <w:rFonts w:ascii="Arial" w:cs="Arial" w:eastAsia="Arial" w:hAnsi="Arial"/>
          <w:b/>
          <w:bCs/>
          <w:color w:val="1F4E79"/>
          <w:sz w:val="24"/>
          <w:szCs w:val="24"/>
        </w:rPr>
        <w:t xml:space="preserve">4.4 The Kavir Plan / Semnan Reporting — A Watch Item</w:t>
      </w:r>
    </w:p>
    <w:p>
      <w:pPr>
        <w:spacing w:after="110"/>
        <w:jc w:val="both"/>
      </w:pPr>
      <w:r>
        <w:rPr>
          <w:rFonts w:ascii="Arial" w:cs="Arial" w:eastAsia="Arial" w:hAnsi="Arial"/>
          <w:color w:val="000000"/>
          <w:sz w:val="20"/>
          <w:szCs w:val="20"/>
        </w:rPr>
        <w:t xml:space="preserve">OBSERVED (Tier 3 — NCRI, June 2025, unconfirmed): The National Council of Resistance of Iran alleged in June 2025 that six sites in Semnan Province were associated with warhead and nuclear technology work under a program designated the Kavir Plan.</w:t>
      </w:r>
    </w:p>
    <w:p>
      <w:pPr>
        <w:spacing w:after="110"/>
        <w:jc w:val="both"/>
      </w:pPr>
      <w:r>
        <w:rPr>
          <w:rFonts w:ascii="Arial" w:cs="Arial" w:eastAsia="Arial" w:hAnsi="Arial"/>
          <w:color w:val="000000"/>
          <w:sz w:val="20"/>
          <w:szCs w:val="20"/>
        </w:rPr>
        <w:t xml:space="preserve">ASSESSMENT: The NCRI has a credible track record on specific facility disclosures (Natanz 2002, Fordow 2009) but has also produced unreliable or politically motivated reporting. This report has not been independently confirmed by a Tier 1 or Tier 2 source as of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400"/>
        <w:gridCol w:w="7960"/>
      </w:tblGrid>
      <w:tr>
        <w:tc>
          <w:tcPr>
            <w:tcW w:type="dxa" w:w="1400"/>
            <w:tcBorders>
              <w:top w:val="single" w:color="999999" w:sz="1"/>
              <w:left w:val="single" w:color="999999" w:sz="1"/>
              <w:bottom w:val="single" w:color="999999" w:sz="1"/>
              <w:right w:val="single" w:color="999999" w:sz="1"/>
            </w:tcBorders>
            <w:shd w:fill="7B4F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KAVIR PLAN — WATCH ITEM</w:t>
            </w:r>
          </w:p>
        </w:tc>
        <w:tc>
          <w:tcPr>
            <w:tcW w:type="dxa" w:w="7960"/>
            <w:tcBorders>
              <w:top w:val="single" w:color="999999" w:sz="1"/>
              <w:left w:val="single" w:color="999999" w:sz="1"/>
              <w:bottom w:val="single" w:color="999999" w:sz="1"/>
              <w:right w:val="single" w:color="999999" w:sz="1"/>
            </w:tcBorders>
            <w:shd w:fill="FFF8E1" w:val="clear"/>
            <w:tcMar>
              <w:top w:type="dxa" w:w="80"/>
              <w:left w:type="dxa" w:w="140"/>
              <w:bottom w:type="dxa" w:w="80"/>
              <w:right w:type="dxa" w:w="100"/>
            </w:tcMar>
          </w:tcPr>
          <w:p>
            <w:r>
              <w:rPr>
                <w:rFonts w:ascii="Arial" w:cs="Arial" w:eastAsia="Arial" w:hAnsi="Arial"/>
                <w:i/>
                <w:iCs/>
                <w:sz w:val="19"/>
                <w:szCs w:val="19"/>
              </w:rPr>
              <w:t xml:space="preserve">The Kavir/Semnan allegations are treated here as a Tier 3 monitoring lead, not as a confirmed program element. If independently corroborated, confirmation would indicate that Iran has made an organized decision to actively develop nuclear weapons — a categorical change from ODNI assessments through mid-2025. That significance warrants continued monitoring. It does not warrant treating the allegations as a confirmed finding in this assessment.</w:t>
            </w:r>
          </w:p>
        </w:tc>
      </w:tr>
    </w:tbl>
    <w:p>
      <w:pPr>
        <w:spacing w:after="160"/>
      </w:pPr>
      <w:r>
        <w:t xml:space="preserve"/>
      </w:r>
    </w:p>
    <w:p>
      <w:r>
        <w:br w:type="page"/>
      </w:r>
    </w:p>
    <w:p>
      <w:pPr>
        <w:shd w:fill="0D2137" w:val="clear"/>
        <w:spacing w:after="260" w:before="260"/>
        <w:jc w:val="center"/>
      </w:pPr>
      <w:r>
        <w:rPr>
          <w:rFonts w:ascii="Arial" w:cs="Arial" w:eastAsia="Arial" w:hAnsi="Arial"/>
          <w:b/>
          <w:bCs/>
          <w:color w:val="FFFFFF"/>
          <w:sz w:val="20"/>
          <w:szCs w:val="20"/>
        </w:rPr>
        <w:t xml:space="preserve">  SECTION 5: STRATEGIC IMPLICATIONS  </w:t>
      </w:r>
    </w:p>
    <w:p>
      <w:pPr>
        <w:spacing w:after="80"/>
      </w:pPr>
      <w:r>
        <w:t xml:space="preserve"/>
      </w:r>
    </w:p>
    <w:p>
      <w:pPr>
        <w:pStyle w:val="Heading1"/>
        <w:pBdr>
          <w:bottom w:val="thick" w:color="B8860B" w:sz="8" w:space="4"/>
        </w:pBdr>
        <w:spacing w:after="100" w:before="320"/>
      </w:pPr>
      <w:r>
        <w:rPr>
          <w:rFonts w:ascii="Arial" w:cs="Arial" w:eastAsia="Arial" w:hAnsi="Arial"/>
          <w:b/>
          <w:bCs/>
          <w:color w:val="0D2137"/>
          <w:sz w:val="30"/>
          <w:szCs w:val="30"/>
        </w:rPr>
        <w:t xml:space="preserve">Section 5: Strategic Implications</w:t>
      </w:r>
    </w:p>
    <w:p>
      <w:pPr>
        <w:pStyle w:val="Heading2"/>
        <w:spacing w:after="80" w:before="220"/>
      </w:pPr>
      <w:r>
        <w:rPr>
          <w:rFonts w:ascii="Arial" w:cs="Arial" w:eastAsia="Arial" w:hAnsi="Arial"/>
          <w:b/>
          <w:bCs/>
          <w:color w:val="1F4E79"/>
          <w:sz w:val="24"/>
          <w:szCs w:val="24"/>
        </w:rPr>
        <w:t xml:space="preserve">5.1 Breakout Timeline — Illustrative Conditional Analysis</w:t>
      </w:r>
    </w:p>
    <w:p>
      <w:pPr>
        <w:spacing w:after="110"/>
        <w:jc w:val="both"/>
      </w:pPr>
      <w:r>
        <w:rPr>
          <w:rFonts w:ascii="Arial" w:cs="Arial" w:eastAsia="Arial" w:hAnsi="Arial"/>
          <w:color w:val="000000"/>
          <w:sz w:val="20"/>
          <w:szCs w:val="20"/>
        </w:rPr>
        <w:t xml:space="preserve">All breakout estimates are conditional on the two unresolved variables from Section 2: stockpile accessibility and operational cascade availability. The following table is an illustrative open-source framework for conditional timing, not an operational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308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IF: ACCESSIBLE STOCKPILE + OPERATIONAL CASCADE</w:t>
            </w:r>
          </w:p>
        </w:tc>
        <w:tc>
          <w:tcPr>
            <w:tcW w:type="dxa" w:w="308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IF: INACCESSIBLE STOCKPILE / NO CASCADE</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60% → 90% HEU (1 bomb)</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5–10 days (Tier 1: DIA, May 2025)</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6–10 weeks (post-strike estimate, ISIS/CRS)</w:t>
            </w:r>
          </w:p>
        </w:tc>
      </w:tr>
      <w:tr>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UF6 → uranium metal</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2–4 weeks</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2–6 weeks</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Crude gun-type device</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2–6 weeks additional</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2–3 months additional</w:t>
            </w:r>
          </w:p>
        </w:tc>
      </w:tr>
      <w:tr>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Implosion device (untested)</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3–6 months additional</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6–12 months additional</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Missile-deliverable warhead</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1–2 years from decision</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 years from decision</w:t>
            </w:r>
          </w:p>
        </w:tc>
      </w:tr>
    </w:tbl>
    <w:p>
      <w:pPr>
        <w:spacing w:after="80"/>
      </w:pPr>
      <w:r>
        <w:t xml:space="preserve"/>
      </w:r>
    </w:p>
    <w:p>
      <w:pPr>
        <w:spacing w:after="110"/>
        <w:jc w:val="both"/>
      </w:pPr>
      <w:r>
        <w:rPr>
          <w:rFonts w:ascii="Arial" w:cs="Arial" w:eastAsia="Arial" w:hAnsi="Arial"/>
          <w:color w:val="000000"/>
          <w:sz w:val="20"/>
          <w:szCs w:val="20"/>
        </w:rPr>
        <w:t xml:space="preserve">These are open-source technical estimates drawn from Tier 1 and Tier 2 sources. They are conditional on stockpile accessibility and cascade availability — conditions whose current status is unknown.</w:t>
      </w:r>
    </w:p>
    <w:p>
      <w:pPr>
        <w:spacing w:after="80"/>
      </w:pPr>
      <w:r>
        <w:t xml:space="preserve"/>
      </w:r>
    </w:p>
    <w:p>
      <w:pPr>
        <w:pStyle w:val="Heading2"/>
        <w:spacing w:after="80" w:before="220"/>
      </w:pPr>
      <w:r>
        <w:rPr>
          <w:rFonts w:ascii="Arial" w:cs="Arial" w:eastAsia="Arial" w:hAnsi="Arial"/>
          <w:b/>
          <w:bCs/>
          <w:color w:val="1F4E79"/>
          <w:sz w:val="24"/>
          <w:szCs w:val="24"/>
        </w:rPr>
        <w:t xml:space="preserve">5.2 Self-Sustaining Scientific Capacity</w:t>
      </w:r>
    </w:p>
    <w:p>
      <w:pPr>
        <w:spacing w:after="110"/>
        <w:jc w:val="both"/>
      </w:pPr>
      <w:r>
        <w:rPr>
          <w:rFonts w:ascii="Arial" w:cs="Arial" w:eastAsia="Arial" w:hAnsi="Arial"/>
          <w:color w:val="000000"/>
          <w:sz w:val="20"/>
          <w:szCs w:val="20"/>
        </w:rPr>
        <w:t xml:space="preserve">ASSESSMENT [MODERATE-HIGH CONFIDENCE]: Iran's nuclear scientific workforce is assessed as substantially self-sustaining. Multiple generations of domestically trained nuclear scientists and engineers across several major institutions — including Shahid Beheshti University, University of Isfahan, Isfahan University of Technology, and Sharif University of Technology — mean the program's knowledge base is distributed. The program's distributed educational and technical base suggests that personnel losses alone are unlikely to eliminate reconstitution capacity. Physical infrastructure can be rebuilt; the knowledge base required to do so was not degraded by the June 2025 strikes.</w:t>
      </w:r>
    </w:p>
    <w:p>
      <w:pPr>
        <w:spacing w:after="80"/>
      </w:pPr>
      <w:r>
        <w:t xml:space="preserve"/>
      </w:r>
    </w:p>
    <w:p>
      <w:pPr>
        <w:pStyle w:val="Heading2"/>
        <w:spacing w:after="80" w:before="220"/>
      </w:pPr>
      <w:r>
        <w:rPr>
          <w:rFonts w:ascii="Arial" w:cs="Arial" w:eastAsia="Arial" w:hAnsi="Arial"/>
          <w:b/>
          <w:bCs/>
          <w:color w:val="1F4E79"/>
          <w:sz w:val="24"/>
          <w:szCs w:val="24"/>
        </w:rPr>
        <w:t xml:space="preserve">5.3 Denied Access as the Governing Strategic Constraint</w:t>
      </w:r>
    </w:p>
    <w:p>
      <w:pPr>
        <w:spacing w:after="110"/>
        <w:jc w:val="both"/>
      </w:pPr>
      <w:r>
        <w:rPr>
          <w:rFonts w:ascii="Arial" w:cs="Arial" w:eastAsia="Arial" w:hAnsi="Arial"/>
          <w:color w:val="000000"/>
          <w:sz w:val="20"/>
          <w:szCs w:val="20"/>
        </w:rPr>
        <w:t xml:space="preserve">IMPLICATION: The fundamental strategic constraint on all options — military, diplomatic, or verification-based — is not what Iran has done but what cannot be observed. The IAEA's absence from Iranian sites since June 2025 means that the international community is operating without the primary instrument for early warning, deterrence signaling, and arms-control verification.</w:t>
      </w:r>
    </w:p>
    <w:p>
      <w:pPr>
        <w:spacing w:after="110"/>
        <w:jc w:val="both"/>
      </w:pPr>
      <w:r>
        <w:rPr>
          <w:rFonts w:ascii="Arial" w:cs="Arial" w:eastAsia="Arial" w:hAnsi="Arial"/>
          <w:color w:val="000000"/>
          <w:sz w:val="20"/>
          <w:szCs w:val="20"/>
        </w:rPr>
        <w:t xml:space="preserve">IMPLICATION: Restoring some form of inspection access — even partial, even temporary — would likely narrow the central uncertainties more effectively than remote sensing alone. The stockpile question, the Pickaxe question, and the reconstitution question all require physical access to answer with any reliability.</w:t>
      </w:r>
    </w:p>
    <w:p>
      <w:pPr>
        <w:spacing w:after="160"/>
      </w:pPr>
      <w:r>
        <w:t xml:space="preserve"/>
      </w:r>
    </w:p>
    <w:p>
      <w:r>
        <w:br w:type="page"/>
      </w:r>
    </w:p>
    <w:p>
      <w:pPr>
        <w:shd w:fill="0D2137" w:val="clear"/>
        <w:spacing w:after="260" w:before="260"/>
        <w:jc w:val="center"/>
      </w:pPr>
      <w:r>
        <w:rPr>
          <w:rFonts w:ascii="Arial" w:cs="Arial" w:eastAsia="Arial" w:hAnsi="Arial"/>
          <w:b/>
          <w:bCs/>
          <w:color w:val="FFFFFF"/>
          <w:sz w:val="20"/>
          <w:szCs w:val="20"/>
        </w:rPr>
        <w:t xml:space="preserve">  SECTION 6: KEY INTELLIGENCE GAPS AND WHY THEY MATTER  </w:t>
      </w:r>
    </w:p>
    <w:p>
      <w:pPr>
        <w:spacing w:after="80"/>
      </w:pPr>
      <w:r>
        <w:t xml:space="preserve"/>
      </w:r>
    </w:p>
    <w:p>
      <w:pPr>
        <w:pStyle w:val="Heading1"/>
        <w:pBdr>
          <w:bottom w:val="thick" w:color="B8860B" w:sz="8" w:space="4"/>
        </w:pBdr>
        <w:spacing w:after="100" w:before="320"/>
      </w:pPr>
      <w:r>
        <w:rPr>
          <w:rFonts w:ascii="Arial" w:cs="Arial" w:eastAsia="Arial" w:hAnsi="Arial"/>
          <w:b/>
          <w:bCs/>
          <w:color w:val="0D2137"/>
          <w:sz w:val="30"/>
          <w:szCs w:val="30"/>
        </w:rPr>
        <w:t xml:space="preserve">Section 6: Key Intelligence Gaps and Why They Matter</w:t>
      </w:r>
    </w:p>
    <w:p>
      <w:pPr>
        <w:spacing w:after="110"/>
        <w:jc w:val="both"/>
      </w:pPr>
      <w:r>
        <w:rPr>
          <w:rFonts w:ascii="Arial" w:cs="Arial" w:eastAsia="Arial" w:hAnsi="Arial"/>
          <w:color w:val="000000"/>
          <w:sz w:val="20"/>
          <w:szCs w:val="20"/>
        </w:rPr>
        <w:t xml:space="preserve">Three intelligence gaps govern the strategic significance of this assessment. They are listed in order of analytic priority — the order in which their resolution would most reduce decision-making uncertainty.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400"/>
        <w:gridCol w:w="7960"/>
      </w:tblGrid>
      <w:tr>
        <w:tc>
          <w:tcPr>
            <w:tcW w:type="dxa" w:w="1400"/>
            <w:tcBorders>
              <w:top w:val="single" w:color="999999" w:sz="1"/>
              <w:left w:val="single" w:color="999999" w:sz="1"/>
              <w:bottom w:val="single" w:color="999999" w:sz="1"/>
              <w:right w:val="single" w:color="999999" w:sz="1"/>
            </w:tcBorders>
            <w:shd w:fill="5C00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GAP 1 — CRITICAL</w:t>
            </w:r>
          </w:p>
        </w:tc>
        <w:tc>
          <w:tcPr>
            <w:tcW w:type="dxa" w:w="7960"/>
            <w:tcBorders>
              <w:top w:val="single" w:color="999999" w:sz="1"/>
              <w:left w:val="single" w:color="999999" w:sz="1"/>
              <w:bottom w:val="single" w:color="999999" w:sz="1"/>
              <w:right w:val="single" w:color="999999" w:sz="1"/>
            </w:tcBorders>
            <w:shd w:fill="FFE8E8" w:val="clear"/>
            <w:tcMar>
              <w:top w:type="dxa" w:w="80"/>
              <w:left w:type="dxa" w:w="140"/>
              <w:bottom w:type="dxa" w:w="80"/>
              <w:right w:type="dxa" w:w="100"/>
            </w:tcMar>
          </w:tcPr>
          <w:p>
            <w:r>
              <w:rPr>
                <w:rFonts w:ascii="Arial" w:cs="Arial" w:eastAsia="Arial" w:hAnsi="Arial"/>
                <w:i/>
                <w:iCs/>
                <w:sz w:val="19"/>
                <w:szCs w:val="19"/>
              </w:rPr>
              <w:t xml:space="preserve">Location and integrity of the 60% enriched uranium stockpile. This is the central unresolved question for this assessment. No remote sensing method can resolve it without physical access. Every strategic option — military, diplomatic, or verification-based — is materially affected without this answer. The full range of breakout timelines remains open precisely because this question is unresolved.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400"/>
        <w:gridCol w:w="7960"/>
      </w:tblGrid>
      <w:tr>
        <w:tc>
          <w:tcPr>
            <w:tcW w:type="dxa" w:w="1400"/>
            <w:tcBorders>
              <w:top w:val="single" w:color="999999" w:sz="1"/>
              <w:left w:val="single" w:color="999999" w:sz="1"/>
              <w:bottom w:val="single" w:color="999999" w:sz="1"/>
              <w:right w:val="single" w:color="999999" w:sz="1"/>
            </w:tcBorders>
            <w:shd w:fill="5C00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GAP 2 — CRITICAL</w:t>
            </w:r>
          </w:p>
        </w:tc>
        <w:tc>
          <w:tcPr>
            <w:tcW w:type="dxa" w:w="7960"/>
            <w:tcBorders>
              <w:top w:val="single" w:color="999999" w:sz="1"/>
              <w:left w:val="single" w:color="999999" w:sz="1"/>
              <w:bottom w:val="single" w:color="999999" w:sz="1"/>
              <w:right w:val="single" w:color="999999" w:sz="1"/>
            </w:tcBorders>
            <w:shd w:fill="FFE8E8" w:val="clear"/>
            <w:tcMar>
              <w:top w:type="dxa" w:w="80"/>
              <w:left w:type="dxa" w:w="140"/>
              <w:bottom w:type="dxa" w:w="80"/>
              <w:right w:type="dxa" w:w="100"/>
            </w:tcMar>
          </w:tcPr>
          <w:p>
            <w:r>
              <w:rPr>
                <w:rFonts w:ascii="Arial" w:cs="Arial" w:eastAsia="Arial" w:hAnsi="Arial"/>
                <w:i/>
                <w:iCs/>
                <w:sz w:val="19"/>
                <w:szCs w:val="19"/>
              </w:rPr>
              <w:t xml:space="preserve">Operational status of Pickaxe Mountain. Observable indicators are consistent with nuclear-related use, but interior configuration and any operational enrichment role cannot be determined from open-source analysis. The two plausible endpoints — active covert cascade versus general hardening infrastructure — lead to materially different strategic assessments. Current open-source evidence does not adjudicate between them.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400"/>
        <w:gridCol w:w="7960"/>
      </w:tblGrid>
      <w:tr>
        <w:tc>
          <w:tcPr>
            <w:tcW w:type="dxa" w:w="1400"/>
            <w:tcBorders>
              <w:top w:val="single" w:color="999999" w:sz="1"/>
              <w:left w:val="single" w:color="999999" w:sz="1"/>
              <w:bottom w:val="single" w:color="999999" w:sz="1"/>
              <w:right w:val="single" w:color="999999" w:sz="1"/>
            </w:tcBorders>
            <w:shd w:fill="7B4F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GAP 3 — HIGH PRIORITY</w:t>
            </w:r>
          </w:p>
        </w:tc>
        <w:tc>
          <w:tcPr>
            <w:tcW w:type="dxa" w:w="7960"/>
            <w:tcBorders>
              <w:top w:val="single" w:color="999999" w:sz="1"/>
              <w:left w:val="single" w:color="999999" w:sz="1"/>
              <w:bottom w:val="single" w:color="999999" w:sz="1"/>
              <w:right w:val="single" w:color="999999" w:sz="1"/>
            </w:tcBorders>
            <w:shd w:fill="FFF8E1" w:val="clear"/>
            <w:tcMar>
              <w:top w:type="dxa" w:w="80"/>
              <w:left w:type="dxa" w:w="140"/>
              <w:bottom w:type="dxa" w:w="80"/>
              <w:right w:type="dxa" w:w="100"/>
            </w:tcMar>
          </w:tcPr>
          <w:p>
            <w:r>
              <w:rPr>
                <w:rFonts w:ascii="Arial" w:cs="Arial" w:eastAsia="Arial" w:hAnsi="Arial"/>
                <w:i/>
                <w:iCs/>
                <w:sz w:val="19"/>
                <w:szCs w:val="19"/>
              </w:rPr>
              <w:t xml:space="preserve">Whether active covert reconstitution extends beyond observable declared-site activity. The specific question is whether Iran has made an organized decision to reconstitute a weapons-relevant enrichment program at undeclared sites. The Kavir/Semnan reporting (Tier 3, unconfirmed) is one possible indicator. Observable post-strike construction at multiple sites is another. Neither individually nor together do these indicators confirm an organized covert reconstitution program. They do not exclude one.</w:t>
            </w:r>
          </w:p>
        </w:tc>
      </w:tr>
    </w:tbl>
    <w:p>
      <w:pPr>
        <w:spacing w:after="160"/>
      </w:pPr>
      <w:r>
        <w:t xml:space="preserve"/>
      </w:r>
    </w:p>
    <w:p>
      <w:r>
        <w:br w:type="page"/>
      </w:r>
    </w:p>
    <w:p>
      <w:pPr>
        <w:shd w:fill="0D2137" w:val="clear"/>
        <w:spacing w:after="260" w:before="260"/>
        <w:jc w:val="center"/>
      </w:pPr>
      <w:r>
        <w:rPr>
          <w:rFonts w:ascii="Arial" w:cs="Arial" w:eastAsia="Arial" w:hAnsi="Arial"/>
          <w:b/>
          <w:bCs/>
          <w:color w:val="FFFFFF"/>
          <w:sz w:val="20"/>
          <w:szCs w:val="20"/>
        </w:rPr>
        <w:t xml:space="preserve">  ANNEX A: SITE REFERENCE TABLE  </w:t>
      </w:r>
    </w:p>
    <w:p>
      <w:pPr>
        <w:spacing w:after="80"/>
      </w:pPr>
      <w:r>
        <w:t xml:space="preserve"/>
      </w:r>
    </w:p>
    <w:p>
      <w:pPr>
        <w:pStyle w:val="Heading1"/>
        <w:pBdr>
          <w:bottom w:val="thick" w:color="B8860B" w:sz="8" w:space="4"/>
        </w:pBdr>
        <w:spacing w:after="100" w:before="320"/>
      </w:pPr>
      <w:r>
        <w:rPr>
          <w:rFonts w:ascii="Arial" w:cs="Arial" w:eastAsia="Arial" w:hAnsi="Arial"/>
          <w:b/>
          <w:bCs/>
          <w:color w:val="0D2137"/>
          <w:sz w:val="30"/>
          <w:szCs w:val="30"/>
        </w:rPr>
        <w:t xml:space="preserve">Annex A: Nuclear Site Reference Table</w:t>
      </w:r>
    </w:p>
    <w:p>
      <w:pPr>
        <w:spacing w:after="80"/>
        <w:jc w:val="both"/>
      </w:pPr>
      <w:r>
        <w:rPr>
          <w:rFonts w:ascii="Arial" w:cs="Arial" w:eastAsia="Arial" w:hAnsi="Arial"/>
          <w:i/>
          <w:iCs/>
          <w:color w:val="444444"/>
          <w:sz w:val="19"/>
          <w:szCs w:val="19"/>
        </w:rPr>
        <w:t xml:space="preserve">This annex provides the full site inventory for reference. It is not part of the main line of argument. Coordinates are drawn from published IAEA reports, congressional testimony, and established nonproliferation research organizations.</w:t>
      </w:r>
    </w:p>
    <w:p>
      <w:pPr>
        <w:spacing w:after="80"/>
      </w:pPr>
      <w:r>
        <w:t xml:space="preserve"/>
      </w:r>
    </w:p>
    <w:p>
      <w:pPr>
        <w:pStyle w:val="Heading2"/>
        <w:spacing w:after="80" w:before="220"/>
      </w:pPr>
      <w:r>
        <w:rPr>
          <w:rFonts w:ascii="Arial" w:cs="Arial" w:eastAsia="Arial" w:hAnsi="Arial"/>
          <w:b/>
          <w:bCs/>
          <w:color w:val="1F4E79"/>
          <w:sz w:val="24"/>
          <w:szCs w:val="24"/>
        </w:rPr>
        <w:t xml:space="preserve">A.1 Declared / Formerly Declared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FACILITY</w:t>
            </w:r>
          </w:p>
        </w:tc>
        <w:tc>
          <w:tcPr>
            <w:tcW w:type="dxa" w:w="16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COORDINATES</w:t>
            </w:r>
          </w:p>
        </w:tc>
        <w:tc>
          <w:tcPr>
            <w:tcW w:type="dxa" w:w="18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STATUS (MAR 2026)</w:t>
            </w:r>
          </w:p>
        </w:tc>
        <w:tc>
          <w:tcPr>
            <w:tcW w:type="dxa" w:w="376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IAEA ACCESS / NOTES</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Natanz FEP</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33.7252°N 51.7272°E</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DAMAGED — INACCESSIBLE</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Blocked since June 2025; above-ground infrastructure destroyed; underground halls: status unclear</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Fordow FFEP</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34.8826°N 50.9999°E</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DAMAGED — INACCESSIBLE</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12 GBU-57 MOP impacts; IAEA confirmed 'almost all sensitive equipment' destroyed pre-access-loss</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Isfahan UCF + IFEP</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32.5807°N 51.8277°E</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HEAVILY DAMAGED</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IAEA: location of IFEP unknown to inspectors as of last access</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Arak IR-40 Reactor</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34.3704°N 49.2411°E</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OPERATIONAL (modified design)</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Under safeguards; redesigned under JCPOA with concrete fill; not struck</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Bushehr NPP</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28.8298°N 50.8860°E</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OPERATIONAL</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Russian-managed safeguards; civilian power reactor</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Saghand Uranium Mine</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~32.55°N 55.23°E</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OPERATIONAL</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Declared; safeguarded</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Ardakan Processing Plant</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~32.308°N 54.015°E</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OPERATIONAL</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Declared; safeguarded</w:t>
            </w:r>
          </w:p>
        </w:tc>
      </w:tr>
    </w:tbl>
    <w:p>
      <w:pPr>
        <w:spacing w:after="80"/>
      </w:pPr>
      <w:r>
        <w:t xml:space="preserve"/>
      </w:r>
    </w:p>
    <w:p>
      <w:pPr>
        <w:pStyle w:val="Heading2"/>
        <w:spacing w:after="80" w:before="220"/>
      </w:pPr>
      <w:r>
        <w:rPr>
          <w:rFonts w:ascii="Arial" w:cs="Arial" w:eastAsia="Arial" w:hAnsi="Arial"/>
          <w:b/>
          <w:bCs/>
          <w:color w:val="1F4E79"/>
          <w:sz w:val="24"/>
          <w:szCs w:val="24"/>
        </w:rPr>
        <w:t xml:space="preserve">A.2 Undeclared / Covert / Suspected Sites — Argument-Relevant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SITE</w:t>
            </w:r>
          </w:p>
        </w:tc>
        <w:tc>
          <w:tcPr>
            <w:tcW w:type="dxa" w:w="16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COORDINATES (APPROX)</w:t>
            </w:r>
          </w:p>
        </w:tc>
        <w:tc>
          <w:tcPr>
            <w:tcW w:type="dxa" w:w="18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376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BASIS / NOTES</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Pickaxe Mountain</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~33.707°N 51.718°E</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ACTIVE CONSTRUCTION</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Never granted IAEA access; analytically significant unresolved site; see Section 3</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Parchin: Taleghan 1&amp;2</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35.5275°N 51.7523°E</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RECONSTRUCTION ONGOING</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Taleghan-2 struck Oct. 2024; being rebuilt and hardened; IAEA found uranium particles in historical swipe samples</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Turquzabad (Location 1)</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~35.618°N 51.803°E</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IAEA INVESTIGATION OPEN</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Uranium particles found; Iran explanations assessed as not credible by IAEA</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Kavir Plan Sites (est. 6)</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Semnan Province (undisclosed)</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ALLEGED — UNCONFIRMED (Tier 3)</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NCRI June 2025; no independent confirmation; treated as monitoring lead only — see Section 4.4</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Other historical / suspected sites</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Various</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HISTORICAL OR LOW CURRENT RELEVANCE</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Parchin: Golab Dareh, Shahid Boroujerdi; Varamin; Marivan; Chalus; Kolahdouz; Lavizan-Shian (razed 2003–04). Retained for background reference; no current assessed relevance to the main argument.</w:t>
            </w:r>
          </w:p>
        </w:tc>
      </w:tr>
    </w:tbl>
    <w:p>
      <w:pPr>
        <w:spacing w:after="160"/>
      </w:pPr>
      <w:r>
        <w:t xml:space="preserve"/>
      </w:r>
    </w:p>
    <w:p>
      <w:r>
        <w:br w:type="page"/>
      </w:r>
    </w:p>
    <w:p>
      <w:pPr>
        <w:shd w:fill="0D2137" w:val="clear"/>
        <w:spacing w:after="260" w:before="260"/>
        <w:jc w:val="center"/>
      </w:pPr>
      <w:r>
        <w:rPr>
          <w:rFonts w:ascii="Arial" w:cs="Arial" w:eastAsia="Arial" w:hAnsi="Arial"/>
          <w:b/>
          <w:bCs/>
          <w:color w:val="FFFFFF"/>
          <w:sz w:val="20"/>
          <w:szCs w:val="20"/>
        </w:rPr>
        <w:t xml:space="preserve">  ANNEX B: BIOLOGICAL INDICATORS — LIMITED, UNEVEN, AND UNCONFIRMED REPORTING  </w:t>
      </w:r>
    </w:p>
    <w:p>
      <w:pPr>
        <w:spacing w:after="80"/>
      </w:pPr>
      <w:r>
        <w:t xml:space="preserve"/>
      </w:r>
    </w:p>
    <w:p>
      <w:pPr>
        <w:pStyle w:val="Heading1"/>
        <w:pBdr>
          <w:bottom w:val="thick" w:color="B8860B" w:sz="8" w:space="4"/>
        </w:pBdr>
        <w:spacing w:after="100" w:before="320"/>
      </w:pPr>
      <w:r>
        <w:rPr>
          <w:rFonts w:ascii="Arial" w:cs="Arial" w:eastAsia="Arial" w:hAnsi="Arial"/>
          <w:b/>
          <w:bCs/>
          <w:color w:val="0D2137"/>
          <w:sz w:val="30"/>
          <w:szCs w:val="30"/>
        </w:rPr>
        <w:t xml:space="preserve">Annex B: Biological Indicators — Limited, Uneven, and Unconfirmed Reporting</w:t>
      </w:r>
    </w:p>
    <w:p>
      <w:pPr>
        <w:spacing w:after="110"/>
        <w:jc w:val="both"/>
      </w:pPr>
      <w:r>
        <w:rPr>
          <w:rFonts w:ascii="Arial" w:cs="Arial" w:eastAsia="Arial" w:hAnsi="Arial"/>
          <w:color w:val="000000"/>
          <w:sz w:val="20"/>
          <w:szCs w:val="20"/>
        </w:rPr>
        <w:t xml:space="preserve">Biological weapons reporting for this assessment period is materially weaker than the nuclear evidence base. This annex summarizes available indicators for monitoring purposes. None of the reporting here rises to a level that would support inclusion in the main assessment's Key Judgments at comparable confidence.</w:t>
      </w:r>
    </w:p>
    <w:p>
      <w:pPr>
        <w:spacing w:after="80"/>
      </w:pPr>
      <w:r>
        <w:t xml:space="preserve"/>
      </w:r>
    </w:p>
    <w:p>
      <w:pPr>
        <w:pStyle w:val="Heading2"/>
        <w:spacing w:after="80" w:before="220"/>
      </w:pPr>
      <w:r>
        <w:rPr>
          <w:rFonts w:ascii="Arial" w:cs="Arial" w:eastAsia="Arial" w:hAnsi="Arial"/>
          <w:b/>
          <w:bCs/>
          <w:color w:val="1F4E79"/>
          <w:sz w:val="24"/>
          <w:szCs w:val="24"/>
        </w:rPr>
        <w:t xml:space="preserve">B.1 ODNI Assessment Upgrade</w:t>
      </w:r>
    </w:p>
    <w:p>
      <w:pPr>
        <w:spacing w:after="110"/>
        <w:jc w:val="both"/>
      </w:pPr>
      <w:r>
        <w:rPr>
          <w:rFonts w:ascii="Arial" w:cs="Arial" w:eastAsia="Arial" w:hAnsi="Arial"/>
          <w:color w:val="000000"/>
          <w:sz w:val="20"/>
          <w:szCs w:val="20"/>
        </w:rPr>
        <w:t xml:space="preserve">OBSERVED (Tier 1): The 2025 ODNI Annual Threat Assessment elevated the assessed probability of Iran pursuing an offensive biological weapons capability from 'probably' to 'very likely.' This is a significant Tier 1 indicator. The unclassified assessment does not provide specifics on current operationalization, delivery integration, or weaponization status. The basis for the upgrade is not disclosed in the unclassified version.</w:t>
      </w:r>
    </w:p>
    <w:p>
      <w:pPr>
        <w:spacing w:after="80"/>
      </w:pPr>
      <w:r>
        <w:t xml:space="preserve"/>
      </w:r>
    </w:p>
    <w:p>
      <w:pPr>
        <w:pStyle w:val="Heading2"/>
        <w:spacing w:after="80" w:before="220"/>
      </w:pPr>
      <w:r>
        <w:rPr>
          <w:rFonts w:ascii="Arial" w:cs="Arial" w:eastAsia="Arial" w:hAnsi="Arial"/>
          <w:b/>
          <w:bCs/>
          <w:color w:val="1F4E79"/>
          <w:sz w:val="24"/>
          <w:szCs w:val="24"/>
        </w:rPr>
        <w:t xml:space="preserve">B.2 IRGC Warhead Integration Reporting</w:t>
      </w:r>
    </w:p>
    <w:p>
      <w:pPr>
        <w:spacing w:after="110"/>
        <w:jc w:val="both"/>
      </w:pPr>
      <w:r>
        <w:rPr>
          <w:rFonts w:ascii="Arial" w:cs="Arial" w:eastAsia="Arial" w:hAnsi="Arial"/>
          <w:color w:val="000000"/>
          <w:sz w:val="20"/>
          <w:szCs w:val="20"/>
        </w:rPr>
        <w:t xml:space="preserve">OBSERVED (Tier 3 — anonymous military sources, Iran International, January 2026): Iran International reported that the IRGC Aerospace Force may be developing biological and chemical warhead integration for long-range ballistic missiles. This report has not been independently corroborated by a government statement, IAEA reporting, or a second media source. It is noted here as a monitoring lead. It does not constitute confirmation of an active weaponization program.</w:t>
      </w:r>
    </w:p>
    <w:p>
      <w:pPr>
        <w:spacing w:after="110"/>
        <w:jc w:val="both"/>
      </w:pPr>
      <w:r>
        <w:rPr>
          <w:rFonts w:ascii="Arial" w:cs="Arial" w:eastAsia="Arial" w:hAnsi="Arial"/>
          <w:color w:val="000000"/>
          <w:sz w:val="20"/>
          <w:szCs w:val="20"/>
        </w:rPr>
        <w:t xml:space="preserve">ALTERNATIVE EXPLANATION: The report may reflect Iranian deterrence signaling intended for external audiences rather than a confirmed operational capability. The ODNI upgrade and this report are directionally consistent but sourced differently — one from classified assessment, one from anonymous media sourcing.</w:t>
      </w:r>
    </w:p>
    <w:p>
      <w:pPr>
        <w:spacing w:after="80"/>
      </w:pPr>
      <w:r>
        <w:t xml:space="preserve"/>
      </w:r>
    </w:p>
    <w:p>
      <w:pPr>
        <w:pStyle w:val="Heading2"/>
        <w:spacing w:after="80" w:before="220"/>
      </w:pPr>
      <w:r>
        <w:rPr>
          <w:rFonts w:ascii="Arial" w:cs="Arial" w:eastAsia="Arial" w:hAnsi="Arial"/>
          <w:b/>
          <w:bCs/>
          <w:color w:val="1F4E79"/>
          <w:sz w:val="24"/>
          <w:szCs w:val="24"/>
        </w:rPr>
        <w:t xml:space="preserve">B.3 Historical Baseline</w:t>
      </w:r>
    </w:p>
    <w:p>
      <w:pPr>
        <w:spacing w:after="110"/>
        <w:jc w:val="both"/>
      </w:pPr>
      <w:r>
        <w:rPr>
          <w:rFonts w:ascii="Arial" w:cs="Arial" w:eastAsia="Arial" w:hAnsi="Arial"/>
          <w:color w:val="000000"/>
          <w:sz w:val="20"/>
          <w:szCs w:val="20"/>
        </w:rPr>
        <w:t xml:space="preserve">The U.S. Department of Defense has assessed Iran as a biological weapons concern since at least the mid-1990s. The Arms Control and Disarmament Agency assessed in 1996 that Iran had 'probably produced biological warfare agents and apparently weaponized a small quantity.' Iran is a signatory to the Biological and Toxin Weapons Convention but has not been in compliance. This long-standing assessment does not establish current operational status and does not resolve the question of whether any weaponization program exists in its current form.</w:t>
      </w:r>
    </w:p>
    <w:p>
      <w:pPr>
        <w:spacing w:after="80"/>
      </w:pPr>
      <w:r>
        <w:t xml:space="preserve"/>
      </w:r>
    </w:p>
    <w:p>
      <w:pPr>
        <w:pStyle w:val="Heading2"/>
        <w:spacing w:after="80" w:before="220"/>
      </w:pPr>
      <w:r>
        <w:rPr>
          <w:rFonts w:ascii="Arial" w:cs="Arial" w:eastAsia="Arial" w:hAnsi="Arial"/>
          <w:b/>
          <w:bCs/>
          <w:color w:val="1F4E79"/>
          <w:sz w:val="24"/>
          <w:szCs w:val="24"/>
        </w:rPr>
        <w:t xml:space="preserve">B.4 Analytic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400"/>
        <w:gridCol w:w="7960"/>
      </w:tblGrid>
      <w:tr>
        <w:tc>
          <w:tcPr>
            <w:tcW w:type="dxa" w:w="1400"/>
            <w:tcBorders>
              <w:top w:val="single" w:color="999999" w:sz="1"/>
              <w:left w:val="single" w:color="999999" w:sz="1"/>
              <w:bottom w:val="single" w:color="999999" w:sz="1"/>
              <w:right w:val="single" w:color="999999" w:sz="1"/>
            </w:tcBorders>
            <w:shd w:fill="7B4F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BIOLOGICAL ASSESSMENT SUMMARY</w:t>
            </w:r>
          </w:p>
        </w:tc>
        <w:tc>
          <w:tcPr>
            <w:tcW w:type="dxa" w:w="7960"/>
            <w:tcBorders>
              <w:top w:val="single" w:color="999999" w:sz="1"/>
              <w:left w:val="single" w:color="999999" w:sz="1"/>
              <w:bottom w:val="single" w:color="999999" w:sz="1"/>
              <w:right w:val="single" w:color="999999" w:sz="1"/>
            </w:tcBorders>
            <w:shd w:fill="FFF8E1" w:val="clear"/>
            <w:tcMar>
              <w:top w:type="dxa" w:w="80"/>
              <w:left w:type="dxa" w:w="140"/>
              <w:bottom w:type="dxa" w:w="80"/>
              <w:right w:type="dxa" w:w="100"/>
            </w:tcMar>
          </w:tcPr>
          <w:p>
            <w:r>
              <w:rPr>
                <w:rFonts w:ascii="Arial" w:cs="Arial" w:eastAsia="Arial" w:hAnsi="Arial"/>
                <w:i/>
                <w:iCs/>
                <w:sz w:val="19"/>
                <w:szCs w:val="19"/>
              </w:rPr>
              <w:t xml:space="preserve">Open-source reporting on a possible Iranian offensive biological track remains materially weaker than the nuclear evidence base. The 2025 ODNI upgrade is a significant Tier 1 indicator and warrants continued monitoring. The specific warhead-integration reporting from January 2026 rests on anonymous sources and has not been independently corroborated. Biological indicators should be treated as a monitoring lead requiring continued attention, not as a confirmed finding at comparable confidence to the nuclear assessments in the main body.</w:t>
            </w:r>
          </w:p>
        </w:tc>
      </w:tr>
    </w:tbl>
    <w:p>
      <w:pPr>
        <w:spacing w:after="160"/>
      </w:pPr>
      <w:r>
        <w:t xml:space="preserve"/>
      </w:r>
    </w:p>
    <w:p>
      <w:r>
        <w:br w:type="page"/>
      </w:r>
    </w:p>
    <w:p>
      <w:pPr>
        <w:shd w:fill="0D2137" w:val="clear"/>
        <w:spacing w:after="260" w:before="260"/>
        <w:jc w:val="center"/>
      </w:pPr>
      <w:r>
        <w:rPr>
          <w:rFonts w:ascii="Arial" w:cs="Arial" w:eastAsia="Arial" w:hAnsi="Arial"/>
          <w:b/>
          <w:bCs/>
          <w:color w:val="FFFFFF"/>
          <w:sz w:val="20"/>
          <w:szCs w:val="20"/>
        </w:rPr>
        <w:t xml:space="preserve">  ANNEX C: SOURCE HIERARCHY AND LIMITATIONS  </w:t>
      </w:r>
    </w:p>
    <w:p>
      <w:pPr>
        <w:spacing w:after="80"/>
      </w:pPr>
      <w:r>
        <w:t xml:space="preserve"/>
      </w:r>
    </w:p>
    <w:p>
      <w:pPr>
        <w:pStyle w:val="Heading1"/>
        <w:pBdr>
          <w:bottom w:val="thick" w:color="B8860B" w:sz="8" w:space="4"/>
        </w:pBdr>
        <w:spacing w:after="100" w:before="320"/>
      </w:pPr>
      <w:r>
        <w:rPr>
          <w:rFonts w:ascii="Arial" w:cs="Arial" w:eastAsia="Arial" w:hAnsi="Arial"/>
          <w:b/>
          <w:bCs/>
          <w:color w:val="0D2137"/>
          <w:sz w:val="30"/>
          <w:szCs w:val="30"/>
        </w:rPr>
        <w:t xml:space="preserve">Annex C: Source Hierarchy and Limitations</w:t>
      </w:r>
    </w:p>
    <w:p>
      <w:pPr>
        <w:spacing w:after="80"/>
      </w:pPr>
      <w:r>
        <w:t xml:space="preserve"/>
      </w:r>
    </w:p>
    <w:p>
      <w:pPr>
        <w:pStyle w:val="Heading2"/>
        <w:spacing w:after="80" w:before="220"/>
      </w:pPr>
      <w:r>
        <w:rPr>
          <w:rFonts w:ascii="Arial" w:cs="Arial" w:eastAsia="Arial" w:hAnsi="Arial"/>
          <w:b/>
          <w:bCs/>
          <w:color w:val="1F4E79"/>
          <w:sz w:val="24"/>
          <w:szCs w:val="24"/>
        </w:rPr>
        <w:t xml:space="preserve">C.1 Tier 1 Sources</w:t>
      </w:r>
    </w:p>
    <w:p>
      <w:pPr>
        <w:pStyle w:val="ListParagraph"/>
        <w:numPr>
          <w:ilvl w:val="0"/>
          <w:numId w:val="2"/>
        </w:numPr>
        <w:spacing w:after="80"/>
      </w:pPr>
      <w:r>
        <w:rPr>
          <w:rFonts w:ascii="Arial" w:cs="Arial" w:eastAsia="Arial" w:hAnsi="Arial"/>
          <w:sz w:val="20"/>
          <w:szCs w:val="20"/>
        </w:rPr>
        <w:t xml:space="preserve">International Atomic Energy Agency (IAEA) — Iran Safeguards Reports 2003–2025; NPT Safeguards Agreement reports; Director General statements; Board of Governors resolutions. Primary evidentiary basis for all facility status assessments.</w:t>
      </w:r>
    </w:p>
    <w:p>
      <w:pPr>
        <w:pStyle w:val="ListParagraph"/>
        <w:numPr>
          <w:ilvl w:val="0"/>
          <w:numId w:val="2"/>
        </w:numPr>
        <w:spacing w:after="80"/>
      </w:pPr>
      <w:r>
        <w:rPr>
          <w:rFonts w:ascii="Arial" w:cs="Arial" w:eastAsia="Arial" w:hAnsi="Arial"/>
          <w:sz w:val="20"/>
          <w:szCs w:val="20"/>
        </w:rPr>
        <w:t xml:space="preserve">Office of the Director of National Intelligence (ODNI) — Annual Threat Assessments 2024, 2025. Primary Tier 1 source for U.S. intelligence community analytic judgments in unclassified form.</w:t>
      </w:r>
    </w:p>
    <w:p>
      <w:pPr>
        <w:pStyle w:val="ListParagraph"/>
        <w:numPr>
          <w:ilvl w:val="0"/>
          <w:numId w:val="2"/>
        </w:numPr>
        <w:spacing w:after="80"/>
      </w:pPr>
      <w:r>
        <w:rPr>
          <w:rFonts w:ascii="Arial" w:cs="Arial" w:eastAsia="Arial" w:hAnsi="Arial"/>
          <w:sz w:val="20"/>
          <w:szCs w:val="20"/>
        </w:rPr>
        <w:t xml:space="preserve">Defense Intelligence Agency (DIA) — May 11, 2025 public assessment: 'probably less than one week' for HEU production. Critical Tier 1 source for breakout timeline analysis.</w:t>
      </w:r>
    </w:p>
    <w:p>
      <w:pPr>
        <w:pStyle w:val="ListParagraph"/>
        <w:numPr>
          <w:ilvl w:val="0"/>
          <w:numId w:val="2"/>
        </w:numPr>
        <w:spacing w:after="80"/>
      </w:pPr>
      <w:r>
        <w:rPr>
          <w:rFonts w:ascii="Arial" w:cs="Arial" w:eastAsia="Arial" w:hAnsi="Arial"/>
          <w:sz w:val="20"/>
          <w:szCs w:val="20"/>
        </w:rPr>
        <w:t xml:space="preserve">Congressional Research Service — 'Iran and Nuclear Weapons Production' (CRS IF12106, updated 2025); 'Status of Iran's Nuclear Program' series. Principal open-source compilation of U.S. government assessments.</w:t>
      </w:r>
    </w:p>
    <w:p>
      <w:pPr>
        <w:pStyle w:val="ListParagraph"/>
        <w:numPr>
          <w:ilvl w:val="0"/>
          <w:numId w:val="2"/>
        </w:numPr>
        <w:spacing w:after="80"/>
      </w:pPr>
      <w:r>
        <w:rPr>
          <w:rFonts w:ascii="Arial" w:cs="Arial" w:eastAsia="Arial" w:hAnsi="Arial"/>
          <w:sz w:val="20"/>
          <w:szCs w:val="20"/>
        </w:rPr>
        <w:t xml:space="preserve">U.S. Arms Control and Disarmament Agency / State Department — Historical proliferation assessments 1996–2010; sanctions documentation.</w:t>
      </w:r>
    </w:p>
    <w:p>
      <w:pPr>
        <w:spacing w:after="80"/>
      </w:pPr>
      <w:r>
        <w:t xml:space="preserve"/>
      </w:r>
    </w:p>
    <w:p>
      <w:pPr>
        <w:pStyle w:val="Heading2"/>
        <w:spacing w:after="80" w:before="220"/>
      </w:pPr>
      <w:r>
        <w:rPr>
          <w:rFonts w:ascii="Arial" w:cs="Arial" w:eastAsia="Arial" w:hAnsi="Arial"/>
          <w:b/>
          <w:bCs/>
          <w:color w:val="1F4E79"/>
          <w:sz w:val="24"/>
          <w:szCs w:val="24"/>
        </w:rPr>
        <w:t xml:space="preserve">C.2 Tier 2 Sources</w:t>
      </w:r>
    </w:p>
    <w:p>
      <w:pPr>
        <w:pStyle w:val="ListParagraph"/>
        <w:numPr>
          <w:ilvl w:val="0"/>
          <w:numId w:val="2"/>
        </w:numPr>
        <w:spacing w:after="80"/>
      </w:pPr>
      <w:r>
        <w:rPr>
          <w:rFonts w:ascii="Arial" w:cs="Arial" w:eastAsia="Arial" w:hAnsi="Arial"/>
          <w:sz w:val="20"/>
          <w:szCs w:val="20"/>
        </w:rPr>
        <w:t xml:space="preserve">Institute for Science and International Security (ISIS) — Albright et al., 'Comprehensive Updated Assessment of Iranian Nuclear Sites Five Months After the 12-Day War' (Nov. 2025); satellite imagery analysis series; enrichment physics calculations. Principal Tier 2 source for site status and technical analysis.</w:t>
      </w:r>
    </w:p>
    <w:p>
      <w:pPr>
        <w:pStyle w:val="ListParagraph"/>
        <w:numPr>
          <w:ilvl w:val="0"/>
          <w:numId w:val="2"/>
        </w:numPr>
        <w:spacing w:after="80"/>
      </w:pPr>
      <w:r>
        <w:rPr>
          <w:rFonts w:ascii="Arial" w:cs="Arial" w:eastAsia="Arial" w:hAnsi="Arial"/>
          <w:sz w:val="20"/>
          <w:szCs w:val="20"/>
        </w:rPr>
        <w:t xml:space="preserve">Center for Strategic and International Studies (CSIS) — 'CSIS Satellite Imagery Analysis Reveals Possible Signs of Renewed Nuclear Activity in Iran' (Nov. 2025); Nuclear Network assessments and Pickaxe Mountain reporting.</w:t>
      </w:r>
    </w:p>
    <w:p>
      <w:pPr>
        <w:pStyle w:val="ListParagraph"/>
        <w:numPr>
          <w:ilvl w:val="0"/>
          <w:numId w:val="2"/>
        </w:numPr>
        <w:spacing w:after="80"/>
      </w:pPr>
      <w:r>
        <w:rPr>
          <w:rFonts w:ascii="Arial" w:cs="Arial" w:eastAsia="Arial" w:hAnsi="Arial"/>
          <w:sz w:val="20"/>
          <w:szCs w:val="20"/>
        </w:rPr>
        <w:t xml:space="preserve">Arms Control Association — 'Iran's Nuclear Program After the Strikes' (July 2025); 'Status of Iran's Nuclear Program' fact sheets. Reliable secondary synthesis of Tier 1 assessments.</w:t>
      </w:r>
    </w:p>
    <w:p>
      <w:pPr>
        <w:pStyle w:val="ListParagraph"/>
        <w:numPr>
          <w:ilvl w:val="0"/>
          <w:numId w:val="2"/>
        </w:numPr>
        <w:spacing w:after="80"/>
      </w:pPr>
      <w:r>
        <w:rPr>
          <w:rFonts w:ascii="Arial" w:cs="Arial" w:eastAsia="Arial" w:hAnsi="Arial"/>
          <w:sz w:val="20"/>
          <w:szCs w:val="20"/>
        </w:rPr>
        <w:t xml:space="preserve">NTI (Nuclear Threat Initiative) — Iran country profile; nuclear threat assessments.</w:t>
      </w:r>
    </w:p>
    <w:p>
      <w:pPr>
        <w:pStyle w:val="ListParagraph"/>
        <w:numPr>
          <w:ilvl w:val="0"/>
          <w:numId w:val="2"/>
        </w:numPr>
        <w:spacing w:after="80"/>
      </w:pPr>
      <w:r>
        <w:rPr>
          <w:rFonts w:ascii="Arial" w:cs="Arial" w:eastAsia="Arial" w:hAnsi="Arial"/>
          <w:sz w:val="20"/>
          <w:szCs w:val="20"/>
        </w:rPr>
        <w:t xml:space="preserve">Iran Watch (Wisconsin Project on Nuclear Arms Control) — Procurement and sanctions documentation; scientific personnel records.</w:t>
      </w:r>
    </w:p>
    <w:p>
      <w:pPr>
        <w:pStyle w:val="ListParagraph"/>
        <w:numPr>
          <w:ilvl w:val="0"/>
          <w:numId w:val="2"/>
        </w:numPr>
        <w:spacing w:after="80"/>
      </w:pPr>
      <w:r>
        <w:rPr>
          <w:rFonts w:ascii="Arial" w:cs="Arial" w:eastAsia="Arial" w:hAnsi="Arial"/>
          <w:sz w:val="20"/>
          <w:szCs w:val="20"/>
        </w:rPr>
        <w:t xml:space="preserve">UANI (United Against Nuclear Iran) — Sanctions and procurement monitoring. Used for cross-reference; treated as Tier 2 with awareness of advocacy mandate.</w:t>
      </w:r>
    </w:p>
    <w:p>
      <w:pPr>
        <w:pStyle w:val="ListParagraph"/>
        <w:numPr>
          <w:ilvl w:val="0"/>
          <w:numId w:val="2"/>
        </w:numPr>
        <w:spacing w:after="80"/>
      </w:pPr>
      <w:r>
        <w:rPr>
          <w:rFonts w:ascii="Arial" w:cs="Arial" w:eastAsia="Arial" w:hAnsi="Arial"/>
          <w:sz w:val="20"/>
          <w:szCs w:val="20"/>
        </w:rPr>
        <w:t xml:space="preserve">PBS Frontline / Washington Post — Investigative reporting on Pickaxe Mountain using commercial satellite imagery and named sources. Treated as Tier 2 where named-source satellite analysis is the basis.</w:t>
      </w:r>
    </w:p>
    <w:p>
      <w:pPr>
        <w:spacing w:after="80"/>
      </w:pPr>
      <w:r>
        <w:t xml:space="preserve"/>
      </w:r>
    </w:p>
    <w:p>
      <w:pPr>
        <w:pStyle w:val="Heading2"/>
        <w:spacing w:after="80" w:before="220"/>
      </w:pPr>
      <w:r>
        <w:rPr>
          <w:rFonts w:ascii="Arial" w:cs="Arial" w:eastAsia="Arial" w:hAnsi="Arial"/>
          <w:b/>
          <w:bCs/>
          <w:color w:val="1F4E79"/>
          <w:sz w:val="24"/>
          <w:szCs w:val="24"/>
        </w:rPr>
        <w:t xml:space="preserve">C.3 Tier 3 Sources — Used for Monitoring Leads Only</w:t>
      </w:r>
    </w:p>
    <w:p>
      <w:pPr>
        <w:pStyle w:val="ListParagraph"/>
        <w:numPr>
          <w:ilvl w:val="0"/>
          <w:numId w:val="2"/>
        </w:numPr>
        <w:spacing w:after="80"/>
      </w:pPr>
      <w:r>
        <w:rPr>
          <w:rFonts w:ascii="Arial" w:cs="Arial" w:eastAsia="Arial" w:hAnsi="Arial"/>
          <w:sz w:val="20"/>
          <w:szCs w:val="20"/>
        </w:rPr>
        <w:t xml:space="preserve">National Council of Resistance of Iran (NCRI) — Kavir Plan allegations, June 2025. Credible track record on specific facility disclosures (Natanz 2002, Fordow 2009); also history of unreliable or politically motivated reporting. Used as Tier 3 monitoring lead only; not cited as evidentiary basis for any Key Judgment.</w:t>
      </w:r>
    </w:p>
    <w:p>
      <w:pPr>
        <w:pStyle w:val="ListParagraph"/>
        <w:numPr>
          <w:ilvl w:val="0"/>
          <w:numId w:val="2"/>
        </w:numPr>
        <w:spacing w:after="80"/>
      </w:pPr>
      <w:r>
        <w:rPr>
          <w:rFonts w:ascii="Arial" w:cs="Arial" w:eastAsia="Arial" w:hAnsi="Arial"/>
          <w:sz w:val="20"/>
          <w:szCs w:val="20"/>
        </w:rPr>
        <w:t xml:space="preserve">Iran International — IRGC BW/CW warhead integration report, January 2026. Anonymous military sources; single outlet; not independently corroborated. Cited in Annex B with appropriate caveat.</w:t>
      </w:r>
    </w:p>
    <w:p>
      <w:pPr>
        <w:pStyle w:val="ListParagraph"/>
        <w:numPr>
          <w:ilvl w:val="0"/>
          <w:numId w:val="2"/>
        </w:numPr>
        <w:spacing w:after="80"/>
      </w:pPr>
      <w:r>
        <w:rPr>
          <w:rFonts w:ascii="Arial" w:cs="Arial" w:eastAsia="Arial" w:hAnsi="Arial"/>
          <w:sz w:val="20"/>
          <w:szCs w:val="20"/>
        </w:rPr>
        <w:t xml:space="preserve">American Biodefense Action Coalition (ABAC) — Anthrax Material Threat Determination background. Advocacy organization; used for contextual background only.</w:t>
      </w:r>
    </w:p>
    <w:p>
      <w:pPr>
        <w:spacing w:after="80"/>
      </w:pPr>
      <w:r>
        <w:t xml:space="preserve"/>
      </w:r>
    </w:p>
    <w:p>
      <w:pPr>
        <w:pStyle w:val="Heading2"/>
        <w:spacing w:after="80" w:before="220"/>
      </w:pPr>
      <w:r>
        <w:rPr>
          <w:rFonts w:ascii="Arial" w:cs="Arial" w:eastAsia="Arial" w:hAnsi="Arial"/>
          <w:b/>
          <w:bCs/>
          <w:color w:val="1F4E79"/>
          <w:sz w:val="24"/>
          <w:szCs w:val="24"/>
        </w:rPr>
        <w:t xml:space="preserve">C.4 Source Limitations</w:t>
      </w:r>
    </w:p>
    <w:p>
      <w:pPr>
        <w:pStyle w:val="ListParagraph"/>
        <w:numPr>
          <w:ilvl w:val="0"/>
          <w:numId w:val="2"/>
        </w:numPr>
        <w:spacing w:after="80"/>
      </w:pPr>
      <w:r>
        <w:rPr>
          <w:rFonts w:ascii="Arial" w:cs="Arial" w:eastAsia="Arial" w:hAnsi="Arial"/>
          <w:sz w:val="20"/>
          <w:szCs w:val="20"/>
        </w:rPr>
        <w:t xml:space="preserve">No classified information is included. This assessment cannot replicate the evidentiary basis of classified products.</w:t>
      </w:r>
    </w:p>
    <w:p>
      <w:pPr>
        <w:pStyle w:val="ListParagraph"/>
        <w:numPr>
          <w:ilvl w:val="0"/>
          <w:numId w:val="2"/>
        </w:numPr>
        <w:spacing w:after="80"/>
      </w:pPr>
      <w:r>
        <w:rPr>
          <w:rFonts w:ascii="Arial" w:cs="Arial" w:eastAsia="Arial" w:hAnsi="Arial"/>
          <w:sz w:val="20"/>
          <w:szCs w:val="20"/>
        </w:rPr>
        <w:t xml:space="preserve">Human intelligence (HUMINT) is not available in the open-source domain. The most consequential intelligence on Iran's nuclear program — covert site locations, decision-making, material movements — is typically HUMINT-derived and not available here.</w:t>
      </w:r>
    </w:p>
    <w:p>
      <w:pPr>
        <w:pStyle w:val="ListParagraph"/>
        <w:numPr>
          <w:ilvl w:val="0"/>
          <w:numId w:val="2"/>
        </w:numPr>
        <w:spacing w:after="80"/>
      </w:pPr>
      <w:r>
        <w:rPr>
          <w:rFonts w:ascii="Arial" w:cs="Arial" w:eastAsia="Arial" w:hAnsi="Arial"/>
          <w:sz w:val="20"/>
          <w:szCs w:val="20"/>
        </w:rPr>
        <w:t xml:space="preserve">HUMINT penetration of Iranian nuclear networks was already degraded before the June 2025 strikes; Iran executed over 700 suspected intelligence sources following the strikes, per open-source reporting. This further reduces the pipeline for future open-source HUMINT-derived indicators.</w:t>
      </w:r>
    </w:p>
    <w:p>
      <w:pPr>
        <w:pStyle w:val="ListParagraph"/>
        <w:numPr>
          <w:ilvl w:val="0"/>
          <w:numId w:val="2"/>
        </w:numPr>
        <w:spacing w:after="80"/>
      </w:pPr>
      <w:r>
        <w:rPr>
          <w:rFonts w:ascii="Arial" w:cs="Arial" w:eastAsia="Arial" w:hAnsi="Arial"/>
          <w:sz w:val="20"/>
          <w:szCs w:val="20"/>
        </w:rPr>
        <w:t xml:space="preserve">Commercial satellite imagery provides observable indicators of surface and near-surface construction but cannot assess underground configuration, equipment inventory, or operational status.</w:t>
      </w:r>
    </w:p>
    <w:p>
      <w:pPr>
        <w:pStyle w:val="ListParagraph"/>
        <w:numPr>
          <w:ilvl w:val="0"/>
          <w:numId w:val="2"/>
        </w:numPr>
        <w:spacing w:after="80"/>
      </w:pPr>
      <w:r>
        <w:rPr>
          <w:rFonts w:ascii="Arial" w:cs="Arial" w:eastAsia="Arial" w:hAnsi="Arial"/>
          <w:sz w:val="20"/>
          <w:szCs w:val="20"/>
        </w:rPr>
        <w:t xml:space="preserve">The NCRI, while historically accurate on specific disclosures, has institutional incentives that could motivate strategic reporting timing. NCRI-sourced claims require independent corroboration before elevation from Tier 3.</w:t>
      </w:r>
    </w:p>
    <w:p>
      <w:pPr>
        <w:spacing w:after="80"/>
      </w:pPr>
      <w:r>
        <w:t xml:space="preserve"/>
      </w:r>
    </w:p>
    <w:p>
      <w:pPr>
        <w:spacing w:before="240"/>
        <w:jc w:val="center"/>
      </w:pPr>
      <w:r>
        <w:rPr>
          <w:rFonts w:ascii="Arial" w:cs="Arial" w:eastAsia="Arial" w:hAnsi="Arial"/>
          <w:b/>
          <w:bCs/>
          <w:color w:val="B8860B"/>
          <w:sz w:val="20"/>
          <w:szCs w:val="20"/>
        </w:rPr>
        <w:t xml:space="preserve">— END OF DOCUMENT —</w:t>
      </w:r>
    </w:p>
    <w:p>
      <w:pPr>
        <w:jc w:val="center"/>
      </w:pPr>
      <w:r>
        <w:rPr>
          <w:rFonts w:ascii="Arial" w:cs="Arial" w:eastAsia="Arial" w:hAnsi="Arial"/>
          <w:b/>
          <w:bCs/>
          <w:color w:val="8B0000"/>
          <w:sz w:val="16"/>
          <w:szCs w:val="16"/>
        </w:rPr>
        <w:t xml:space="preserve">UNCLASSIFIED // OPEN SOURCE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pBdr>
      <w:spacing w:before="120"/>
    </w:pPr>
    <w:r>
      <w:rPr>
        <w:rFonts w:ascii="Arial" w:cs="Arial" w:eastAsia="Arial" w:hAnsi="Arial"/>
        <w:color w:val="0D2137"/>
        <w:sz w:val="16"/>
        <w:szCs w:val="16"/>
      </w:rPr>
      <w:t xml:space="preserve">UNCLASSIFIED — OPEN SOURCE | Page </w:t>
    </w:r>
    <w:r>
      <w:rPr>
        <w:rFonts w:ascii="Arial" w:cs="Arial" w:eastAsia="Arial" w:hAnsi="Arial"/>
        <w:color w:val="0D213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pBdr>
      <w:tabs>
        <w:tab w:val="right" w:pos="9026"/>
      </w:tabs>
      <w:spacing w:after="120"/>
    </w:pPr>
    <w:r>
      <w:rPr>
        <w:rFonts w:ascii="Arial" w:cs="Arial" w:eastAsia="Arial" w:hAnsi="Arial"/>
        <w:b/>
        <w:bCs/>
        <w:color w:val="8B0000"/>
        <w:sz w:val="16"/>
        <w:szCs w:val="16"/>
      </w:rPr>
      <w:t xml:space="preserve">UNCLASSIFIED // OPEN SOURCE ANALYSIS</w:t>
    </w:r>
    <w:r>
      <w:rPr>
        <w:rFonts w:ascii="Arial" w:cs="Arial" w:eastAsia="Arial" w:hAnsi="Arial"/>
        <w:color w:val="0D2137"/>
        <w:sz w:val="16"/>
        <w:szCs w:val="16"/>
      </w:rPr>
      <w:t xml:space="preserve">		IRAN POST-STRIKE NUCLEAR ASSESSMENT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2026-03-10T12:36:19.907Z</dcterms:created>
  <dcterms:modified xsi:type="dcterms:W3CDTF">2026-03-10T12:36:19.908Z</dcterms:modified>
</cp:coreProperties>
</file>

<file path=docProps/custom.xml><?xml version="1.0" encoding="utf-8"?>
<Properties xmlns="http://schemas.openxmlformats.org/officeDocument/2006/custom-properties" xmlns:vt="http://schemas.openxmlformats.org/officeDocument/2006/docPropsVTypes"/>
</file>