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jc w:val="center"/>
      </w:pPr>
      <w:r>
        <w:rPr>
          <w:rFonts w:ascii="Arial" w:cs="Arial" w:eastAsia="Arial" w:hAnsi="Arial"/>
          <w:b/>
          <w:bCs/>
          <w:color w:val="FFFFFF"/>
          <w:sz w:val="20"/>
          <w:szCs w:val="20"/>
        </w:rPr>
        <w:t xml:space="preserve">UNCLASSIFIED // FOR ANALYTICAL PURPOSES ONLY</w:t>
      </w:r>
    </w:p>
    <w:p>
      <w:pPr>
        <w:spacing w:after="50" w:before="0"/>
      </w:pPr>
      <w:r>
        <w:rPr>
          <w:sz w:val="22"/>
          <w:szCs w:val="22"/>
        </w:rPr>
        <w:t xml:space="preserve"/>
      </w:r>
    </w:p>
    <w:p>
      <w:pPr>
        <w:spacing w:after="40" w:before="160"/>
        <w:jc w:val="center"/>
      </w:pPr>
      <w:r>
        <w:rPr>
          <w:rFonts w:ascii="Arial" w:cs="Arial" w:eastAsia="Arial" w:hAnsi="Arial"/>
          <w:b/>
          <w:bCs/>
          <w:caps/>
          <w:color w:val="2E5090"/>
          <w:sz w:val="14"/>
          <w:szCs w:val="14"/>
        </w:rPr>
        <w:t xml:space="preserve">DECISION-SUPPORT ANNEX</w:t>
      </w:r>
    </w:p>
    <w:p>
      <w:pPr>
        <w:spacing w:after="60" w:before="0"/>
        <w:jc w:val="center"/>
      </w:pPr>
      <w:r>
        <w:rPr>
          <w:rFonts w:ascii="Arial" w:cs="Arial" w:eastAsia="Arial" w:hAnsi="Arial"/>
          <w:b/>
          <w:bCs/>
          <w:color w:val="1B2A4A"/>
          <w:sz w:val="36"/>
          <w:szCs w:val="36"/>
        </w:rPr>
        <w:t xml:space="preserve">Confidence Thresholds, Intelligence Gaps,</w:t>
      </w:r>
    </w:p>
    <w:p>
      <w:pPr>
        <w:spacing w:after="60" w:before="0"/>
        <w:jc w:val="center"/>
      </w:pPr>
      <w:r>
        <w:rPr>
          <w:rFonts w:ascii="Arial" w:cs="Arial" w:eastAsia="Arial" w:hAnsi="Arial"/>
          <w:b/>
          <w:bCs/>
          <w:color w:val="1B2A4A"/>
          <w:sz w:val="36"/>
          <w:szCs w:val="36"/>
        </w:rPr>
        <w:t xml:space="preserve">and Escalation Risk</w:t>
      </w:r>
    </w:p>
    <w:p>
      <w:pPr>
        <w:spacing w:after="40" w:before="0"/>
        <w:jc w:val="center"/>
      </w:pPr>
      <w:r>
        <w:rPr>
          <w:rFonts w:ascii="Arial" w:cs="Arial" w:eastAsia="Arial" w:hAnsi="Arial"/>
          <w:i/>
          <w:iCs/>
          <w:color w:val="2E5090"/>
          <w:sz w:val="22"/>
          <w:szCs w:val="22"/>
        </w:rPr>
        <w:t xml:space="preserve">Annex to: Standoff ISR Technology and Legal Authorities (March 2026)</w:t>
      </w:r>
    </w:p>
    <w:p>
      <w:pPr>
        <w:spacing w:after="160" w:before="0"/>
        <w:jc w:val="center"/>
      </w:pPr>
      <w:r>
        <w:rPr>
          <w:rFonts w:ascii="Arial" w:cs="Arial" w:eastAsia="Arial" w:hAnsi="Arial"/>
          <w:color w:val="888888"/>
          <w:sz w:val="20"/>
          <w:szCs w:val="20"/>
        </w:rPr>
        <w:t xml:space="preserve">Audience: Senior Analytical, Legal, and Policy Review Personnel</w:t>
      </w:r>
    </w:p>
    <w:p>
      <w:pPr>
        <w:pBdr>
          <w:bottom w:val="single" w:color="CCCCCC" w:sz="2" w:space="1"/>
        </w:pBdr>
        <w:spacing w:after="160"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F" w:val="clear"/>
            <w:tcMar>
              <w:top w:type="dxa" w:w="120"/>
              <w:left w:type="dxa" w:w="180"/>
              <w:bottom w:type="dxa" w:w="120"/>
              <w:right w:type="dxa" w:w="180"/>
            </w:tcMar>
          </w:tcPr>
          <w:p>
            <w:pPr>
              <w:spacing w:after="60" w:before="0"/>
            </w:pPr>
            <w:r>
              <w:rPr>
                <w:rFonts w:ascii="Arial" w:cs="Arial" w:eastAsia="Arial" w:hAnsi="Arial"/>
                <w:b/>
                <w:bCs/>
                <w:color w:val="2E5090"/>
                <w:sz w:val="22"/>
                <w:szCs w:val="22"/>
              </w:rPr>
              <w:t xml:space="preserve">PURPOSE</w:t>
            </w:r>
          </w:p>
          <w:p>
            <w:pPr>
              <w:spacing w:after="0" w:before="0"/>
            </w:pPr>
            <w:r>
              <w:rPr>
                <w:rFonts w:ascii="Arial" w:cs="Arial" w:eastAsia="Arial" w:hAnsi="Arial"/>
                <w:color w:val="1A1A1A"/>
                <w:sz w:val="21"/>
                <w:szCs w:val="21"/>
              </w:rPr>
              <w:t xml:space="preserve">This annex applies the confidence definitions, alternative-hypothesis discipline, staleness framework, and legal-policy distinctions established in the parent briefing. It provides a decision-support structure for assessing confidence thresholds, unresolved intelligence gaps, legal-policy sufficiency, and escalation risk. It does not introduce new substantive authorities or recommend specific courses of action.</w:t>
            </w:r>
          </w:p>
        </w:tc>
      </w:tr>
    </w:tbl>
    <w:p>
      <w:pPr>
        <w:spacing w:after="100" w:before="0"/>
      </w:pPr>
      <w:r>
        <w:rPr>
          <w:sz w:val="22"/>
          <w:szCs w:val="22"/>
        </w:rPr>
        <w:t xml:space="preserve"/>
      </w:r>
    </w:p>
    <w:p>
      <w:pPr>
        <w:pStyle w:val="Heading1"/>
        <w:pBdr>
          <w:bottom w:val="single" w:color="2E5090" w:sz="6" w:space="4"/>
        </w:pBdr>
        <w:spacing w:after="160" w:before="360"/>
      </w:pPr>
      <w:r>
        <w:rPr>
          <w:rFonts w:ascii="Arial" w:cs="Arial" w:eastAsia="Arial" w:hAnsi="Arial"/>
          <w:b/>
          <w:bCs/>
          <w:color w:val="2E5090"/>
          <w:sz w:val="28"/>
          <w:szCs w:val="28"/>
        </w:rPr>
        <w:t xml:space="preserve">TIER 1 — ANALYTICAL AND LEGAL REVIEW</w:t>
      </w:r>
    </w:p>
    <w:p>
      <w:pPr>
        <w:spacing w:after="5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1.1  Collection Prioritization and Analytic Sequencing</w:t>
      </w:r>
    </w:p>
    <w:p>
      <w:pPr>
        <w:spacing w:after="80" w:before="80" w:line="276"/>
      </w:pPr>
      <w:r>
        <w:rPr>
          <w:rFonts w:ascii="Arial" w:cs="Arial" w:eastAsia="Arial" w:hAnsi="Arial"/>
          <w:color w:val="1A1A1A"/>
          <w:sz w:val="22"/>
          <w:szCs w:val="22"/>
        </w:rPr>
        <w:t xml:space="preserve">Confidence assessments of sufficient quality to support high-consequence decisions require disciplined sequencing of collection. The correct sequence is determined by the durability of each assessment, the sovereignty exposure of the collection method, and the degree to which early-phase results constrain or expand the analytic picture. The following guidance reflects those considerations, not operational tasking authority.</w:t>
      </w:r>
    </w:p>
    <w:p>
      <w:pPr>
        <w:spacing w:after="50" w:before="0"/>
      </w:pPr>
      <w:r>
        <w:rPr>
          <w:sz w:val="22"/>
          <w:szCs w:val="22"/>
        </w:rPr>
        <w:t xml:space="preserve"/>
      </w:r>
    </w:p>
    <w:p>
      <w:pPr>
        <w:spacing w:after="80" w:before="200"/>
      </w:pPr>
      <w:r>
        <w:rPr>
          <w:rFonts w:ascii="Arial" w:cs="Arial" w:eastAsia="Arial" w:hAnsi="Arial"/>
          <w:b/>
          <w:bCs/>
          <w:i/>
          <w:iCs/>
          <w:color w:val="2E5090"/>
          <w:sz w:val="22"/>
          <w:szCs w:val="22"/>
        </w:rPr>
        <w:t xml:space="preserve">Phase 1 — Facility Characterization (Analytic Priority: Initial)</w:t>
      </w:r>
    </w:p>
    <w:p>
      <w:pPr>
        <w:spacing w:after="80" w:before="80" w:line="276"/>
      </w:pPr>
      <w:r>
        <w:rPr>
          <w:rFonts w:ascii="Arial" w:cs="Arial" w:eastAsia="Arial" w:hAnsi="Arial"/>
          <w:color w:val="1A1A1A"/>
          <w:sz w:val="22"/>
          <w:szCs w:val="22"/>
        </w:rPr>
        <w:t xml:space="preserve">Facility characterization through passive standoff sensors produces durable assessments without penetration of sovereign territory or airspace. A valid facility assessment remains analytically current for weeks to months and does not need to be rebuilt if individual attribution work is delayed or inconclusive.</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Modality</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Analytic Sequencing Rationale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Distributed acoustic sensing</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first. Passive collection, no sovereignty exposure, establishes centrifuge activity baseline over two to four weeks. Determines whether the analytic picture justifies committing additional collection resources.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Hyperspectral plume analysis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in parallel with acoustic. Multi-date collection across three or more passes required for reliable UF6 signature characterization. Weather-dependent; collection windows should be planned around favorable atmospheric conditions.</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Thermal mass analysis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concurrently over a thirty to sixty day window. Requires persistence to establish thermal inertia baseline. Single-event thermal data should not be treated as corroborating.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Seismic 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Persistent background layer. Low resource requirement. Useful for underground facility confirmation and operational tempo tracking. Not analytically sufficient as a standalone indicator.</w:t>
            </w:r>
          </w:p>
        </w:tc>
      </w:tr>
    </w:tbl>
    <w:p>
      <w:pPr>
        <w:spacing w:after="100" w:before="0"/>
      </w:pPr>
      <w:r>
        <w:rPr>
          <w:sz w:val="22"/>
          <w:szCs w:val="22"/>
        </w:rPr>
        <w:t xml:space="preserve"/>
      </w:r>
    </w:p>
    <w:p>
      <w:pPr>
        <w:spacing w:after="80" w:before="200"/>
      </w:pPr>
      <w:r>
        <w:rPr>
          <w:rFonts w:ascii="Arial" w:cs="Arial" w:eastAsia="Arial" w:hAnsi="Arial"/>
          <w:b/>
          <w:bCs/>
          <w:i/>
          <w:iCs/>
          <w:color w:val="2E5090"/>
          <w:sz w:val="22"/>
          <w:szCs w:val="22"/>
        </w:rPr>
        <w:t xml:space="preserve">Phase 2 — Individual Attribution (Analytic Priority: After Facility Threshold Met)</w:t>
      </w:r>
    </w:p>
    <w:p>
      <w:pPr>
        <w:spacing w:after="80" w:before="80" w:line="276"/>
      </w:pPr>
      <w:r>
        <w:rPr>
          <w:rFonts w:ascii="Arial" w:cs="Arial" w:eastAsia="Arial" w:hAnsi="Arial"/>
          <w:color w:val="1A1A1A"/>
          <w:sz w:val="22"/>
          <w:szCs w:val="22"/>
        </w:rPr>
        <w:t xml:space="preserve">Individual attribution collection should not be initiated until facility characterization has reached at least MODERATE CONFIDENCE. Advancing to individual attribution before facility confidence is established may misallocate collection resources and risks alerting the target environment to collection activity.</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Modality</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Analytic Sequencing Rationale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Shadow ISR / pattern of life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first. Lowest sovereignty exposure. Establishes access baseline and identifies candidate individuals before biometric collection is attempted. A minimum four-week observation window is required before drawing analytic conclusions.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Gait analysis (IR imagery)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after shadow ISR identifies a primary candidate. Requires reference material from a prior documented collection event. Treat output as corroborating, not confirmatory. Do not task without a reference baseline.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eDNA collection</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after a stable access point is identified through shadow ISR. Requires a fixed or semi-fixed intake at a location the candidate transits reliably. Results are conditional rather than confirmatory given contamination and recovery constraints.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LDV cardiac signature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Initiate last and only after other layers have reached MODERATE CONFIDENCE. Treat as a weak supplementary physiologic indicator. LDV output should not materially drive the confidence rating given current operational immaturity of the modality.</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Voice / acoustic collection</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Supporting layer only. Pursue if a confirmed collection opportunity exists without displacing higher-priority collection. Do not allocate primary collection resources to voice while shadow ISR and gait corroboration are incomplete.</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spacing w:after="60" w:before="0"/>
            </w:pPr>
            <w:r>
              <w:rPr>
                <w:rFonts w:ascii="Arial" w:cs="Arial" w:eastAsia="Arial" w:hAnsi="Arial"/>
                <w:b/>
                <w:bCs/>
                <w:color w:val="8B6914"/>
                <w:sz w:val="22"/>
                <w:szCs w:val="22"/>
              </w:rPr>
              <w:t xml:space="preserve">SEQUENCING ANALYTIC NOTE</w:t>
            </w:r>
          </w:p>
          <w:p>
            <w:pPr>
              <w:spacing w:after="0" w:before="0"/>
            </w:pPr>
            <w:r>
              <w:rPr>
                <w:rFonts w:ascii="Arial" w:cs="Arial" w:eastAsia="Arial" w:hAnsi="Arial"/>
                <w:color w:val="1A1A1A"/>
                <w:sz w:val="21"/>
                <w:szCs w:val="21"/>
              </w:rPr>
              <w:t xml:space="preserve">If facility characterization has not reached MODERATE CONFIDENCE (65%+) following Phase 1 collection, individual attribution collection should not be initiated. The analytic package should be reassessed, alternative hypotheses including deliberate deception should be considered, and a determination made as to whether additional facility collection would close the gap or whether the target set assessment requires revision.</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1.2  Confidence Threshold Matrix — Decision Support</w:t>
      </w:r>
    </w:p>
    <w:p>
      <w:pPr>
        <w:spacing w:after="80" w:before="80" w:line="276"/>
      </w:pPr>
      <w:r>
        <w:rPr>
          <w:rFonts w:ascii="Arial" w:cs="Arial" w:eastAsia="Arial" w:hAnsi="Arial"/>
          <w:color w:val="1A1A1A"/>
          <w:sz w:val="22"/>
          <w:szCs w:val="22"/>
        </w:rPr>
        <w:t xml:space="preserve">The following matrix maps confidence levels to decision categories. These thresholds reflect the legal and analytic standards discussed in the parent briefing. They are not directive — legal review and decision authority retain discretion — but they represent the analytic floor below which a decision of the corresponding type would typically require explicit senior review with documented acceptance of elevated uncertainty.</w:t>
      </w:r>
    </w:p>
    <w:p>
      <w:pPr>
        <w:spacing w:after="50" w:before="0"/>
      </w:pPr>
      <w:r>
        <w:rPr>
          <w:sz w:val="22"/>
          <w:szCs w:val="22"/>
        </w:rPr>
        <w:t xml:space="preserve"/>
      </w:r>
    </w:p>
    <w:p>
      <w:pPr>
        <w:spacing w:after="80" w:before="200"/>
      </w:pPr>
      <w:r>
        <w:rPr>
          <w:rFonts w:ascii="Arial" w:cs="Arial" w:eastAsia="Arial" w:hAnsi="Arial"/>
          <w:b/>
          <w:bCs/>
          <w:i/>
          <w:iCs/>
          <w:color w:val="2E5090"/>
          <w:sz w:val="22"/>
          <w:szCs w:val="22"/>
        </w:rPr>
        <w:t xml:space="preserve">Facility Targets</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Action Type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Minimum Confidence Required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Analytic Sufficiency Assessment</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Sanctions designation (facility)</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MODERATE — Facility function (65%+) with two independent collection lines</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at this threshold, subject to legal review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IAEA referral / diplomatic demarche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LOW-MODERATE — Facility function (50%+) with one strong collection line and supporting indicators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 multilateral pathway carries a lower analytic threshold than unilateral action</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Interdiction of facility-linked supply chain</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MODERATE-HIGH — Facility function (75%+) with three collection lines including hyperspectral</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subject to legal review and alliance coordination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High-consequence standoff action — facility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HIGH — Facility function (85%+) with three independent collection lines, no unresolved alternative hypotheses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subject to executive authority and legal finding</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High-consequence action requiring direct confirmation — facility</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HIGH — Same as above plus independent confirmation from a second collection architecture</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insufficient below HIGH on all elements — direct confirmation requirement reflects irreversibility of the decision</w:t>
            </w:r>
          </w:p>
        </w:tc>
      </w:tr>
    </w:tbl>
    <w:p>
      <w:pPr>
        <w:spacing w:after="100" w:before="0"/>
      </w:pPr>
      <w:r>
        <w:rPr>
          <w:sz w:val="22"/>
          <w:szCs w:val="22"/>
        </w:rPr>
        <w:t xml:space="preserve"/>
      </w:r>
    </w:p>
    <w:p>
      <w:pPr>
        <w:spacing w:after="80" w:before="200"/>
      </w:pPr>
      <w:r>
        <w:rPr>
          <w:rFonts w:ascii="Arial" w:cs="Arial" w:eastAsia="Arial" w:hAnsi="Arial"/>
          <w:b/>
          <w:bCs/>
          <w:i/>
          <w:iCs/>
          <w:color w:val="2E5090"/>
          <w:sz w:val="22"/>
          <w:szCs w:val="22"/>
        </w:rPr>
        <w:t xml:space="preserve">Individual Targets</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Action Type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Minimum Confidence Required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Analytic Sufficiency Assessment</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Sanctions designation (individual)</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MODERATE — Identity (65%+) and role association (55%+)</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at this threshold, subject to legal review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Travel ban / financial interdiction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MODERATE — Identity (65%+)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 lower consequence, lower analytic threshold justified</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Capture or rendition</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MODERATE-HIGH — Identity (75%+), role (65%+), location current within 72 hours</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supportable subject to legal finding, country team coordination, and current presence confirmation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High-consequence standoff action — individual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HIGH — Identity (85%+), role (75%+), location current within 24 hours, three independent collection lines, direct confirmation or equivalent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Analytically insufficient below HIGH on all three elements</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High-consequence action requiring direct confirmation — individual</w:t>
            </w:r>
          </w:p>
        </w:tc>
        <w:tc>
          <w:tcPr>
            <w:tcW w:type="dxa" w:w="3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9"/>
                <w:szCs w:val="19"/>
              </w:rPr>
              <w:t xml:space="preserve">HIGH — Identity (85%+) confirmed through an independent confirmation step at the point of decision, role (75%+), location current at time of action</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Analytically insufficient below HIGH — direct confirmation at the point of decision is a required analytic element, not an optional enhancement</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DOCUMENTED EXCEPTION AND RISK-ACCEPTANCE PROCEDURE</w:t>
            </w:r>
          </w:p>
          <w:p>
            <w:pPr>
              <w:spacing w:after="0" w:before="0"/>
            </w:pPr>
            <w:r>
              <w:rPr>
                <w:rFonts w:ascii="Arial" w:cs="Arial" w:eastAsia="Arial" w:hAnsi="Arial"/>
                <w:color w:val="1A1A1A"/>
                <w:sz w:val="21"/>
                <w:szCs w:val="21"/>
              </w:rPr>
              <w:t xml:space="preserve">Any action taken below the minimum analytic threshold for its category requires: (1) written documentation of the specific alternative hypotheses considered and the rationale for judging them insufficient to preclude action; (2) explicit senior review one level above normal decision authority; (3) a post-event review requirement incorporated into the authorization record. This procedure is an accountability mechanism, not a prohibition on action under uncertainty.</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1.3  Intelligence Gap Assessment</w:t>
      </w:r>
    </w:p>
    <w:p>
      <w:pPr>
        <w:spacing w:after="80" w:before="80" w:line="276"/>
      </w:pPr>
      <w:r>
        <w:rPr>
          <w:rFonts w:ascii="Arial" w:cs="Arial" w:eastAsia="Arial" w:hAnsi="Arial"/>
          <w:color w:val="1A1A1A"/>
          <w:sz w:val="22"/>
          <w:szCs w:val="22"/>
        </w:rPr>
        <w:t xml:space="preserve">The following table maps what the current standoff collection architecture cannot answer, identifies the specific gap, and specifies what additional collection would be required to close it. Gaps that cannot be closed through standoff collection require additional independent confirmation from a separate collection architecture before high-consequence decisions can be analytically supported.</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Gap</w:t>
            </w:r>
          </w:p>
        </w:tc>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Why Current Architecture Cannot Close It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Required Additional Collection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Closeable via Standoff?</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Direct confirmation of individual presence at time of decision</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Presence assessments based on pattern-of-life decay within hours. No standoff sensor produces real-time presence confirmation at the fidelity required for irreversible decisions.</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Direct confirmation at the point of decision through an independent collection architecture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NO — requires additional independent confirmation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Role attribution beyond access pattern inference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Standoff collection can indicate physical access. It cannot establish decision-making authority, organizational position, or command relationship.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SIGINT linking individual to program decisions, or a source with direct knowledge of organizational structure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PARTIAL — SIGINT may close if available; otherwise requires separate architecture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Exclusion of deliberate deception operation</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A sophisticated program can manage signatures across all standoff collection layers. Convergent indicators from a single architecture cannot rule out coordinated deception.</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Independent second-architecture collection or a source inside the program</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NO — architectural independence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Individual identity confidence above 85%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Gait and eDNA in field conditions produce corroborating, not confirmatory, results. No current standoff modality reliably reaches 85%+ identity confidence.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Controlled biometric collection from a direct encounter, or confirmation by a source with personal knowledge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NO — requires direct collection event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Centrifuge count accuracy above 75% confidence</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Acoustic harmonics detect centrifuge-scale vibration and estimate spin rates but cannot precisely count individual units at current standoff ranges and signal-to-noise ratios.</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Source with facility knowledge or technical access agent</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PARTIAL — additional multi-point acoustic collection may narrow range but not confirm count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Confirmation of weaponization vs. enrichment-only program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Hyperspectral and acoustic collection characterizes enrichment activity. It cannot distinguish a civilian program operating outside declared limits from a weapons-specific configuration without additional indicators.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Document exploitation, technical indicators specific to weapons-grade configuration, or source with program knowledge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NO — requires additional collection architecture</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1.4  Transition from Remote Collection to Additional Independent Confirmation</w:t>
      </w:r>
    </w:p>
    <w:p>
      <w:pPr>
        <w:spacing w:after="80" w:before="80" w:line="276"/>
      </w:pPr>
      <w:r>
        <w:rPr>
          <w:rFonts w:ascii="Arial" w:cs="Arial" w:eastAsia="Arial" w:hAnsi="Arial"/>
          <w:color w:val="1A1A1A"/>
          <w:sz w:val="22"/>
          <w:szCs w:val="22"/>
        </w:rPr>
        <w:t xml:space="preserve">The transition from standoff collection to direct confirmation represents the point at which analytic confidence and legal sufficiency must be formally assessed before high-consequence decisions proceed. The following criteria define what the standoff collection package must establish before that transition is analytically supportable, and what additional confirmation is required to close the remaining gaps.</w:t>
      </w:r>
    </w:p>
    <w:p>
      <w:pPr>
        <w:spacing w:after="50" w:before="0"/>
      </w:pPr>
      <w:r>
        <w:rPr>
          <w:sz w:val="22"/>
          <w:szCs w:val="22"/>
        </w:rPr>
        <w:t xml:space="preserve"/>
      </w:r>
    </w:p>
    <w:p>
      <w:pPr>
        <w:spacing w:after="80" w:before="200"/>
      </w:pPr>
      <w:r>
        <w:rPr>
          <w:rFonts w:ascii="Arial" w:cs="Arial" w:eastAsia="Arial" w:hAnsi="Arial"/>
          <w:b/>
          <w:bCs/>
          <w:i/>
          <w:iCs/>
          <w:color w:val="2E5090"/>
          <w:sz w:val="22"/>
          <w:szCs w:val="22"/>
        </w:rPr>
        <w:t xml:space="preserve">Analytic Criteria for Transition</w:t>
      </w:r>
    </w:p>
    <w:p>
      <w:pPr>
        <w:spacing w:after="80" w:before="80" w:line="276"/>
      </w:pPr>
      <w:r>
        <w:rPr>
          <w:rFonts w:ascii="Arial" w:cs="Arial" w:eastAsia="Arial" w:hAnsi="Arial"/>
          <w:color w:val="1A1A1A"/>
          <w:sz w:val="22"/>
          <w:szCs w:val="22"/>
        </w:rPr>
        <w:t xml:space="preserve">All of the following should be satisfied before the standoff collection package is considered sufficient to support the transition to additional independent confirmation.</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Required Standard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Facility confidence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(85%+) on facility function with three independent collection lines and no unresolved alternative hypotheses.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Individual identity confidence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MODERATE-HIGH (75%+) on identity with at least two independent corroborating collection lines. Shadow ISR pattern and one biometric layer minimum.</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Presence currency</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Individual presence assessment must be current within 72 hours for planning purposes. For a decision of irreversible consequence, a fresh presence indicator within 24 hours is analytically required. Pattern-of-life prediction alone is not sufficient.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Access pattern stability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Shadow ISR must have established a stable access pattern across a minimum four-week observation window. Single-event or short-window access observations are analytically insufficient.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Alternative hypotheses status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principal alternative hypotheses must be documented with disposition: either assessed as unlikely with supporting rationale, or flagged as unresolved with explicit acknowledgment that residual uncertainty remains.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Legal sufficiency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written legal determination that the contemplated action is authorized under applicable domestic authority must be in place before transition. Legal review should not be deferred.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Decision halt criteria defined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Explicit pre-defined criteria under which the action does not proceed must be established and agreed at the appropriate review level before commitment. Decision halt criteria are an accountability mechanism.</w:t>
            </w:r>
          </w:p>
        </w:tc>
      </w:tr>
    </w:tbl>
    <w:p>
      <w:pPr>
        <w:spacing w:after="100" w:before="0"/>
      </w:pPr>
      <w:r>
        <w:rPr>
          <w:sz w:val="22"/>
          <w:szCs w:val="22"/>
        </w:rPr>
        <w:t xml:space="preserve"/>
      </w:r>
    </w:p>
    <w:p>
      <w:pPr>
        <w:spacing w:after="80" w:before="200"/>
      </w:pPr>
      <w:r>
        <w:rPr>
          <w:rFonts w:ascii="Arial" w:cs="Arial" w:eastAsia="Arial" w:hAnsi="Arial"/>
          <w:b/>
          <w:bCs/>
          <w:i/>
          <w:iCs/>
          <w:color w:val="2E5090"/>
          <w:sz w:val="22"/>
          <w:szCs w:val="22"/>
        </w:rPr>
        <w:t xml:space="preserve">Additional Confirmation Requirements</w:t>
      </w:r>
    </w:p>
    <w:p>
      <w:pPr>
        <w:spacing w:after="80" w:before="80" w:line="276"/>
      </w:pPr>
      <w:r>
        <w:rPr>
          <w:rFonts w:ascii="Arial" w:cs="Arial" w:eastAsia="Arial" w:hAnsi="Arial"/>
          <w:color w:val="1A1A1A"/>
          <w:sz w:val="22"/>
          <w:szCs w:val="22"/>
        </w:rPr>
        <w:t xml:space="preserve">The purpose of additional independent confirmation is to resolve what standoff collection cannot establish. The following requirements define the minimum confirmation standard before a decision of irreversible consequence is analytically supportable.</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Confirmation Requirement</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Identity confirmation</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confirmation of individual identity through an independent means with access to current reference material. Single-source confirmation is analytically insufficient; two-source concurrence is the minimum 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Biometric collection assessment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Assessment of whether a controlled biometric collection event is feasible at the point of decision. If feasible, collection should precede action. Biometric confirmation closes the identity gap and provides the post-event evidentiary foundation.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Non-combatant presence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Assessment and documentation of civilian presence within the decision area against real-time conditions rather than planning-phase estimates.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Confirmation go/no-go determination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 explicit go/no-go determination based on conditions at the point of decision versus pre-established criteria. If a decision halt criterion is identified, action does not proceed pending reassessment.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Alternative hypothesis check</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condition observed at the point of decision that contradicts the standoff collection assessment — unexpected personnel, facility configuration inconsistent with the collection product, or absence of expected indicators — is sufficient grounds to invoke decision halt criteria pending reassessment.</w:t>
            </w:r>
          </w:p>
        </w:tc>
      </w:tr>
    </w:tbl>
    <w:p>
      <w:pPr>
        <w:spacing w:after="100" w:before="0"/>
      </w:pPr>
      <w:r>
        <w:rPr>
          <w:sz w:val="22"/>
          <w:szCs w:val="22"/>
        </w:rPr>
        <w:t xml:space="preserve"/>
      </w:r>
    </w:p>
    <w:p>
      <w:pPr>
        <w:spacing w:after="80" w:before="200"/>
      </w:pPr>
      <w:r>
        <w:rPr>
          <w:rFonts w:ascii="Arial" w:cs="Arial" w:eastAsia="Arial" w:hAnsi="Arial"/>
          <w:b/>
          <w:bCs/>
          <w:i/>
          <w:iCs/>
          <w:color w:val="2E5090"/>
          <w:sz w:val="22"/>
          <w:szCs w:val="22"/>
        </w:rPr>
        <w:t xml:space="preserve">Post-Event Assessment Requirements</w:t>
      </w:r>
    </w:p>
    <w:p>
      <w:pPr>
        <w:spacing w:after="80" w:before="80" w:line="276"/>
      </w:pPr>
      <w:r>
        <w:rPr>
          <w:rFonts w:ascii="Arial" w:cs="Arial" w:eastAsia="Arial" w:hAnsi="Arial"/>
          <w:color w:val="1A1A1A"/>
          <w:sz w:val="22"/>
          <w:szCs w:val="22"/>
        </w:rPr>
        <w:t xml:space="preserve">The confirmation phase produces collection that should be integrated back into the analytic architecture regardless of outcome.</w:t>
      </w:r>
    </w:p>
    <w:p>
      <w:pPr>
        <w:spacing w:after="3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Biometric samples obtained during the confirmation phase should be processed against the reference profile and the result documented as part of the evidentiary record.</w:t>
      </w:r>
    </w:p>
    <w:p>
      <w:pPr>
        <w:pStyle w:val="ListParagraph"/>
        <w:numPr>
          <w:ilvl w:val="0"/>
          <w:numId w:val="2"/>
        </w:numPr>
        <w:spacing w:after="60" w:before="60"/>
      </w:pPr>
      <w:r>
        <w:rPr>
          <w:rFonts w:ascii="Arial" w:cs="Arial" w:eastAsia="Arial" w:hAnsi="Arial"/>
          <w:color w:val="1A1A1A"/>
          <w:sz w:val="22"/>
          <w:szCs w:val="22"/>
        </w:rPr>
        <w:t xml:space="preserve">Any materials acquired during the confirmation phase should be logged and transferred to the appropriate exploitation authority.</w:t>
      </w:r>
    </w:p>
    <w:p>
      <w:pPr>
        <w:pStyle w:val="ListParagraph"/>
        <w:numPr>
          <w:ilvl w:val="0"/>
          <w:numId w:val="2"/>
        </w:numPr>
        <w:spacing w:after="60" w:before="60"/>
      </w:pPr>
      <w:r>
        <w:rPr>
          <w:rFonts w:ascii="Arial" w:cs="Arial" w:eastAsia="Arial" w:hAnsi="Arial"/>
          <w:color w:val="1A1A1A"/>
          <w:sz w:val="22"/>
          <w:szCs w:val="22"/>
        </w:rPr>
        <w:t xml:space="preserve">A post-event debrief should address: accuracy of the standoff collection product versus conditions at the point of decision, any indicators of a deception operation, any intelligence gaps identified that were not reflected in the pre-event assessment, and the adequacy of decision halt criteria under actual conditions.</w:t>
      </w:r>
    </w:p>
    <w:p>
      <w:pPr>
        <w:pStyle w:val="ListParagraph"/>
        <w:numPr>
          <w:ilvl w:val="0"/>
          <w:numId w:val="2"/>
        </w:numPr>
        <w:spacing w:after="60" w:before="60"/>
      </w:pPr>
      <w:r>
        <w:rPr>
          <w:rFonts w:ascii="Arial" w:cs="Arial" w:eastAsia="Arial" w:hAnsi="Arial"/>
          <w:color w:val="1A1A1A"/>
          <w:sz w:val="22"/>
          <w:szCs w:val="22"/>
        </w:rPr>
        <w:t xml:space="preserve">A post-event confidence retrospective should compare pre-event analytic confidence levels to the results of direct confirmation. This retrospective informs modality reliability assessments for future analytic planning.</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ANALYTIC FAILURE MODES AT THE TRANSITION POINT</w:t>
            </w:r>
          </w:p>
          <w:p>
            <w:pPr>
              <w:spacing w:after="0" w:before="0"/>
            </w:pPr>
            <w:r>
              <w:rPr>
                <w:rFonts w:ascii="Arial" w:cs="Arial" w:eastAsia="Arial" w:hAnsi="Arial"/>
                <w:color w:val="1A1A1A"/>
                <w:sz w:val="21"/>
                <w:szCs w:val="21"/>
              </w:rPr>
              <w:t xml:space="preserve">Three recurring analytic failures drive errors at the transition to additional independent confirmation. First: advancing to direct confirmation before presence currency is established, resulting in a decision based on a location the individual may have vacated. Second: treating pattern-of-life prediction as equivalent to confirmed presence at the time of decision. Third: deferring the definition of decision halt criteria until the point of decision, which transfers judgment under time pressure without pre-established analytic boundaries. All three are addressable through discipline in the pre-transition analytic review.</w:t>
            </w:r>
          </w:p>
        </w:tc>
      </w:tr>
    </w:tbl>
    <w:p>
      <w:pPr>
        <w:spacing w:after="100" w:before="0"/>
      </w:pPr>
      <w:r>
        <w:rPr>
          <w:sz w:val="22"/>
          <w:szCs w:val="22"/>
        </w:rPr>
        <w:t xml:space="preserve"/>
      </w:r>
    </w:p>
    <w:p>
      <w:pPr>
        <w:pStyle w:val="Heading1"/>
        <w:pBdr>
          <w:bottom w:val="single" w:color="2E5090" w:sz="6" w:space="4"/>
        </w:pBdr>
        <w:spacing w:after="160" w:before="360"/>
      </w:pPr>
      <w:r>
        <w:rPr>
          <w:rFonts w:ascii="Arial" w:cs="Arial" w:eastAsia="Arial" w:hAnsi="Arial"/>
          <w:b/>
          <w:bCs/>
          <w:color w:val="2E5090"/>
          <w:sz w:val="28"/>
          <w:szCs w:val="28"/>
        </w:rPr>
        <w:t xml:space="preserve">TIER 2 — SENIOR DECISION-MAKING AND POLICY REVIEW</w:t>
      </w:r>
    </w:p>
    <w:p>
      <w:pPr>
        <w:spacing w:after="5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2.1  Decision Review Summary</w:t>
      </w:r>
    </w:p>
    <w:p>
      <w:pPr>
        <w:spacing w:after="80" w:before="80" w:line="276"/>
      </w:pPr>
      <w:r>
        <w:rPr>
          <w:rFonts w:ascii="Arial" w:cs="Arial" w:eastAsia="Arial" w:hAnsi="Arial"/>
          <w:color w:val="1A1A1A"/>
          <w:sz w:val="22"/>
          <w:szCs w:val="22"/>
        </w:rPr>
        <w:t xml:space="preserve">The following summarizes the analytic and legal conditions associated with each category of decision. This is not a legal determination and does not constitute authority for any specific action. It is an analytic framework for assessing what the intelligence package must establish before a given decision is analytically supportable.</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760"/>
        <w:gridCol w:w="1000"/>
      </w:tblGrid>
      <w:tr>
        <w:tc>
          <w:tcPr>
            <w:tcW w:type="dxa" w:w="2000"/>
            <w:tcBorders>
              <w:top w:val="single" w:color="CCCCCC" w:sz="1"/>
              <w:left w:val="single" w:color="CCCCCC" w:sz="1"/>
              <w:bottom w:val="single" w:color="CCCCCC" w:sz="1"/>
              <w:right w:val="single" w:color="CCCCCC" w:sz="1"/>
            </w:tcBorders>
            <w:shd w:fill="1B2A4A" w:val="clear"/>
            <w:tcMar>
              <w:top w:type="dxa" w:w="70"/>
              <w:left w:type="dxa" w:w="80"/>
              <w:bottom w:type="dxa" w:w="70"/>
              <w:right w:type="dxa" w:w="80"/>
            </w:tcMar>
          </w:tcPr>
          <w:p>
            <w:r>
              <w:rPr>
                <w:rFonts w:ascii="Arial" w:cs="Arial" w:eastAsia="Arial" w:hAnsi="Arial"/>
                <w:b/>
                <w:bCs/>
                <w:color w:val="FFFFFF"/>
                <w:sz w:val="17"/>
                <w:szCs w:val="17"/>
              </w:rPr>
              <w:t xml:space="preserve">Decision Category</w:t>
            </w:r>
          </w:p>
        </w:tc>
        <w:tc>
          <w:tcPr>
            <w:tcW w:type="dxa" w:w="2800"/>
            <w:tcBorders>
              <w:top w:val="single" w:color="CCCCCC" w:sz="1"/>
              <w:left w:val="single" w:color="CCCCCC" w:sz="1"/>
              <w:bottom w:val="single" w:color="CCCCCC" w:sz="1"/>
              <w:right w:val="single" w:color="CCCCCC" w:sz="1"/>
            </w:tcBorders>
            <w:shd w:fill="1B2A4A" w:val="clear"/>
            <w:tcMar>
              <w:top w:type="dxa" w:w="70"/>
              <w:left w:type="dxa" w:w="80"/>
              <w:bottom w:type="dxa" w:w="70"/>
              <w:right w:type="dxa" w:w="80"/>
            </w:tcMar>
          </w:tcPr>
          <w:p>
            <w:r>
              <w:rPr>
                <w:rFonts w:ascii="Arial" w:cs="Arial" w:eastAsia="Arial" w:hAnsi="Arial"/>
                <w:b/>
                <w:bCs/>
                <w:color w:val="FFFFFF"/>
                <w:sz w:val="17"/>
                <w:szCs w:val="17"/>
              </w:rPr>
              <w:t xml:space="preserve">Intelligence Required</w:t>
            </w:r>
          </w:p>
        </w:tc>
        <w:tc>
          <w:tcPr>
            <w:tcW w:type="dxa" w:w="1800"/>
            <w:tcBorders>
              <w:top w:val="single" w:color="CCCCCC" w:sz="1"/>
              <w:left w:val="single" w:color="CCCCCC" w:sz="1"/>
              <w:bottom w:val="single" w:color="CCCCCC" w:sz="1"/>
              <w:right w:val="single" w:color="CCCCCC" w:sz="1"/>
            </w:tcBorders>
            <w:shd w:fill="1B2A4A" w:val="clear"/>
            <w:tcMar>
              <w:top w:type="dxa" w:w="70"/>
              <w:left w:type="dxa" w:w="80"/>
              <w:bottom w:type="dxa" w:w="70"/>
              <w:right w:type="dxa" w:w="80"/>
            </w:tcMar>
          </w:tcPr>
          <w:p>
            <w:r>
              <w:rPr>
                <w:rFonts w:ascii="Arial" w:cs="Arial" w:eastAsia="Arial" w:hAnsi="Arial"/>
                <w:b/>
                <w:bCs/>
                <w:color w:val="FFFFFF"/>
                <w:sz w:val="17"/>
                <w:szCs w:val="17"/>
              </w:rPr>
              <w:t xml:space="preserve">Legal Condition</w:t>
            </w:r>
          </w:p>
        </w:tc>
        <w:tc>
          <w:tcPr>
            <w:tcW w:type="dxa" w:w="1760"/>
            <w:tcBorders>
              <w:top w:val="single" w:color="CCCCCC" w:sz="1"/>
              <w:left w:val="single" w:color="CCCCCC" w:sz="1"/>
              <w:bottom w:val="single" w:color="CCCCCC" w:sz="1"/>
              <w:right w:val="single" w:color="CCCCCC" w:sz="1"/>
            </w:tcBorders>
            <w:shd w:fill="1B2A4A" w:val="clear"/>
            <w:tcMar>
              <w:top w:type="dxa" w:w="70"/>
              <w:left w:type="dxa" w:w="80"/>
              <w:bottom w:type="dxa" w:w="70"/>
              <w:right w:type="dxa" w:w="80"/>
            </w:tcMar>
          </w:tcPr>
          <w:p>
            <w:r>
              <w:rPr>
                <w:rFonts w:ascii="Arial" w:cs="Arial" w:eastAsia="Arial" w:hAnsi="Arial"/>
                <w:b/>
                <w:bCs/>
                <w:color w:val="FFFFFF"/>
                <w:sz w:val="17"/>
                <w:szCs w:val="17"/>
              </w:rPr>
              <w:t xml:space="preserve">Review Level</w:t>
            </w:r>
          </w:p>
        </w:tc>
        <w:tc>
          <w:tcPr>
            <w:tcW w:type="dxa" w:w="1000"/>
            <w:tcBorders>
              <w:top w:val="single" w:color="CCCCCC" w:sz="1"/>
              <w:left w:val="single" w:color="CCCCCC" w:sz="1"/>
              <w:bottom w:val="single" w:color="CCCCCC" w:sz="1"/>
              <w:right w:val="single" w:color="CCCCCC" w:sz="1"/>
            </w:tcBorders>
            <w:shd w:fill="1B2A4A" w:val="clear"/>
            <w:tcMar>
              <w:top w:type="dxa" w:w="70"/>
              <w:left w:type="dxa" w:w="80"/>
              <w:bottom w:type="dxa" w:w="70"/>
              <w:right w:type="dxa" w:w="80"/>
            </w:tcMar>
          </w:tcPr>
          <w:p>
            <w:r>
              <w:rPr>
                <w:rFonts w:ascii="Arial" w:cs="Arial" w:eastAsia="Arial" w:hAnsi="Arial"/>
                <w:b/>
                <w:bCs/>
                <w:color w:val="FFFFFF"/>
                <w:sz w:val="17"/>
                <w:szCs w:val="17"/>
              </w:rPr>
              <w:t xml:space="preserve">Analytic Gate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bCs/>
                <w:color w:val="1A1A1A"/>
                <w:sz w:val="17"/>
                <w:szCs w:val="17"/>
              </w:rPr>
              <w:t xml:space="preserve">Initiate facility collection</w:t>
            </w:r>
          </w:p>
        </w:tc>
        <w:tc>
          <w:tcPr>
            <w:tcW w:type="dxa" w:w="2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Credible reporting of suspected facility activity</w:t>
            </w:r>
          </w:p>
        </w:tc>
        <w:tc>
          <w:tcPr>
            <w:tcW w:type="dxa" w:w="1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Existing collection authority or Presidential Finding</w:t>
            </w:r>
          </w:p>
        </w:tc>
        <w:tc>
          <w:tcPr>
            <w:tcW w:type="dxa" w:w="176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Senior analytical leadership</w:t>
            </w:r>
          </w:p>
        </w:tc>
        <w:tc>
          <w:tcPr>
            <w:tcW w:type="dxa" w:w="1000"/>
            <w:tcBorders>
              <w:top w:val="single" w:color="CCCCCC" w:sz="1"/>
              <w:left w:val="single" w:color="CCCCCC" w:sz="1"/>
              <w:bottom w:val="single" w:color="CCCCCC" w:sz="1"/>
              <w:right w:val="single" w:color="CCCCCC" w:sz="1"/>
            </w:tcBorders>
            <w:shd w:fill="E6F5E6" w:val="clear"/>
            <w:tcMar>
              <w:top w:type="dxa" w:w="60"/>
              <w:left w:type="dxa" w:w="80"/>
              <w:bottom w:type="dxa" w:w="60"/>
              <w:right w:type="dxa" w:w="80"/>
            </w:tcMar>
          </w:tcPr>
          <w:p>
            <w:r>
              <w:rPr>
                <w:rFonts w:ascii="Arial" w:cs="Arial" w:eastAsia="Arial" w:hAnsi="Arial"/>
                <w:b/>
                <w:bCs/>
                <w:color w:val="1A5E2A"/>
                <w:sz w:val="17"/>
                <w:szCs w:val="17"/>
              </w:rPr>
              <w:t xml:space="preserve">GREEN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Initiate individual attribution collection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Facility at MODERATE confidence; named individual with IAEA or equivalent reference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Existing collection authority</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Senior analytical leadership</w:t>
            </w:r>
          </w:p>
        </w:tc>
        <w:tc>
          <w:tcPr>
            <w:tcW w:type="dxa" w:w="1000"/>
            <w:tcBorders>
              <w:top w:val="single" w:color="CCCCCC" w:sz="1"/>
              <w:left w:val="single" w:color="CCCCCC" w:sz="1"/>
              <w:bottom w:val="single" w:color="CCCCCC" w:sz="1"/>
              <w:right w:val="single" w:color="CCCCCC" w:sz="1"/>
            </w:tcBorders>
            <w:shd w:fill="E6F5E6" w:val="clear"/>
            <w:tcMar>
              <w:top w:type="dxa" w:w="60"/>
              <w:left w:type="dxa" w:w="80"/>
              <w:bottom w:type="dxa" w:w="60"/>
              <w:right w:type="dxa" w:w="80"/>
            </w:tcMar>
          </w:tcPr>
          <w:p>
            <w:r>
              <w:rPr>
                <w:rFonts w:ascii="Arial" w:cs="Arial" w:eastAsia="Arial" w:hAnsi="Arial"/>
                <w:b/>
                <w:bCs/>
                <w:color w:val="1A5E2A"/>
                <w:sz w:val="17"/>
                <w:szCs w:val="17"/>
              </w:rPr>
              <w:t xml:space="preserve">GREEN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bCs/>
                <w:color w:val="1A1A1A"/>
                <w:sz w:val="17"/>
                <w:szCs w:val="17"/>
              </w:rPr>
              <w:t xml:space="preserve">Sanctions designation referral</w:t>
            </w:r>
          </w:p>
        </w:tc>
        <w:tc>
          <w:tcPr>
            <w:tcW w:type="dxa" w:w="2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Facility HIGH, Individual MODERATE, role LOW-MODERATE</w:t>
            </w:r>
          </w:p>
        </w:tc>
        <w:tc>
          <w:tcPr>
            <w:tcW w:type="dxa" w:w="1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Legal review — executive order authority</w:t>
            </w:r>
          </w:p>
        </w:tc>
        <w:tc>
          <w:tcPr>
            <w:tcW w:type="dxa" w:w="176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Senior policy review</w:t>
            </w:r>
          </w:p>
        </w:tc>
        <w:tc>
          <w:tcPr>
            <w:tcW w:type="dxa" w:w="1000"/>
            <w:tcBorders>
              <w:top w:val="single" w:color="CCCCCC" w:sz="1"/>
              <w:left w:val="single" w:color="CCCCCC" w:sz="1"/>
              <w:bottom w:val="single" w:color="CCCCCC" w:sz="1"/>
              <w:right w:val="single" w:color="CCCCCC" w:sz="1"/>
            </w:tcBorders>
            <w:shd w:fill="E6F5E6" w:val="clear"/>
            <w:tcMar>
              <w:top w:type="dxa" w:w="60"/>
              <w:left w:type="dxa" w:w="80"/>
              <w:bottom w:type="dxa" w:w="60"/>
              <w:right w:type="dxa" w:w="80"/>
            </w:tcMar>
          </w:tcPr>
          <w:p>
            <w:r>
              <w:rPr>
                <w:rFonts w:ascii="Arial" w:cs="Arial" w:eastAsia="Arial" w:hAnsi="Arial"/>
                <w:b/>
                <w:bCs/>
                <w:color w:val="1A5E2A"/>
                <w:sz w:val="17"/>
                <w:szCs w:val="17"/>
              </w:rPr>
              <w:t xml:space="preserve">GREEN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Capture or rendition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Individual MODERATE-HIGH, presence pattern stable, location current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Legal finding, country team coordination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Senior policy and legal review</w:t>
            </w:r>
          </w:p>
        </w:tc>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b/>
                <w:bCs/>
                <w:color w:val="8B6914"/>
                <w:sz w:val="17"/>
                <w:szCs w:val="17"/>
              </w:rPr>
              <w:t xml:space="preserve">AMBER</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bCs/>
                <w:color w:val="1A1A1A"/>
                <w:sz w:val="17"/>
                <w:szCs w:val="17"/>
              </w:rPr>
              <w:t xml:space="preserve">High-consequence standoff action</w:t>
            </w:r>
          </w:p>
        </w:tc>
        <w:tc>
          <w:tcPr>
            <w:tcW w:type="dxa" w:w="2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Individual HIGH on identity and role, location current within 24 hours, three independent collection lines, direct confirmation or equivalent</w:t>
            </w:r>
          </w:p>
        </w:tc>
        <w:tc>
          <w:tcPr>
            <w:tcW w:type="dxa" w:w="1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Presidential Finding, legal finding, collateral damage estimate</w:t>
            </w:r>
          </w:p>
        </w:tc>
        <w:tc>
          <w:tcPr>
            <w:tcW w:type="dxa" w:w="176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Senior executive authority</w:t>
            </w:r>
          </w:p>
        </w:tc>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b/>
                <w:bCs/>
                <w:color w:val="8B6914"/>
                <w:sz w:val="17"/>
                <w:szCs w:val="17"/>
              </w:rPr>
              <w:t xml:space="preserve">AMBER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7"/>
                <w:szCs w:val="17"/>
              </w:rPr>
              <w:t xml:space="preserve">High-consequence action requiring direct confirmation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Individual HIGH, direct confirmation criteria defined and resourced, decision halt criteria established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Full legal package, appropriate chain of review</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Highest executive authority</w:t>
            </w:r>
          </w:p>
        </w:tc>
        <w:tc>
          <w:tcPr>
            <w:tcW w:type="dxa" w:w="1000"/>
            <w:tcBorders>
              <w:top w:val="single" w:color="CCCCCC" w:sz="1"/>
              <w:left w:val="single" w:color="CCCCCC" w:sz="1"/>
              <w:bottom w:val="single" w:color="CCCCCC" w:sz="1"/>
              <w:right w:val="single" w:color="CCCCCC" w:sz="1"/>
            </w:tcBorders>
            <w:shd w:fill="FDE8E8" w:val="clear"/>
            <w:tcMar>
              <w:top w:type="dxa" w:w="60"/>
              <w:left w:type="dxa" w:w="80"/>
              <w:bottom w:type="dxa" w:w="60"/>
              <w:right w:type="dxa" w:w="80"/>
            </w:tcMar>
          </w:tcPr>
          <w:p>
            <w:r>
              <w:rPr>
                <w:rFonts w:ascii="Arial" w:cs="Arial" w:eastAsia="Arial" w:hAnsi="Arial"/>
                <w:b/>
                <w:bCs/>
                <w:color w:val="C0392B"/>
                <w:sz w:val="17"/>
                <w:szCs w:val="17"/>
              </w:rPr>
              <w:t xml:space="preserve">RED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bCs/>
                <w:color w:val="1A1A1A"/>
                <w:sz w:val="17"/>
                <w:szCs w:val="17"/>
              </w:rPr>
              <w:t xml:space="preserve">Decision halt / reassessment</w:t>
            </w:r>
          </w:p>
        </w:tc>
        <w:tc>
          <w:tcPr>
            <w:tcW w:type="dxa" w:w="2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Any unresolved alternative hypothesis, any analytic gate not met, any decision halt criterion identified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N/A</w:t>
            </w:r>
          </w:p>
        </w:tc>
        <w:tc>
          <w:tcPr>
            <w:tcW w:type="dxa" w:w="1760"/>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b w:val="false"/>
                <w:bCs w:val="false"/>
                <w:color w:val="1A1A1A"/>
                <w:sz w:val="17"/>
                <w:szCs w:val="17"/>
              </w:rPr>
              <w:t xml:space="preserve">Any review level at which the gap is identified</w:t>
            </w:r>
          </w:p>
        </w:tc>
        <w:tc>
          <w:tcPr>
            <w:tcW w:type="dxa" w:w="1000"/>
            <w:tcBorders>
              <w:top w:val="single" w:color="CCCCCC" w:sz="1"/>
              <w:left w:val="single" w:color="CCCCCC" w:sz="1"/>
              <w:bottom w:val="single" w:color="CCCCCC" w:sz="1"/>
              <w:right w:val="single" w:color="CCCCCC" w:sz="1"/>
            </w:tcBorders>
            <w:shd w:fill="FDE8E8" w:val="clear"/>
            <w:tcMar>
              <w:top w:type="dxa" w:w="60"/>
              <w:left w:type="dxa" w:w="80"/>
              <w:bottom w:type="dxa" w:w="60"/>
              <w:right w:type="dxa" w:w="80"/>
            </w:tcMar>
          </w:tcPr>
          <w:p>
            <w:r>
              <w:rPr>
                <w:rFonts w:ascii="Arial" w:cs="Arial" w:eastAsia="Arial" w:hAnsi="Arial"/>
                <w:b/>
                <w:bCs/>
                <w:color w:val="C0392B"/>
                <w:sz w:val="17"/>
                <w:szCs w:val="17"/>
              </w:rPr>
              <w:t xml:space="preserve">RED</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2.2  Escalation and Strategic Risk Register</w:t>
      </w:r>
    </w:p>
    <w:p>
      <w:pPr>
        <w:spacing w:after="80" w:before="80" w:line="276"/>
      </w:pPr>
      <w:r>
        <w:rPr>
          <w:rFonts w:ascii="Arial" w:cs="Arial" w:eastAsia="Arial" w:hAnsi="Arial"/>
          <w:color w:val="1A1A1A"/>
          <w:sz w:val="22"/>
          <w:szCs w:val="22"/>
        </w:rPr>
        <w:t xml:space="preserve">The following risks are present in any state action of this type regardless of the quality of the collection product. Each should be assessed against the specific analytic and policy context before a decision is authorized.</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 and Analytic Mitigation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Misidentification risk — individual</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 at HIGH identity confidence, a residual probability of misidentification exists. Analytic mitigation: direct confirmation at the point of decision is the primary control. Decision halt criteria must include a provision for identity indicators inconsistent with the collection product. Post-event biometric processing provides the evidentiary foundation for the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Mischaracterization risk — facility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Facility deception operations can produce convergent false indicators across multiple collection layers. Analytic mitigation: require three independent collection lines with distinct failure modes. Treat suspiciously convergent indicators as a potential deception indicator rather than as confidence-building evidence.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Sovereignty and legal exposure</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action inside a non-permissive sovereign state creates potential diplomatic and legal exposure. Analytic mitigation: the legal finding documents the authority basis before decision. Collateral damage assessment should reflect real-time conditions, not planning-phase estimates. Post-event communication strategy should be considered in advance.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Escalation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Action against a WMD program or associated individual may accelerate program dispersal, trigger retaliation, or foreclose diplomatic tracks. Analytic mitigation: escalation assessment is a required element of the pre-decision legal and policy review. Second-order program response scenarios should be assessed before a decision is authorized.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1A1A"/>
                <w:sz w:val="20"/>
                <w:szCs w:val="20"/>
              </w:rPr>
              <w:t xml:space="preserve">Assessment staleness at point of decision</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collection product may have aged beyond its validity window between authorization and execution. Analytic mitigation: staleness decay windows defined in the parent briefing must be applied to the live package at the point of decision. A presence assessment more than 24 hours old requires revalidation.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Post-event evidentiary vulnerability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decision that cannot be supported by a documented evidentiary chain creates legal and policy liability that may exceed the strategic value of the action. Analytic mitigation: the legal finding, confidence assessment, and alternative hypotheses documentation must be complete before decision. Direct biometric confirmation closes the post-event record.</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2.3  Analytic Bottom Line</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F" w:val="clear"/>
            <w:tcMar>
              <w:top w:type="dxa" w:w="120"/>
              <w:left w:type="dxa" w:w="180"/>
              <w:bottom w:type="dxa" w:w="120"/>
              <w:right w:type="dxa" w:w="180"/>
            </w:tcMar>
          </w:tcPr>
          <w:p>
            <w:pPr>
              <w:spacing w:after="60" w:before="0"/>
            </w:pPr>
            <w:r>
              <w:rPr>
                <w:rFonts w:ascii="Arial" w:cs="Arial" w:eastAsia="Arial" w:hAnsi="Arial"/>
                <w:b/>
                <w:bCs/>
                <w:color w:val="2E5090"/>
                <w:sz w:val="22"/>
                <w:szCs w:val="22"/>
              </w:rPr>
              <w:t xml:space="preserve">ANALYTIC BOTTOM LINE</w:t>
            </w:r>
          </w:p>
          <w:p>
            <w:pPr>
              <w:spacing w:after="0" w:before="0"/>
            </w:pPr>
            <w:r>
              <w:rPr>
                <w:rFonts w:ascii="Arial" w:cs="Arial" w:eastAsia="Arial" w:hAnsi="Arial"/>
                <w:color w:val="1A1A1A"/>
                <w:sz w:val="21"/>
                <w:szCs w:val="21"/>
              </w:rPr>
              <w:t xml:space="preserve">The standoff ISR architecture described in the parent briefing is most useful as a decision-support framework for facility characterization and for narrowing, but not eliminating, uncertainty surrounding individual attribution. Its principal value lies in structuring confidence, identifying unresolved intelligence gaps, and clarifying where additional independent confirmation would be required before any high-consequence decision is analytically supportable. Facility characterization can reach HIGH confidence through passive standoff collection under the conditions described. Individual attribution cannot reach confirmatory confidence through standoff collection alone. The central policy risk at every stage is overconfidence at the point where collection appears sufficient but material uncertainty persists.</w:t>
            </w:r>
          </w:p>
        </w:tc>
      </w:tr>
    </w:tbl>
    <w:p>
      <w:pPr>
        <w:spacing w:after="100" w:before="0"/>
      </w:pPr>
      <w:r>
        <w:rPr>
          <w:sz w:val="22"/>
          <w:szCs w:val="22"/>
        </w:rPr>
        <w:t xml:space="preserve"/>
      </w:r>
    </w:p>
    <w:p>
      <w:pPr>
        <w:pBdr>
          <w:bottom w:val="single" w:color="CCCCCC" w:sz="2" w:space="1"/>
        </w:pBdr>
        <w:spacing w:after="160" w:before="160"/>
      </w:pPr>
      <w:r>
        <w:rPr>
          <w:sz w:val="22"/>
          <w:szCs w:val="22"/>
        </w:rPr>
        <w:t xml:space="preserve"/>
      </w:r>
    </w:p>
    <w:p>
      <w:pPr>
        <w:spacing w:after="60" w:before="160"/>
        <w:jc w:val="center"/>
      </w:pPr>
      <w:r>
        <w:rPr>
          <w:rFonts w:ascii="Arial" w:cs="Arial" w:eastAsia="Arial" w:hAnsi="Arial"/>
          <w:i/>
          <w:iCs/>
          <w:color w:val="888888"/>
          <w:sz w:val="18"/>
          <w:szCs w:val="18"/>
        </w:rPr>
        <w:t xml:space="preserve">This document is produced for policy research and analytical purposes.</w:t>
      </w:r>
    </w:p>
    <w:p>
      <w:pPr>
        <w:spacing w:after="80" w:before="0"/>
        <w:jc w:val="center"/>
      </w:pPr>
      <w:r>
        <w:rPr>
          <w:rFonts w:ascii="Arial" w:cs="Arial" w:eastAsia="Arial" w:hAnsi="Arial"/>
          <w:i/>
          <w:iCs/>
          <w:color w:val="888888"/>
          <w:sz w:val="18"/>
          <w:szCs w:val="18"/>
        </w:rPr>
        <w:t xml:space="preserve">It does not represent the position of any government agency or institution.</w:t>
      </w:r>
    </w:p>
    <w:p>
      <w:pPr>
        <w:spacing w:after="50" w:before="0"/>
      </w:pPr>
      <w:r>
        <w:rPr>
          <w:sz w:val="22"/>
          <w:szCs w:val="22"/>
        </w:rPr>
        <w:t xml:space="preserve"/>
      </w:r>
    </w:p>
    <w:p>
      <w:pPr>
        <w:shd w:fill="C0392B" w:val="clear"/>
        <w:spacing w:after="0" w:before="0"/>
        <w:jc w:val="center"/>
      </w:pPr>
      <w:r>
        <w:rPr>
          <w:rFonts w:ascii="Arial" w:cs="Arial" w:eastAsia="Arial" w:hAnsi="Arial"/>
          <w:b/>
          <w:bCs/>
          <w:color w:val="FFFFFF"/>
          <w:sz w:val="20"/>
          <w:szCs w:val="20"/>
        </w:rPr>
        <w:t xml:space="preserve">UNCLASSIFIED // FOR ANALYTICAL PURPOSES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2026-03-08T06:44:37.404Z</dcterms:created>
  <dcterms:modified xsi:type="dcterms:W3CDTF">2026-03-08T06:44:37.405Z</dcterms:modified>
</cp:coreProperties>
</file>

<file path=docProps/custom.xml><?xml version="1.0" encoding="utf-8"?>
<Properties xmlns="http://schemas.openxmlformats.org/officeDocument/2006/custom-properties" xmlns:vt="http://schemas.openxmlformats.org/officeDocument/2006/docPropsVTypes"/>
</file>