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jc w:val="center"/>
      </w:pPr>
      <w:r>
        <w:rPr>
          <w:rFonts w:ascii="Arial" w:cs="Arial" w:eastAsia="Arial" w:hAnsi="Arial"/>
          <w:b/>
          <w:bCs/>
          <w:color w:val="FFFFFF"/>
          <w:sz w:val="20"/>
          <w:szCs w:val="20"/>
        </w:rPr>
        <w:t xml:space="preserve">UNCLASSIFIED // FOR ANALYTICAL PURPOSES ONLY</w:t>
      </w:r>
    </w:p>
    <w:p>
      <w:pPr>
        <w:spacing w:after="50" w:before="0"/>
      </w:pPr>
      <w:r>
        <w:rPr>
          <w:sz w:val="22"/>
          <w:szCs w:val="22"/>
        </w:rPr>
        <w:t xml:space="preserve"/>
      </w:r>
    </w:p>
    <w:p>
      <w:pPr>
        <w:spacing w:after="60" w:before="200"/>
        <w:jc w:val="center"/>
      </w:pPr>
      <w:r>
        <w:rPr>
          <w:rFonts w:ascii="Arial" w:cs="Arial" w:eastAsia="Arial" w:hAnsi="Arial"/>
          <w:b/>
          <w:bCs/>
          <w:caps/>
          <w:color w:val="2E5090"/>
          <w:sz w:val="14"/>
          <w:szCs w:val="14"/>
        </w:rPr>
        <w:t xml:space="preserve">INTELLIGENCE BRIEFING</w:t>
      </w:r>
    </w:p>
    <w:p>
      <w:pPr>
        <w:spacing w:after="80" w:before="0"/>
        <w:jc w:val="center"/>
      </w:pPr>
      <w:r>
        <w:rPr>
          <w:rFonts w:ascii="Arial" w:cs="Arial" w:eastAsia="Arial" w:hAnsi="Arial"/>
          <w:b/>
          <w:bCs/>
          <w:color w:val="1B2A4A"/>
          <w:sz w:val="40"/>
          <w:szCs w:val="40"/>
        </w:rPr>
        <w:t xml:space="preserve">Standoff ISR Technology and Legal Authorities</w:t>
      </w:r>
    </w:p>
    <w:p>
      <w:pPr>
        <w:spacing w:after="40" w:before="0"/>
        <w:jc w:val="center"/>
      </w:pPr>
      <w:r>
        <w:rPr>
          <w:rFonts w:ascii="Arial" w:cs="Arial" w:eastAsia="Arial" w:hAnsi="Arial"/>
          <w:i/>
          <w:iCs/>
          <w:color w:val="2E5090"/>
          <w:sz w:val="24"/>
          <w:szCs w:val="24"/>
        </w:rPr>
        <w:t xml:space="preserve">Application to WMD Facility Characterization and High-Value Individual Identification</w:t>
      </w:r>
    </w:p>
    <w:p>
      <w:pPr>
        <w:spacing w:after="200" w:before="0"/>
        <w:jc w:val="center"/>
      </w:pPr>
      <w:r>
        <w:rPr>
          <w:rFonts w:ascii="Arial" w:cs="Arial" w:eastAsia="Arial" w:hAnsi="Arial"/>
          <w:color w:val="888888"/>
          <w:sz w:val="20"/>
          <w:szCs w:val="20"/>
        </w:rPr>
        <w:t xml:space="preserve">March 2026  |  Policy Research Series</w:t>
      </w:r>
    </w:p>
    <w:p>
      <w:pPr>
        <w:pBdr>
          <w:bottom w:val="single" w:color="CCCCCC" w:sz="2" w:space="1"/>
        </w:pBdr>
        <w:spacing w:after="200" w:before="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F" w:val="clear"/>
            <w:tcMar>
              <w:top w:type="dxa" w:w="120"/>
              <w:left w:type="dxa" w:w="180"/>
              <w:bottom w:type="dxa" w:w="120"/>
              <w:right w:type="dxa" w:w="180"/>
            </w:tcMar>
          </w:tcPr>
          <w:p>
            <w:pPr>
              <w:spacing w:after="60" w:before="0"/>
            </w:pPr>
            <w:r>
              <w:rPr>
                <w:rFonts w:ascii="Arial" w:cs="Arial" w:eastAsia="Arial" w:hAnsi="Arial"/>
                <w:b/>
                <w:bCs/>
                <w:color w:val="2E5090"/>
                <w:sz w:val="22"/>
                <w:szCs w:val="22"/>
              </w:rPr>
              <w:t xml:space="preserve">EXECUTIVE SUMMARY</w:t>
            </w:r>
          </w:p>
          <w:p>
            <w:pPr>
              <w:spacing w:after="0" w:before="0"/>
            </w:pPr>
            <w:r>
              <w:rPr>
                <w:rFonts w:ascii="Arial" w:cs="Arial" w:eastAsia="Arial" w:hAnsi="Arial"/>
                <w:color w:val="1A1A1A"/>
                <w:sz w:val="21"/>
                <w:szCs w:val="21"/>
              </w:rPr>
              <w:t xml:space="preserve">Recent advances in standoff sensing and multi-source data fusion have materially improved the ability to characterize suspected WMD-related facilities from outside sovereign territory. Their application to individual identification remains substantially more conditional. The central problem is therefore not one of collection alone, but of confidence calibration, legal sufficiency, and decision tolerance under persistent uncertainty. This briefing evaluates analytic feasibility, confidence management, and legal-policy implications. It does not recommend operational action.</w:t>
            </w:r>
          </w:p>
        </w:tc>
      </w:tr>
    </w:tbl>
    <w:p>
      <w:pPr>
        <w:spacing w:after="100" w:before="0"/>
      </w:pPr>
      <w:r>
        <w:rPr>
          <w:sz w:val="22"/>
          <w:szCs w:val="22"/>
        </w:rPr>
        <w:t xml:space="preserve"/>
      </w:r>
    </w:p>
    <w:p>
      <w:pPr>
        <w:pStyle w:val="Heading1"/>
        <w:pBdr>
          <w:bottom w:val="single" w:color="2E5090" w:sz="6" w:space="4"/>
        </w:pBdr>
        <w:spacing w:after="160" w:before="360"/>
      </w:pPr>
      <w:r>
        <w:rPr>
          <w:rFonts w:ascii="Arial" w:cs="Arial" w:eastAsia="Arial" w:hAnsi="Arial"/>
          <w:b/>
          <w:bCs/>
          <w:color w:val="2E5090"/>
          <w:sz w:val="28"/>
          <w:szCs w:val="28"/>
        </w:rPr>
        <w:t xml:space="preserve">SECTION 1: THE SENSOR STACK</w:t>
      </w:r>
    </w:p>
    <w:p>
      <w:pPr>
        <w:spacing w:after="80" w:before="80" w:line="276"/>
      </w:pPr>
      <w:r>
        <w:rPr>
          <w:rFonts w:ascii="Arial" w:cs="Arial" w:eastAsia="Arial" w:hAnsi="Arial"/>
          <w:color w:val="1A1A1A"/>
          <w:sz w:val="22"/>
          <w:szCs w:val="22"/>
        </w:rPr>
        <w:t xml:space="preserve">Judgment: Standoff collection capabilities for facility characterization have advanced to a point where multi-source assessments can reach decision-relevant confidence without physical intrusion into sovereign territory. Capability for individual attribution is more limited and more condition-dependent. The principal uncertainty in this section is not whether individual modalities function, but whether they can be integrated reliably enough under field conditions to support legally sufficient identification.</w:t>
      </w:r>
    </w:p>
    <w:p>
      <w:pPr>
        <w:spacing w:after="30" w:before="0"/>
      </w:pPr>
      <w:r>
        <w:rPr>
          <w:sz w:val="22"/>
          <w:szCs w:val="22"/>
        </w:rPr>
        <w:t xml:space="preserve"/>
      </w:r>
    </w:p>
    <w:p>
      <w:pPr>
        <w:spacing w:after="80" w:before="80" w:line="276"/>
      </w:pPr>
      <w:r>
        <w:rPr>
          <w:rFonts w:ascii="Arial" w:cs="Arial" w:eastAsia="Arial" w:hAnsi="Arial"/>
          <w:color w:val="1A1A1A"/>
          <w:sz w:val="22"/>
          <w:szCs w:val="22"/>
        </w:rPr>
        <w:t xml:space="preserve">Analytic tradecraft note: No single collection stream in this assessment is treated as dispositive. Confidence levels reflect convergence across indicators with distinct failure modes, explicit testing of alternative hypotheses, and recognition that collection quality, modality reliability, and analytic judgment are separate layers that must each be evaluated independently before a combined assessment is produced.</w:t>
      </w:r>
    </w:p>
    <w:p>
      <w:pPr>
        <w:spacing w:after="5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1.1  Standoff Biometrics — Individual Identification</w:t>
      </w:r>
    </w:p>
    <w:p>
      <w:pPr>
        <w:spacing w:after="80" w:before="80" w:line="276"/>
      </w:pPr>
      <w:r>
        <w:rPr>
          <w:rFonts w:ascii="Arial" w:cs="Arial" w:eastAsia="Arial" w:hAnsi="Arial"/>
          <w:color w:val="1A1A1A"/>
          <w:sz w:val="22"/>
          <w:szCs w:val="22"/>
        </w:rPr>
        <w:t xml:space="preserve">Judgment: Available standoff biometric modalities can contribute corroborating evidence toward individual identification, but none currently supports confirmatory attribution at operationally required confidence levels under field conditions. This assessment is sufficient to support collection planning and preliminary candidate development. It is not sufficient to support action against a named individual without additional confirmation from an independent collection source.</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Laser Doppler Vibrometry (LDV)</w:t>
      </w:r>
    </w:p>
    <w:p>
      <w:pPr>
        <w:spacing w:after="80" w:before="80" w:line="276"/>
      </w:pPr>
      <w:r>
        <w:rPr>
          <w:rFonts w:ascii="Arial" w:cs="Arial" w:eastAsia="Arial" w:hAnsi="Arial"/>
          <w:color w:val="1A1A1A"/>
          <w:sz w:val="22"/>
          <w:szCs w:val="22"/>
        </w:rPr>
        <w:t xml:space="preserve">A laser directed at a surface near or on a target measures microscopic vibrations at the micron level. Research has explored its use for remote vital-sign monitoring, including capture of ballistocardiographic signals: the physical recoil caused by the heart's pumping action. Public literature supports non-contact heart-rate sensing in controlled conditions, but does not establish LDV-derived cardiac signatures as a field-ready, stand-alone biometric for operational identification. Performance degrades significantly with range, occlusion, and environmental noise. LDV should be treated as a speculative supplementary physiologic indicator rather than a primary identification layer. Assessment utility: low. Primary failure mode: environmental degradation and operational immaturity. Appropriate analytic use: conditional supplementary only.</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Environmental DNA (eDNA) Collection</w:t>
      </w:r>
    </w:p>
    <w:p>
      <w:pPr>
        <w:spacing w:after="80" w:before="80" w:line="276"/>
      </w:pPr>
      <w:r>
        <w:rPr>
          <w:rFonts w:ascii="Arial" w:cs="Arial" w:eastAsia="Arial" w:hAnsi="Arial"/>
          <w:color w:val="1A1A1A"/>
          <w:sz w:val="22"/>
          <w:szCs w:val="22"/>
        </w:rPr>
        <w:t xml:space="preserve">Humans shed approximately 30,000 to 40,000 skin cells per minute. In semi-confined spaces such as courtyards, vehicle approaches, or building entrances, eDNA accumulates in ambient air and on surfaces. Micro-drone or fixed-intake collection systems can acquire these samples for analysis. Recent studies confirm that human DNA is detectable from air and dust samples, but also identify significant challenges: nuclear DNA recovery rates are variable, open-environment contamination is difficult to control, and rapid field analysis at actionable confidence levels is not yet established as routine. eDNA collection is best characterized as an emerging conditional modality rather than a reliable biometric anchor in operational field environments. Assessment utility: moderate in semi-confined conditions, low in open environments. Primary failure mode: contamination and recovery rate variability. Appropriate analytic use: corroborating, not confirmatory.</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Gait Analysis via Infrared Imaging</w:t>
      </w:r>
    </w:p>
    <w:p>
      <w:pPr>
        <w:spacing w:after="80" w:before="80" w:line="276"/>
      </w:pPr>
      <w:r>
        <w:rPr>
          <w:rFonts w:ascii="Arial" w:cs="Arial" w:eastAsia="Arial" w:hAnsi="Arial"/>
          <w:color w:val="1A1A1A"/>
          <w:sz w:val="22"/>
          <w:szCs w:val="22"/>
        </w:rPr>
        <w:t xml:space="preserve">Thermal and near-infrared sensors can capture movement signatures at extended range. Individual gait patterns are a recognized biometric modality, but the research literature consistently identifies occlusion, viewpoint variation, clothing changes, and environmental conditions as significant performance limitations. Gait analysis is best used as a corroborating layer against reference footage rather than as a robust independent identifier. It should not carry primary weight in a confidence assessment. Assessment utility: moderate when reference material is current and collection geometry is favorable. Primary failure mode: occlusion and reference staleness. Appropriate analytic use: corroborating.</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Acoustic Voice Pattern Collection</w:t>
      </w:r>
    </w:p>
    <w:p>
      <w:pPr>
        <w:spacing w:after="80" w:before="80" w:line="276"/>
      </w:pPr>
      <w:r>
        <w:rPr>
          <w:rFonts w:ascii="Arial" w:cs="Arial" w:eastAsia="Arial" w:hAnsi="Arial"/>
          <w:color w:val="1A1A1A"/>
          <w:sz w:val="22"/>
          <w:szCs w:val="22"/>
        </w:rPr>
        <w:t xml:space="preserve">Directional microphone arrays and implanted audio devices enable passive collection of voice samples for matching against reference recordings. Voice biometrics are useful as a corroborating layer but are sensitive to illness, age, and deliberate modification. Assessment utility: low to moderate. Primary failure mode: biological variation and deliberate countermeasure. Appropriate analytic use: supporting layer only.</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Shadow ISR — Pattern of Life Mapping</w:t>
      </w:r>
    </w:p>
    <w:p>
      <w:pPr>
        <w:spacing w:after="80" w:before="80" w:line="276"/>
      </w:pPr>
      <w:r>
        <w:rPr>
          <w:rFonts w:ascii="Arial" w:cs="Arial" w:eastAsia="Arial" w:hAnsi="Arial"/>
          <w:color w:val="1A1A1A"/>
          <w:sz w:val="22"/>
          <w:szCs w:val="22"/>
        </w:rPr>
        <w:t xml:space="preserve">A high-security individual generates a distinctive behavioral signature in the people around them. Bodyguard movement patterns, courier access cycles, family member routines, and vehicle traffic all create a secondary signature that can be mapped through persistent overhead collection. Identifying a candidate by the behavioral void they create rather than by direct observation is more resistant to counterintelligence countermeasures than direct biometric collection. Assessment utility: high for candidate development, moderate for identity corroboration. Primary failure mode: managed deception of access patterns. Appropriate analytic use: primary for candidate identification, corroborating for identity.</w:t>
      </w:r>
    </w:p>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1.2  Structural Intelligence (STRATINT) — Facility Characterization</w:t>
      </w:r>
    </w:p>
    <w:p>
      <w:pPr>
        <w:spacing w:after="80" w:before="80" w:line="276"/>
      </w:pPr>
      <w:r>
        <w:rPr>
          <w:rFonts w:ascii="Arial" w:cs="Arial" w:eastAsia="Arial" w:hAnsi="Arial"/>
          <w:color w:val="1A1A1A"/>
          <w:sz w:val="22"/>
          <w:szCs w:val="22"/>
        </w:rPr>
        <w:t xml:space="preserve">Judgment: Facility characterization through passive standoff collection is the most mature application of the sensor stack described here. Multi-source assessment can reach HIGH confidence on facility function for fixed installations with active industrial operations. The principal uncertainty is not collection capability but the exclusion of deliberate deception and dual-use misattribution. This assessment is sufficient to support sanctions designation and IAEA referral. Whether it is sufficient to support high-consequence action depends on the resolution of alternative hypotheses and the applicable legal authority threshold.</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Distributed Acoustic Sensing via Fiber Optic Infrastructure</w:t>
      </w:r>
    </w:p>
    <w:p>
      <w:pPr>
        <w:spacing w:after="80" w:before="80" w:line="276"/>
      </w:pPr>
      <w:r>
        <w:rPr>
          <w:rFonts w:ascii="Arial" w:cs="Arial" w:eastAsia="Arial" w:hAnsi="Arial"/>
          <w:color w:val="1A1A1A"/>
          <w:sz w:val="22"/>
          <w:szCs w:val="22"/>
        </w:rPr>
        <w:t xml:space="preserve">Gas centrifuges operating at enrichment-grade speeds generate characteristic harmonic vibrations that propagate through bedrock. Existing fiber optic cable networks in a region can function as a distributed sensor array: light pulses are perturbed by ground vibration, and those perturbations can be analyzed to reconstruct acoustic signatures at extended ranges. This method can in principle detect centrifuge-scale harmonic frequencies without any physical collection asset inside a facility perimeter. DAS technology is operationally established for pipeline integrity and seismic monitoring. Its application to centrifuge characterization at intelligence-relevant standoff distances is technically plausible but not publicly documented as a proven operational methodology. Assessment utility: moderate, pending operational validation. Primary failure mode: signal attenuation and background noise in complex geological environments. Appropriate analytic use: supporting activity indicator, corroborating with other facility collection.</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Hyperspectral Plume Analysis</w:t>
      </w:r>
    </w:p>
    <w:p>
      <w:pPr>
        <w:spacing w:after="80" w:before="80" w:line="276"/>
      </w:pPr>
      <w:r>
        <w:rPr>
          <w:rFonts w:ascii="Arial" w:cs="Arial" w:eastAsia="Arial" w:hAnsi="Arial"/>
          <w:color w:val="1A1A1A"/>
          <w:sz w:val="22"/>
          <w:szCs w:val="22"/>
        </w:rPr>
        <w:t xml:space="preserve">Ventilation systems in active enrichment or biological production facilities exhaust trace compounds that carry a molecular fingerprint. Hyperspectral imaging sensors, deployed on aircraft or satellite platforms, can identify the spectral signature of specific chemical byproducts including uranium hexafluoride conversion products, biological culture waste gases, or precursor chemicals. Detection performance depends heavily on atmospheric conditions, geometry, plume concentration, and the quality of spectral reference libraries. Hyperspectral plume analysis is a high-value technical indicator for facility characterization, but performance is conditional rather than absolute and should be treated as one corroborating layer in a multi-source collection architecture. Assessment utility: high under favorable conditions. Primary failure mode: atmospheric interference and plume dilution. Appropriate analytic use: primary facility characterization indicator, conditional on multi-date collection.</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Thermal Mass Analysis</w:t>
      </w:r>
    </w:p>
    <w:p>
      <w:pPr>
        <w:spacing w:after="80" w:before="80" w:line="276"/>
      </w:pPr>
      <w:r>
        <w:rPr>
          <w:rFonts w:ascii="Arial" w:cs="Arial" w:eastAsia="Arial" w:hAnsi="Arial"/>
          <w:color w:val="1A1A1A"/>
          <w:sz w:val="22"/>
          <w:szCs w:val="22"/>
        </w:rPr>
        <w:t xml:space="preserve">A structure's thermal inertia reflects its contents. A hollow structure cools and heats rapidly in response to ambient temperature cycles. A facility containing high-density industrial machinery exhibits a characteristically damped thermal response. Persistent infrared satellite coverage can distinguish operational facilities from decoys and track operational tempo through thermal emission pattern correlation. Assessment utility: moderate to high for fixed facility discrimination. Primary failure mode: thermal masking and deliberate insulation countermeasures. Appropriate analytic use: corroborating operational tempo indicator.</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Subterranean Acoustic Mapping</w:t>
      </w:r>
    </w:p>
    <w:p>
      <w:pPr>
        <w:spacing w:after="80" w:before="80" w:line="276"/>
      </w:pPr>
      <w:r>
        <w:rPr>
          <w:rFonts w:ascii="Arial" w:cs="Arial" w:eastAsia="Arial" w:hAnsi="Arial"/>
          <w:color w:val="1A1A1A"/>
          <w:sz w:val="22"/>
          <w:szCs w:val="22"/>
        </w:rPr>
        <w:t xml:space="preserve">Underground facilities conducting mechanical operations generate seismic signatures detectable through regional sensor networks. Centrifuge arrays, tunnel boring, and heavy machinery produce characteristic frequency profiles. Seismic monitoring provides a persistent, low-cost passive collection layer requiring no active asset deployment in the target area. Assessment utility: moderate for underground facility detection. Primary failure mode: noise floor in geologically complex or populated environments. Appropriate analytic use: persistent background indicator, supporting other facility collection.</w:t>
      </w:r>
    </w:p>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1.3  Capability Comparison Matrix</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760"/>
        <w:gridCol w:w="22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Collection 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Primary Target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Confidence Role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Key Limitation</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LDV / Cardiac Signature</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Individual</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Conditional supplementary only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Operationally immature; degrades with range and occlusion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eDNA Collection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Individual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Corroborating — not confirmatory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Contamination and nuclear DNA recovery variability</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Gait / IR Analysis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Individual</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Corroborating</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Occlusion, viewpoint, reference staleness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Voice Pattern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Individual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Supporting layer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Biological variation and deliberate countermeasure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Shadow ISR</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Individual + Network</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for candidate development; corroborating for identity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Managed deception of access patterns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Distributed Acoustic Sensing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Facility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Supporting activity indicator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Attenuation in complex geological environments</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Hyperspectral Imaging</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Facility</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Primary facility characterization — conditional</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Atmospheric interference and plume dilution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Thermal Mass Analysis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Facility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Corroborating operational tempo indicator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Thermal masking countermeasures</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color w:val="1A1A1A"/>
                <w:sz w:val="18"/>
                <w:szCs w:val="18"/>
              </w:rPr>
              <w:t xml:space="preserve">Seismic Monitoring</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Underground Facility</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Persistent background indicator</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val="false"/>
                <w:bCs w:val="false"/>
                <w:color w:val="1A1A1A"/>
                <w:sz w:val="18"/>
                <w:szCs w:val="18"/>
              </w:rPr>
              <w:t xml:space="preserve">Noise floor in populated environments</w:t>
            </w:r>
          </w:p>
        </w:tc>
      </w:tr>
    </w:tbl>
    <w:p>
      <w:pPr>
        <w:spacing w:after="100" w:before="0"/>
      </w:pPr>
      <w:r>
        <w:rPr>
          <w:sz w:val="22"/>
          <w:szCs w:val="22"/>
        </w:rPr>
        <w:t xml:space="preserve"/>
      </w:r>
    </w:p>
    <w:p>
      <w:r>
        <w:br w:type="page"/>
      </w:r>
    </w:p>
    <w:p>
      <w:pPr>
        <w:pStyle w:val="Heading1"/>
        <w:pBdr>
          <w:bottom w:val="single" w:color="2E5090" w:sz="6" w:space="4"/>
        </w:pBdr>
        <w:spacing w:after="160" w:before="360"/>
      </w:pPr>
      <w:r>
        <w:rPr>
          <w:rFonts w:ascii="Arial" w:cs="Arial" w:eastAsia="Arial" w:hAnsi="Arial"/>
          <w:b/>
          <w:bCs/>
          <w:color w:val="2E5090"/>
          <w:sz w:val="28"/>
          <w:szCs w:val="28"/>
        </w:rPr>
        <w:t xml:space="preserve">SECTION 2: REPRESENTATIVE SCENARIO</w:t>
      </w:r>
    </w:p>
    <w:p>
      <w:pPr>
        <w:spacing w:after="80" w:before="80" w:line="276"/>
      </w:pPr>
      <w:r>
        <w:rPr>
          <w:rFonts w:ascii="Arial" w:cs="Arial" w:eastAsia="Arial" w:hAnsi="Arial"/>
          <w:color w:val="1A1A1A"/>
          <w:sz w:val="22"/>
          <w:szCs w:val="22"/>
        </w:rPr>
        <w:t xml:space="preserve">Judgment: The following scenario illustrates how the collection architecture performs against a representative target set under realistic field constraints. The principal finding is that facility characterization reaches HIGH confidence through passive standoff collection, while individual attribution remains at MODERATE confidence without human confirmation. The scenario is analytic, not prescriptive. It does not describe any specific operation or recommend action.</w:t>
      </w:r>
    </w:p>
    <w:p>
      <w:pPr>
        <w:spacing w:after="3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2.1  Confidence Methodology</w:t>
      </w:r>
    </w:p>
    <w:p>
      <w:pPr>
        <w:spacing w:after="80" w:before="80" w:line="276"/>
      </w:pPr>
      <w:r>
        <w:rPr>
          <w:rFonts w:ascii="Arial" w:cs="Arial" w:eastAsia="Arial" w:hAnsi="Arial"/>
          <w:color w:val="1A1A1A"/>
          <w:sz w:val="22"/>
          <w:szCs w:val="22"/>
        </w:rPr>
        <w:t xml:space="preserve">Confidence levels in this assessment are analytic estimates, not statistical probabilities derived from a formal model. They reflect the analyst's judgment about the weight and independence of available evidence and are subject to revision as new collection becomes available. Illustrative percentage ranges used in this section are analytic shorthand only and do not represent statistically validated probabilities. Where percentage ranges appear, the corresponding confidence band label is the operative judgment.</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HIGH CONFIDENCE</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Multiple independent collection lines converge on the same conclusion. No plausible alternative explanation accounts for the combined evidence. Assessment would survive adversarial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MODERATE 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Evidence supports the conclusion but relies on inference, a single strong collection line, or corroborating layers with shared failure modes. Alternative explanations remain plausible.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LOW-MODERATE CONFIDENCE</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Evidence is suggestive but thin. The conclusion is the most probable explanation given available information, but competing hypotheses cannot be excluded. Assessment should not support irreversible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Independent collection 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 collection modality that can produce a positive result through a mechanism entirely distinct from other active modalities. Defeat or spoofing of one line does not affect the others.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Corroborating indicator</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Evidence consistent with the conclusion but not independently sufficient to establish it. Corroboration adds weight but does not substitute for an independent collection line.</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2.2  Target Set</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Facility</w:t>
            </w:r>
          </w:p>
        </w:tc>
        <w:tc>
          <w:tcPr>
            <w:tcW w:type="dxa" w:w="7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Suspected underground centrifuge hall, mountainous terrain, non-declared to IAEA, state party to NPT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Individual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Senior program director, known from previous IAEA inspection records, not publicly acknowledged by state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Objective</w:t>
            </w:r>
          </w:p>
        </w:tc>
        <w:tc>
          <w:tcPr>
            <w:tcW w:type="dxa" w:w="7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High-confidence characterization of facility function and confirmation of individual presence and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physical intrusion into sovereign territory; collection must meet evidentiary standards for sanctions designation and other high-consequence state decisions</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2.3  Phase 1 — Facility Characterization (Weeks 1–8)</w:t>
      </w:r>
    </w:p>
    <w:p>
      <w:pPr>
        <w:spacing w:after="80" w:before="80" w:line="276"/>
      </w:pPr>
      <w:r>
        <w:rPr>
          <w:rFonts w:ascii="Arial" w:cs="Arial" w:eastAsia="Arial" w:hAnsi="Arial"/>
          <w:color w:val="1A1A1A"/>
          <w:sz w:val="22"/>
          <w:szCs w:val="22"/>
        </w:rPr>
        <w:t xml:space="preserve">Collection begins with passive, standoff sensors requiring no penetration of sovereign airspace or territory.</w:t>
      </w:r>
    </w:p>
    <w:p>
      <w:pPr>
        <w:spacing w:after="3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Regional fiber optic infrastructure is monitored for seismic perturbations consistent with centrifuge harmonic frequencies. Baseline established over four weeks confirms recurring signatures at characteristic IR-6 spin rates.</w:t>
      </w:r>
    </w:p>
    <w:p>
      <w:pPr>
        <w:pStyle w:val="ListParagraph"/>
        <w:numPr>
          <w:ilvl w:val="0"/>
          <w:numId w:val="2"/>
        </w:numPr>
        <w:spacing w:after="60" w:before="60"/>
      </w:pPr>
      <w:r>
        <w:rPr>
          <w:rFonts w:ascii="Arial" w:cs="Arial" w:eastAsia="Arial" w:hAnsi="Arial"/>
          <w:color w:val="1A1A1A"/>
          <w:sz w:val="22"/>
          <w:szCs w:val="22"/>
        </w:rPr>
        <w:t xml:space="preserve">Satellite hyperspectral passes over ventilation outlet coordinates identify trace UF6 conversion byproducts in exhaust plumes on three separate collection dates, confirming active enrichment activity rather than a decoy or storage-only facility.</w:t>
      </w:r>
    </w:p>
    <w:p>
      <w:pPr>
        <w:pStyle w:val="ListParagraph"/>
        <w:numPr>
          <w:ilvl w:val="0"/>
          <w:numId w:val="2"/>
        </w:numPr>
        <w:spacing w:after="60" w:before="60"/>
      </w:pPr>
      <w:r>
        <w:rPr>
          <w:rFonts w:ascii="Arial" w:cs="Arial" w:eastAsia="Arial" w:hAnsi="Arial"/>
          <w:color w:val="1A1A1A"/>
          <w:sz w:val="22"/>
          <w:szCs w:val="22"/>
        </w:rPr>
        <w:t xml:space="preserve">Thermal mass analysis over a 60-day period establishes a damped thermal response inconsistent with a hollow structure and consistent with high-density industrial machinery underground. Operational tempo assessment indicates two active production shifts.</w:t>
      </w:r>
    </w:p>
    <w:p>
      <w:pPr>
        <w:pStyle w:val="ListParagraph"/>
        <w:numPr>
          <w:ilvl w:val="0"/>
          <w:numId w:val="2"/>
        </w:numPr>
        <w:spacing w:after="60" w:before="60"/>
      </w:pPr>
      <w:r>
        <w:rPr>
          <w:rFonts w:ascii="Arial" w:cs="Arial" w:eastAsia="Arial" w:hAnsi="Arial"/>
          <w:color w:val="1A1A1A"/>
          <w:sz w:val="22"/>
          <w:szCs w:val="22"/>
        </w:rPr>
        <w:t xml:space="preserve">Result: HIGH CONFIDENCE assessment that the facility is an active enrichment site. Facility function is the most analytically durable element of the overall assessment.</w:t>
      </w:r>
    </w:p>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2.4  Phase 2 — Individual Identification (Weeks 4–16)</w:t>
      </w:r>
    </w:p>
    <w:p>
      <w:pPr>
        <w:spacing w:after="80" w:before="80" w:line="276"/>
      </w:pPr>
      <w:r>
        <w:rPr>
          <w:rFonts w:ascii="Arial" w:cs="Arial" w:eastAsia="Arial" w:hAnsi="Arial"/>
          <w:color w:val="1A1A1A"/>
          <w:sz w:val="22"/>
          <w:szCs w:val="22"/>
        </w:rPr>
        <w:t xml:space="preserve">Facility characterization generates a targeting baseline that drives individual collection. Shadow ISR is initiated against the facility access pattern.</w:t>
      </w:r>
    </w:p>
    <w:p>
      <w:pPr>
        <w:spacing w:after="3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Persistent overhead coverage maps vehicle access cycles, security posture changes, and personnel movement patterns. A recurring access signature is identified: one individual arrives with a three-vehicle security detail on a schedule correlated with shift change and operational tempo increases.</w:t>
      </w:r>
    </w:p>
    <w:p>
      <w:pPr>
        <w:pStyle w:val="ListParagraph"/>
        <w:numPr>
          <w:ilvl w:val="0"/>
          <w:numId w:val="2"/>
        </w:numPr>
        <w:spacing w:after="60" w:before="60"/>
      </w:pPr>
      <w:r>
        <w:rPr>
          <w:rFonts w:ascii="Arial" w:cs="Arial" w:eastAsia="Arial" w:hAnsi="Arial"/>
          <w:color w:val="1A1A1A"/>
          <w:sz w:val="22"/>
          <w:szCs w:val="22"/>
        </w:rPr>
        <w:t xml:space="preserve">Gait analysis against reference footage from IAEA inspection records identifies a corroborating match. This is treated as corroborating, not confirmatory.</w:t>
      </w:r>
    </w:p>
    <w:p>
      <w:pPr>
        <w:pStyle w:val="ListParagraph"/>
        <w:numPr>
          <w:ilvl w:val="0"/>
          <w:numId w:val="2"/>
        </w:numPr>
        <w:spacing w:after="60" w:before="60"/>
      </w:pPr>
      <w:r>
        <w:rPr>
          <w:rFonts w:ascii="Arial" w:cs="Arial" w:eastAsia="Arial" w:hAnsi="Arial"/>
          <w:color w:val="1A1A1A"/>
          <w:sz w:val="22"/>
          <w:szCs w:val="22"/>
        </w:rPr>
        <w:t xml:space="preserve">eDNA collection via fixed intake positioned at a secondary vehicle checkpoint acquires biological material. Field analysis produces a partial match against the reference DNA profile. Given known contamination and nuclear DNA recovery limitations in open environments, this result is treated as corroborating rather than confirmatory. Conditional confidence contribution: moderate.</w:t>
      </w:r>
    </w:p>
    <w:p>
      <w:pPr>
        <w:pStyle w:val="ListParagraph"/>
        <w:numPr>
          <w:ilvl w:val="0"/>
          <w:numId w:val="2"/>
        </w:numPr>
        <w:spacing w:after="60" w:before="60"/>
      </w:pPr>
      <w:r>
        <w:rPr>
          <w:rFonts w:ascii="Arial" w:cs="Arial" w:eastAsia="Arial" w:hAnsi="Arial"/>
          <w:color w:val="1A1A1A"/>
          <w:sz w:val="22"/>
          <w:szCs w:val="22"/>
        </w:rPr>
        <w:t xml:space="preserve">LDV collection attempted to capture physiologic signature data. Environmental conditions limit result quality. Output is treated as a supplementary indicator with low independent weight given the operational immaturity of LDV-based biometric identification.</w:t>
      </w:r>
    </w:p>
    <w:p>
      <w:pPr>
        <w:pStyle w:val="ListParagraph"/>
        <w:numPr>
          <w:ilvl w:val="0"/>
          <w:numId w:val="2"/>
        </w:numPr>
        <w:spacing w:after="60" w:before="60"/>
      </w:pPr>
      <w:r>
        <w:rPr>
          <w:rFonts w:ascii="Arial" w:cs="Arial" w:eastAsia="Arial" w:hAnsi="Arial"/>
          <w:color w:val="1A1A1A"/>
          <w:sz w:val="22"/>
          <w:szCs w:val="22"/>
        </w:rPr>
        <w:t xml:space="preserve">Cross-validated result: Individual is present at facility with moderate-high confidence based primarily on gait corroboration and shadow ISR pattern. eDNA provides conditional supporting evidence. LDV provides weak supplementary indication. No single layer is confirmatory in isolation.</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60" w:before="0"/>
            </w:pPr>
            <w:r>
              <w:rPr>
                <w:rFonts w:ascii="Arial" w:cs="Arial" w:eastAsia="Arial" w:hAnsi="Arial"/>
                <w:b/>
                <w:bCs/>
                <w:color w:val="8B6914"/>
                <w:sz w:val="22"/>
                <w:szCs w:val="22"/>
              </w:rPr>
              <w:t xml:space="preserve">CONFIDENCE ASSESSMENT — COMBINED</w:t>
            </w:r>
          </w:p>
          <w:p>
            <w:pPr>
              <w:spacing w:after="0" w:before="0"/>
            </w:pPr>
            <w:r>
              <w:rPr>
                <w:rFonts w:ascii="Arial" w:cs="Arial" w:eastAsia="Arial" w:hAnsi="Arial"/>
                <w:color w:val="1A1A1A"/>
                <w:sz w:val="21"/>
                <w:szCs w:val="21"/>
              </w:rPr>
              <w:t xml:space="preserve">Facility function: HIGH CONFIDENCE, based on three independent technical collection lines with distinct failure modes. Individual identity: MODERATE CONFIDENCE, based on gait corroboration and shadow ISR pattern; eDNA provides conditional supporting evidence; LDV contribution is weak and operationally unproven. Individual's association with the facility in a program director capacity: LOW-MODERATE CONFIDENCE, based on access pattern inference. The identity and role assessments do not reach the threshold required for high-consequence action under applicable analytic standards. The package is analytically sufficient for sanctions designation proceedings. Additional independent confirmation would be required before higher-consequence decisions are analytically supportable.</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2.6  Confidence Drivers and Limiters</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Confidence Drivers</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Confidence Limiters</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Repeated multi-date technical collection across three facility sensors</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No direct human confirmation of facility function or individual identity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Convergent but independent facility indicators with distinct failure modes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eDNA result conditional on contamination controls not verifiable in field</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Stable pattern-of-life correlation over 12-week observation window</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Inferential gap between physical presence and command role attribution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Shadow ISR and gait corroboration drawn from separate collection platforms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Unresolved deception possibilities: planted signatures, managed access patterns</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Facility thermal and acoustic signatures mutually corroborating</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Reference material for individual may contain staleness risk if over 18 months 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Three-layer facility assessment produces no conflicting indicators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LDV output operationally immature; contributes noise rather than independent signal</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2.7  Source Reliability vs. Analytic Confidence</w:t>
      </w:r>
    </w:p>
    <w:p>
      <w:pPr>
        <w:spacing w:after="80" w:before="80" w:line="276"/>
      </w:pPr>
      <w:r>
        <w:rPr>
          <w:rFonts w:ascii="Arial" w:cs="Arial" w:eastAsia="Arial" w:hAnsi="Arial"/>
          <w:color w:val="1A1A1A"/>
          <w:sz w:val="22"/>
          <w:szCs w:val="22"/>
        </w:rPr>
        <w:t xml:space="preserve">These are distinct layers. Conflating them is a primary source of overconfident assessments.</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 and Application in This Assessment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Modality reliability</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The established performance of a given sensing technology under known conditions. Hyperspectral detection of UF6 byproducts has established reliability in favorable atmospheric conditions. LDV cardiac biometrics do not have established operational reliability. Modality reliability is a property of the technology, not of the specific collection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Collection 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quality of the specific collection event given actual field conditions. A hyperspectral pass in poor atmospheric conditions produces a lower-quality result than modality reliability alone would suggest. Each collection event must be assessed individually against prevailing conditions.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Analytic confidence</w:t>
            </w:r>
          </w:p>
        </w:tc>
        <w:tc>
          <w:tcPr>
            <w:tcW w:type="dxa" w:w="6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The analyst's judgment about what the combined collection product means, accounting for modality reliability, collection quality, and alternative hypotheses. This is where inference and uncertainty tolerance apply. It must be presented with explicit acknowledgment of its inferential components and should never be treated as equivalent to a measured probability.</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2.8  Analytic Confidence and Alternative Hypotheses</w:t>
      </w:r>
    </w:p>
    <w:p>
      <w:pPr>
        <w:spacing w:after="80" w:before="80" w:line="276"/>
      </w:pPr>
      <w:r>
        <w:rPr>
          <w:rFonts w:ascii="Arial" w:cs="Arial" w:eastAsia="Arial" w:hAnsi="Arial"/>
          <w:color w:val="1A1A1A"/>
          <w:sz w:val="22"/>
          <w:szCs w:val="22"/>
        </w:rPr>
        <w:t xml:space="preserve">The following section explicitly tests rival explanations before the primary conclusion is adopted. Failure to document alternative hypotheses is a primary source of analytic failure in targeting decisions.</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What Is Known</w:t>
      </w:r>
    </w:p>
    <w:p>
      <w:pPr>
        <w:pStyle w:val="ListParagraph"/>
        <w:numPr>
          <w:ilvl w:val="0"/>
          <w:numId w:val="2"/>
        </w:numPr>
        <w:spacing w:after="60" w:before="60"/>
      </w:pPr>
      <w:r>
        <w:rPr>
          <w:rFonts w:ascii="Arial" w:cs="Arial" w:eastAsia="Arial" w:hAnsi="Arial"/>
          <w:color w:val="1A1A1A"/>
          <w:sz w:val="22"/>
          <w:szCs w:val="22"/>
        </w:rPr>
        <w:t xml:space="preserve">Facility exhibits persistent acoustic, thermal, and chemical signatures consistent with active centrifuge enrichment operations across three independent collection events.</w:t>
      </w:r>
    </w:p>
    <w:p>
      <w:pPr>
        <w:pStyle w:val="ListParagraph"/>
        <w:numPr>
          <w:ilvl w:val="0"/>
          <w:numId w:val="2"/>
        </w:numPr>
        <w:spacing w:after="60" w:before="60"/>
      </w:pPr>
      <w:r>
        <w:rPr>
          <w:rFonts w:ascii="Arial" w:cs="Arial" w:eastAsia="Arial" w:hAnsi="Arial"/>
          <w:color w:val="1A1A1A"/>
          <w:sz w:val="22"/>
          <w:szCs w:val="22"/>
        </w:rPr>
        <w:t xml:space="preserve">An individual with a three-vehicle security detail accesses the facility on a schedule correlated with operational tempo increases.</w:t>
      </w:r>
    </w:p>
    <w:p>
      <w:pPr>
        <w:pStyle w:val="ListParagraph"/>
        <w:numPr>
          <w:ilvl w:val="0"/>
          <w:numId w:val="2"/>
        </w:numPr>
        <w:spacing w:after="60" w:before="60"/>
      </w:pPr>
      <w:r>
        <w:rPr>
          <w:rFonts w:ascii="Arial" w:cs="Arial" w:eastAsia="Arial" w:hAnsi="Arial"/>
          <w:color w:val="1A1A1A"/>
          <w:sz w:val="22"/>
          <w:szCs w:val="22"/>
        </w:rPr>
        <w:t xml:space="preserve">Gait analysis produces a corroborating match against IAEA reference footage. eDNA produces a partial conditional match against available reference material.</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What Is Inferred</w:t>
      </w:r>
    </w:p>
    <w:p>
      <w:pPr>
        <w:pStyle w:val="ListParagraph"/>
        <w:numPr>
          <w:ilvl w:val="0"/>
          <w:numId w:val="2"/>
        </w:numPr>
        <w:spacing w:after="60" w:before="60"/>
      </w:pPr>
      <w:r>
        <w:rPr>
          <w:rFonts w:ascii="Arial" w:cs="Arial" w:eastAsia="Arial" w:hAnsi="Arial"/>
          <w:color w:val="1A1A1A"/>
          <w:sz w:val="22"/>
          <w:szCs w:val="22"/>
        </w:rPr>
        <w:t xml:space="preserve">The facility is performing uranium enrichment rather than declared civilian industrial activity.</w:t>
      </w:r>
    </w:p>
    <w:p>
      <w:pPr>
        <w:pStyle w:val="ListParagraph"/>
        <w:numPr>
          <w:ilvl w:val="0"/>
          <w:numId w:val="2"/>
        </w:numPr>
        <w:spacing w:after="60" w:before="60"/>
      </w:pPr>
      <w:r>
        <w:rPr>
          <w:rFonts w:ascii="Arial" w:cs="Arial" w:eastAsia="Arial" w:hAnsi="Arial"/>
          <w:color w:val="1A1A1A"/>
          <w:sz w:val="22"/>
          <w:szCs w:val="22"/>
        </w:rPr>
        <w:t xml:space="preserve">The individual with security-detail access is the known program director rather than a successor, family member, or deliberate decoy.</w:t>
      </w:r>
    </w:p>
    <w:p>
      <w:pPr>
        <w:pStyle w:val="ListParagraph"/>
        <w:numPr>
          <w:ilvl w:val="0"/>
          <w:numId w:val="2"/>
        </w:numPr>
        <w:spacing w:after="60" w:before="60"/>
      </w:pPr>
      <w:r>
        <w:rPr>
          <w:rFonts w:ascii="Arial" w:cs="Arial" w:eastAsia="Arial" w:hAnsi="Arial"/>
          <w:color w:val="1A1A1A"/>
          <w:sz w:val="22"/>
          <w:szCs w:val="22"/>
        </w:rPr>
        <w:t xml:space="preserve">Access pattern reflects program director authority rather than security, logistical, or inspection role.</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Principal Alternative Explanations</w:t>
      </w:r>
    </w:p>
    <w:p>
      <w:pPr>
        <w:pStyle w:val="ListParagraph"/>
        <w:numPr>
          <w:ilvl w:val="0"/>
          <w:numId w:val="2"/>
        </w:numPr>
        <w:spacing w:after="60" w:before="60"/>
      </w:pPr>
      <w:r>
        <w:rPr>
          <w:rFonts w:ascii="Arial" w:cs="Arial" w:eastAsia="Arial" w:hAnsi="Arial"/>
          <w:color w:val="1A1A1A"/>
          <w:sz w:val="22"/>
          <w:szCs w:val="22"/>
        </w:rPr>
        <w:t xml:space="preserve">Dual-use industrial activity: Acoustic and thermal signatures may reflect legitimate heavy industrial operations co-located with or adjacent to the suspected facility. Hyperspectral UF6 indicators are the primary counter to this hypothesis but depend on plume concentration and atmospheric geometry.</w:t>
      </w:r>
    </w:p>
    <w:p>
      <w:pPr>
        <w:pStyle w:val="ListParagraph"/>
        <w:numPr>
          <w:ilvl w:val="0"/>
          <w:numId w:val="2"/>
        </w:numPr>
        <w:spacing w:after="60" w:before="60"/>
      </w:pPr>
      <w:r>
        <w:rPr>
          <w:rFonts w:ascii="Arial" w:cs="Arial" w:eastAsia="Arial" w:hAnsi="Arial"/>
          <w:color w:val="1A1A1A"/>
          <w:sz w:val="22"/>
          <w:szCs w:val="22"/>
        </w:rPr>
        <w:t xml:space="preserve">Deceptive emissions: A sophisticated state program could deliberately emit trace UF6 byproducts and managed centrifuge harmonics to draw collection resources toward a decoy site while concealing actual operations elsewhere. Indicators that are suspiciously consistent across collection layers should increase rather than decrease deception suspicion.</w:t>
      </w:r>
    </w:p>
    <w:p>
      <w:pPr>
        <w:pStyle w:val="ListParagraph"/>
        <w:numPr>
          <w:ilvl w:val="0"/>
          <w:numId w:val="2"/>
        </w:numPr>
        <w:spacing w:after="60" w:before="60"/>
      </w:pPr>
      <w:r>
        <w:rPr>
          <w:rFonts w:ascii="Arial" w:cs="Arial" w:eastAsia="Arial" w:hAnsi="Arial"/>
          <w:color w:val="1A1A1A"/>
          <w:sz w:val="22"/>
          <w:szCs w:val="22"/>
        </w:rPr>
        <w:t xml:space="preserve">Individual misidentification: The person accessing the facility may be a successor, a family member with similar gait characteristics, or a deliberate decoy managed to match the reference profile. Gait corroboration and partial eDNA match are insufficient to exclude this hypothesis.</w:t>
      </w:r>
    </w:p>
    <w:p>
      <w:pPr>
        <w:pStyle w:val="ListParagraph"/>
        <w:numPr>
          <w:ilvl w:val="0"/>
          <w:numId w:val="2"/>
        </w:numPr>
        <w:spacing w:after="60" w:before="60"/>
      </w:pPr>
      <w:r>
        <w:rPr>
          <w:rFonts w:ascii="Arial" w:cs="Arial" w:eastAsia="Arial" w:hAnsi="Arial"/>
          <w:color w:val="1A1A1A"/>
          <w:sz w:val="22"/>
          <w:szCs w:val="22"/>
        </w:rPr>
        <w:t xml:space="preserve">Stale reference data: If the individual reference profile is more than 18 months old, gait modification through injury, aging, or deliberate training may reduce match validity. The match confidence should be discounted and flagged for revalidation.</w:t>
      </w:r>
    </w:p>
    <w:p>
      <w:pPr>
        <w:pStyle w:val="ListParagraph"/>
        <w:numPr>
          <w:ilvl w:val="0"/>
          <w:numId w:val="2"/>
        </w:numPr>
        <w:spacing w:after="60" w:before="60"/>
      </w:pPr>
      <w:r>
        <w:rPr>
          <w:rFonts w:ascii="Arial" w:cs="Arial" w:eastAsia="Arial" w:hAnsi="Arial"/>
          <w:color w:val="1A1A1A"/>
          <w:sz w:val="22"/>
          <w:szCs w:val="22"/>
        </w:rPr>
        <w:t xml:space="preserve">Contamination-driven false positive: Environmental contamination from third parties who handled the same surfaces as the reference individual could produce a partial eDNA match that does not indicate the individual's presence at the time of collection.</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What Additional Evidence Would Change the Judgment</w:t>
      </w:r>
    </w:p>
    <w:p>
      <w:pPr>
        <w:pStyle w:val="ListParagraph"/>
        <w:numPr>
          <w:ilvl w:val="0"/>
          <w:numId w:val="2"/>
        </w:numPr>
        <w:spacing w:after="60" w:before="60"/>
      </w:pPr>
      <w:r>
        <w:rPr>
          <w:rFonts w:ascii="Arial" w:cs="Arial" w:eastAsia="Arial" w:hAnsi="Arial"/>
          <w:color w:val="1A1A1A"/>
          <w:sz w:val="22"/>
          <w:szCs w:val="22"/>
        </w:rPr>
        <w:t xml:space="preserve">Additional independent confirmation of individual identity at the facility would materially elevate confidence and reduce the principal obstacle to higher-consequence decision-making.</w:t>
      </w:r>
    </w:p>
    <w:p>
      <w:pPr>
        <w:pStyle w:val="ListParagraph"/>
        <w:numPr>
          <w:ilvl w:val="0"/>
          <w:numId w:val="2"/>
        </w:numPr>
        <w:spacing w:after="60" w:before="60"/>
      </w:pPr>
      <w:r>
        <w:rPr>
          <w:rFonts w:ascii="Arial" w:cs="Arial" w:eastAsia="Arial" w:hAnsi="Arial"/>
          <w:color w:val="1A1A1A"/>
          <w:sz w:val="22"/>
          <w:szCs w:val="22"/>
        </w:rPr>
        <w:t xml:space="preserve">A second independent eDNA collection event with stronger nuclear DNA recovery under controlled conditions would strengthen the individual match.</w:t>
      </w:r>
    </w:p>
    <w:p>
      <w:pPr>
        <w:pStyle w:val="ListParagraph"/>
        <w:numPr>
          <w:ilvl w:val="0"/>
          <w:numId w:val="2"/>
        </w:numPr>
        <w:spacing w:after="60" w:before="60"/>
      </w:pPr>
      <w:r>
        <w:rPr>
          <w:rFonts w:ascii="Arial" w:cs="Arial" w:eastAsia="Arial" w:hAnsi="Arial"/>
          <w:color w:val="1A1A1A"/>
          <w:sz w:val="22"/>
          <w:szCs w:val="22"/>
        </w:rPr>
        <w:t xml:space="preserve">SIGINT or communications intercept linking the individual to active program decisions would close the inferential gap on role attribution.</w:t>
      </w:r>
    </w:p>
    <w:p>
      <w:pPr>
        <w:pStyle w:val="ListParagraph"/>
        <w:numPr>
          <w:ilvl w:val="0"/>
          <w:numId w:val="2"/>
        </w:numPr>
        <w:spacing w:after="60" w:before="60"/>
      </w:pPr>
      <w:r>
        <w:rPr>
          <w:rFonts w:ascii="Arial" w:cs="Arial" w:eastAsia="Arial" w:hAnsi="Arial"/>
          <w:color w:val="1A1A1A"/>
          <w:sz w:val="22"/>
          <w:szCs w:val="22"/>
        </w:rPr>
        <w:t xml:space="preserve">Identification of an alternative facility better accounting for the observed signatures would reduce facility confidence and require full reassessment.</w:t>
      </w:r>
    </w:p>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2.9  Assessment Staleness and Decay</w:t>
      </w:r>
    </w:p>
    <w:p>
      <w:pPr>
        <w:spacing w:after="80" w:before="80" w:line="276"/>
      </w:pPr>
      <w:r>
        <w:rPr>
          <w:rFonts w:ascii="Arial" w:cs="Arial" w:eastAsia="Arial" w:hAnsi="Arial"/>
          <w:color w:val="1A1A1A"/>
          <w:sz w:val="22"/>
          <w:szCs w:val="22"/>
        </w:rPr>
        <w:t xml:space="preserve">Analytic assessments expire at different rates. Treating a time-dated assessment as current without revalidation is a primary source of analytic error in high-consequence decision-making.</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Assessment Element</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Estimated Validity Window and Revalidation Requirement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Facility function (enrichment activity)</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Weeks to months. Facility characterization is relatively stable but can change with political decisions, maintenance cycles, or program disruption. Revalidation recommended every 30 days for active analytic purposes.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Centrifuge count and operational tempo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Days to weeks. Operational tempo can shift rapidly. Count estimates based on acoustic harmonics should be revalidated before any high-consequence decision dependent on program scope assessment.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Individual presence at facility</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Hours to days. Presence judgments based on pattern-of-life decay rapidly. An assessment more than 72 hours old should not be treated as current. Decisions of irreversible consequence require a fresh presence indicator within 24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Individual identity match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Stable unless reference data is stale. If reference material exceeds 18 months, decay the confidence rating and flag for revalidation against current collection.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Role attribution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Moderate stability. Organizational roles change with program evolution, political decisions, and personnel events. Revalidate against current access patterns every 60 days.</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2.10  Decision Architecture</w:t>
      </w:r>
    </w:p>
    <w:p>
      <w:pPr>
        <w:spacing w:after="80" w:before="80" w:line="276"/>
      </w:pPr>
      <w:r>
        <w:rPr>
          <w:rFonts w:ascii="Arial" w:cs="Arial" w:eastAsia="Arial" w:hAnsi="Arial"/>
          <w:color w:val="1A1A1A"/>
          <w:sz w:val="22"/>
          <w:szCs w:val="22"/>
        </w:rPr>
        <w:t xml:space="preserve">The collection product should be understood as a structured confidence assessment rather than as a mechanical trigger for action. Independent collection lines increase confidence only to the extent that they have distinct failure modes and do not reproduce the same underlying error. The analytic package should document confidence levels, alternative hypotheses, dissenting views, and the evidentiary chain for each major judgment. Legal and policy review should then assess whether the resulting package is sufficient for the category of decision under consideration. Where material uncertainty remains, additional independent confirmation from a separate collection architecture may be required before a high-consequence decision is analytically supportable.</w:t>
      </w:r>
    </w:p>
    <w:p>
      <w:pPr>
        <w:spacing w:after="100" w:before="0"/>
      </w:pPr>
      <w:r>
        <w:rPr>
          <w:sz w:val="22"/>
          <w:szCs w:val="22"/>
        </w:rPr>
        <w:t xml:space="preserve"/>
      </w:r>
    </w:p>
    <w:p>
      <w:r>
        <w:br w:type="page"/>
      </w:r>
    </w:p>
    <w:p>
      <w:pPr>
        <w:pStyle w:val="Heading1"/>
        <w:pBdr>
          <w:bottom w:val="single" w:color="2E5090" w:sz="6" w:space="4"/>
        </w:pBdr>
        <w:spacing w:after="160" w:before="360"/>
      </w:pPr>
      <w:r>
        <w:rPr>
          <w:rFonts w:ascii="Arial" w:cs="Arial" w:eastAsia="Arial" w:hAnsi="Arial"/>
          <w:b/>
          <w:bCs/>
          <w:color w:val="2E5090"/>
          <w:sz w:val="28"/>
          <w:szCs w:val="28"/>
        </w:rPr>
        <w:t xml:space="preserve">SECTION 3: LEGAL AUTHORITIES AND CONSTRAINTS</w:t>
      </w:r>
    </w:p>
    <w:p>
      <w:pPr>
        <w:spacing w:after="80" w:before="80" w:line="276"/>
      </w:pPr>
      <w:r>
        <w:rPr>
          <w:rFonts w:ascii="Arial" w:cs="Arial" w:eastAsia="Arial" w:hAnsi="Arial"/>
          <w:color w:val="1A1A1A"/>
          <w:sz w:val="22"/>
          <w:szCs w:val="22"/>
        </w:rPr>
        <w:t xml:space="preserve">Judgment: Available domestic legal authorities provide a basis for collection and, in defined circumstances, for consequential action against WMD programs. The international legal framework is contested rather than permissive. The practical limits of compulsory enforcement under current international legal institutions reduce, but do not eliminate, legal constraint. The principal uncertainty is not whether authority exists but whether the authority asserted would survive post-action scrutiny in the relevant political and legal forums.</w:t>
      </w:r>
    </w:p>
    <w:p>
      <w:pPr>
        <w:spacing w:after="5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3.1  International Law Framework</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UN Charter Article 2(4) — Sovereignty</w:t>
      </w:r>
    </w:p>
    <w:p>
      <w:pPr>
        <w:spacing w:after="80" w:before="80" w:line="276"/>
      </w:pPr>
      <w:r>
        <w:rPr>
          <w:rFonts w:ascii="Arial" w:cs="Arial" w:eastAsia="Arial" w:hAnsi="Arial"/>
          <w:color w:val="1A1A1A"/>
          <w:sz w:val="22"/>
          <w:szCs w:val="22"/>
        </w:rPr>
        <w:t xml:space="preserve">Article 2(4) prohibits the threat or use of force against the territorial integrity of any state. Article 2(4) is specifically about force and does not by itself govern all intelligence collection activity. However, sovereignty analysis is not exhausted by Article 2(4). Intelligence activities that do not constitute uses of force may still raise separate legal questions under customary international law governing non-intervention and state sovereignty. Emplacing collection devices, conducting cyber operations against facility networks, or overflying sovereign airspace without consent each raise distinct legal exposure beyond the Article 2(4) framework.</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UN Charter Article 51 — Self-Defense</w:t>
      </w:r>
    </w:p>
    <w:p>
      <w:pPr>
        <w:spacing w:after="80" w:before="80" w:line="276"/>
      </w:pPr>
      <w:r>
        <w:rPr>
          <w:rFonts w:ascii="Arial" w:cs="Arial" w:eastAsia="Arial" w:hAnsi="Arial"/>
          <w:color w:val="1A1A1A"/>
          <w:sz w:val="22"/>
          <w:szCs w:val="22"/>
        </w:rPr>
        <w:t xml:space="preserve">Article 51 preserves the inherent right of individual and collective self-defense. The traditional interpretation requires an armed attack to have already occurred. This standard is operationally inadequate for WMD programs, where the harm from waiting for an armed attack is catastrophic and irreversible.</w:t>
      </w:r>
    </w:p>
    <w:p>
      <w:pPr>
        <w:spacing w:after="3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Interceptive self-defense: Covers imminent attack where the adversary has committed to action. Legally uncontroversial but operationally inapplicable to a program in development.</w:t>
      </w:r>
    </w:p>
    <w:p>
      <w:pPr>
        <w:pStyle w:val="ListParagraph"/>
        <w:numPr>
          <w:ilvl w:val="0"/>
          <w:numId w:val="2"/>
        </w:numPr>
        <w:spacing w:after="60" w:before="60"/>
      </w:pPr>
      <w:r>
        <w:rPr>
          <w:rFonts w:ascii="Arial" w:cs="Arial" w:eastAsia="Arial" w:hAnsi="Arial"/>
          <w:color w:val="1A1A1A"/>
          <w:sz w:val="22"/>
          <w:szCs w:val="22"/>
        </w:rPr>
        <w:t xml:space="preserve">Anticipatory self-defense: Covers threats that are real and serious but not yet imminent. Legally contested. The Caroline standard — necessity instant, overwhelming, leaving no choice — is not met by a program under construction.</w:t>
      </w:r>
    </w:p>
    <w:p>
      <w:pPr>
        <w:pStyle w:val="ListParagraph"/>
        <w:numPr>
          <w:ilvl w:val="0"/>
          <w:numId w:val="2"/>
        </w:numPr>
        <w:spacing w:after="60" w:before="60"/>
      </w:pPr>
      <w:r>
        <w:rPr>
          <w:rFonts w:ascii="Arial" w:cs="Arial" w:eastAsia="Arial" w:hAnsi="Arial"/>
          <w:color w:val="1A1A1A"/>
          <w:sz w:val="22"/>
          <w:szCs w:val="22"/>
        </w:rPr>
        <w:t xml:space="preserve">Preemptive self-defense: Covers threats that are future and probabilistic. The 2002 US National Security Strategy articulated this doctrine. It remains rejected by most states and international legal scholars as inconsistent with the Charter framework.</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The Caroline Test (1837 Customary Law)</w:t>
      </w:r>
    </w:p>
    <w:p>
      <w:pPr>
        <w:spacing w:after="80" w:before="80" w:line="276"/>
      </w:pPr>
      <w:r>
        <w:rPr>
          <w:rFonts w:ascii="Arial" w:cs="Arial" w:eastAsia="Arial" w:hAnsi="Arial"/>
          <w:color w:val="1A1A1A"/>
          <w:sz w:val="22"/>
          <w:szCs w:val="22"/>
        </w:rPr>
        <w:t xml:space="preserve">The foundational customary law standard for anticipatory self-defense requires that necessity be instant, overwhelming, leaving no choice of means and no moment for deliberation, and that the response be proportionate to the threat. A weapons program under multi-year development does not satisfy this standard on its face. States invoking self-defense against WMD programs rely on modified versions of anticipatory self-defense doctrine that are legally arguable but not clearly lawful.</w:t>
      </w:r>
    </w:p>
    <w:p>
      <w:pPr>
        <w:spacing w:after="30" w:before="0"/>
      </w:pPr>
      <w:r>
        <w:rPr>
          <w:sz w:val="22"/>
          <w:szCs w:val="22"/>
        </w:rPr>
        <w:t xml:space="preserve"/>
      </w:r>
    </w:p>
    <w:p>
      <w:pPr>
        <w:spacing w:after="80" w:before="200"/>
      </w:pPr>
      <w:r>
        <w:rPr>
          <w:rFonts w:ascii="Arial" w:cs="Arial" w:eastAsia="Arial" w:hAnsi="Arial"/>
          <w:b/>
          <w:bCs/>
          <w:i/>
          <w:iCs/>
          <w:color w:val="2E5090"/>
          <w:sz w:val="22"/>
          <w:szCs w:val="22"/>
        </w:rPr>
        <w:t xml:space="preserve">NPT and IAEA Safeguards Framework</w:t>
      </w:r>
    </w:p>
    <w:p>
      <w:pPr>
        <w:spacing w:after="80" w:before="80" w:line="276"/>
      </w:pPr>
      <w:r>
        <w:rPr>
          <w:rFonts w:ascii="Arial" w:cs="Arial" w:eastAsia="Arial" w:hAnsi="Arial"/>
          <w:color w:val="1A1A1A"/>
          <w:sz w:val="22"/>
          <w:szCs w:val="22"/>
        </w:rPr>
        <w:t xml:space="preserve">For nuclear programs specifically, the Non-Proliferation Treaty, comprehensive safeguards agreements, and the Additional Protocol create an inspection and verification architecture. States in violation of these obligations are subject to IAEA Board of Governors referral to the UN Security Council. This pathway provides a multilateral legal basis for coercive measures that is more robust than unilateral self-defense claims but is dependent on Security Council consensus and is subject to veto dynamics.</w:t>
      </w:r>
    </w:p>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3.2  Domestic Legal Authorities (United States)</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Authority</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Application and Limitation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Presidential Finding (Title 50 USC §3093)</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Authorizes covert action programs including collection and lethal action. Requires congressional notification. Provides domestic legal cover but does not resolve international law questions.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Executive Order 12333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Prohibits assassination: no person employed by or acting on behalf of the US government shall engage in assassination. The Order does not on its face specify exceptions. Subsequent legal interpretations have treated uses of lethal force in lawful armed conflict or in self-defense contexts as legally distinct from assassination under the Order. That distinction is a matter of executive branch legal interpretation rather than explicit statutory text, and its scope remains contested.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Authorization for Use of Military Force (AUMF)</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2001 AUMF authorizes force against those responsible for 9/11 and associated forces. Application to state WMD programs requires a nexus to terrorism that is not always present. No standing AUMF covers state proliferation actors.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Article II War Powers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Presidential authority as Commander in Chief to take military action to protect national security interests without congressional authorization. Contested scope. Has been invoked for strikes against WMD-related targets including Syria 2017 and 2018.</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2A4A"/>
                <w:sz w:val="20"/>
                <w:szCs w:val="20"/>
              </w:rPr>
              <w:t xml:space="preserve">Executive Order 13382</w:t>
            </w:r>
          </w:p>
        </w:tc>
        <w:tc>
          <w:tcPr>
            <w:tcW w:type="dxa" w:w="6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20"/>
                <w:szCs w:val="20"/>
              </w:rPr>
              <w:t xml:space="preserve">Authorizes designation and asset blocking of WMD proliferators and their supporters. Provides a sanctions-based action pathway that does not require self-defense justification and has a lower evidentiary threshold than kinetic action.</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3.3  The Enforcement Gap</w:t>
      </w:r>
    </w:p>
    <w:p>
      <w:pPr>
        <w:spacing w:after="80" w:before="80" w:line="276"/>
      </w:pPr>
      <w:r>
        <w:rPr>
          <w:rFonts w:ascii="Arial" w:cs="Arial" w:eastAsia="Arial" w:hAnsi="Arial"/>
          <w:color w:val="1A1A1A"/>
          <w:sz w:val="22"/>
          <w:szCs w:val="22"/>
        </w:rPr>
        <w:t xml:space="preserve">The critical structural feature of international law as applied to this domain is the practical limits on compulsory enforcement. No international court holds binding jurisdiction over states that choose not to submit to it. The International Court of Justice can hear cases but remedies are indirect and depend on state compliance. The International Criminal Court faces jurisdictional limitations that make prosecution of state-authorized actions by major state actors effectively rare. It is important to distinguish between breach of a legal obligation, available remedies, and actual consequences. Binding legal obligations exist. Weak enforcement mechanisms do not make violations legally permissible; they make the practical consequences of violation manageable for powerful states in specific political contexts.</w:t>
      </w:r>
    </w:p>
    <w:p>
      <w:pPr>
        <w:spacing w:after="30" w:before="0"/>
      </w:pPr>
      <w:r>
        <w:rPr>
          <w:sz w:val="22"/>
          <w:szCs w:val="22"/>
        </w:rPr>
        <w:t xml:space="preserve"/>
      </w:r>
    </w:p>
    <w:p>
      <w:pPr>
        <w:spacing w:after="80" w:before="80" w:line="276"/>
      </w:pPr>
      <w:r>
        <w:rPr>
          <w:rFonts w:ascii="Arial" w:cs="Arial" w:eastAsia="Arial" w:hAnsi="Arial"/>
          <w:color w:val="1A1A1A"/>
          <w:sz w:val="22"/>
          <w:szCs w:val="22"/>
        </w:rPr>
        <w:t xml:space="preserve">The practical result is that accountability for action against WMD programs is heavily political in addition to legal. States calculate the diplomatic and strategic cost of action against the risk posed by inaction, construct the most defensible legal argument available under existing doctrine, and absorb the consequences. The legal framework shapes the form of the decision, creates real constraints at the margins, and generates post-hoc legal exposure that can affect future diplomatic relationships and coalition access. It does not function as a hard ceiling when states determine core security interests are at stake and enforcement pathways are limited.</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6" w:val="clear"/>
            <w:tcMar>
              <w:top w:type="dxa" w:w="120"/>
              <w:left w:type="dxa" w:w="180"/>
              <w:bottom w:type="dxa" w:w="120"/>
              <w:right w:type="dxa" w:w="180"/>
            </w:tcMar>
          </w:tcPr>
          <w:p>
            <w:pPr>
              <w:spacing w:after="60" w:before="0"/>
            </w:pPr>
            <w:r>
              <w:rPr>
                <w:rFonts w:ascii="Arial" w:cs="Arial" w:eastAsia="Arial" w:hAnsi="Arial"/>
                <w:b/>
                <w:bCs/>
                <w:color w:val="C0392B"/>
                <w:sz w:val="22"/>
                <w:szCs w:val="22"/>
              </w:rPr>
              <w:t xml:space="preserve">HISTORICAL PRECEDENT</w:t>
            </w:r>
          </w:p>
          <w:p>
            <w:pPr>
              <w:spacing w:after="0" w:before="0"/>
            </w:pPr>
            <w:r>
              <w:rPr>
                <w:rFonts w:ascii="Arial" w:cs="Arial" w:eastAsia="Arial" w:hAnsi="Arial"/>
                <w:color w:val="1A1A1A"/>
                <w:sz w:val="21"/>
                <w:szCs w:val="21"/>
              </w:rPr>
              <w:t xml:space="preserve">The 1981 Israeli strike on the Osirak reactor in Iraq had no clean legal basis and was widely condemned at the time including by the United States. It is now often cited as strategically effective despite the absence of a clean legal basis. The 2007 Israeli strike on the Al-Kibar reactor in Syria was not acknowledged for years and produced no serious legal consequence. The Iranian nuclear scientist operations attributed to Israel constitute extrajudicial action on foreign sovereign territory with no clear international legal authorization. In each case, the operation proceeded because the strategic calculation outweighed the legal exposure, and post-hoc political management contained the diplomatic damage. These cases illustrate the operational logic that governs this domain in practice.</w:t>
            </w:r>
          </w:p>
        </w:tc>
      </w:tr>
    </w:tbl>
    <w:p>
      <w:pPr>
        <w:spacing w:after="100" w:before="0"/>
      </w:pPr>
      <w:r>
        <w:rPr>
          <w:sz w:val="22"/>
          <w:szCs w:val="22"/>
        </w:rPr>
        <w:t xml:space="preserve"/>
      </w:r>
    </w:p>
    <w:p>
      <w:r>
        <w:br w:type="page"/>
      </w:r>
    </w:p>
    <w:p>
      <w:pPr>
        <w:pStyle w:val="Heading1"/>
        <w:pBdr>
          <w:bottom w:val="single" w:color="2E5090" w:sz="6" w:space="4"/>
        </w:pBdr>
        <w:spacing w:after="160" w:before="360"/>
      </w:pPr>
      <w:r>
        <w:rPr>
          <w:rFonts w:ascii="Arial" w:cs="Arial" w:eastAsia="Arial" w:hAnsi="Arial"/>
          <w:b/>
          <w:bCs/>
          <w:color w:val="2E5090"/>
          <w:sz w:val="28"/>
          <w:szCs w:val="28"/>
        </w:rPr>
        <w:t xml:space="preserve">SECTION 4: SYNTHESIS AND POLICY IMPLICATIONS</w:t>
      </w:r>
    </w:p>
    <w:p>
      <w:pPr>
        <w:spacing w:after="80" w:before="80" w:line="276"/>
      </w:pPr>
      <w:r>
        <w:rPr>
          <w:rFonts w:ascii="Arial" w:cs="Arial" w:eastAsia="Arial" w:hAnsi="Arial"/>
          <w:color w:val="1A1A1A"/>
          <w:sz w:val="22"/>
          <w:szCs w:val="22"/>
        </w:rPr>
        <w:t xml:space="preserve">Judgment: The collection capabilities described in this briefing reduce some historical barriers to facility characterization. They do not eliminate the inferential and legal limitations associated with individual attribution or preemptive decision-making. The operative constraint has shifted for facility targets and remains substantial for individual targets. Policy and legal frameworks have not matured at the same rate as collection capabilities. That asymmetry is itself an institutional risk.</w:t>
      </w:r>
    </w:p>
    <w:p>
      <w:pPr>
        <w:spacing w:after="5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4.1  Assessment of Enabling Conditions</w:t>
      </w:r>
    </w:p>
    <w:p>
      <w:pPr>
        <w:spacing w:after="80" w:before="80" w:line="276"/>
      </w:pPr>
      <w:r>
        <w:rPr>
          <w:rFonts w:ascii="Arial" w:cs="Arial" w:eastAsia="Arial" w:hAnsi="Arial"/>
          <w:color w:val="1A1A1A"/>
          <w:sz w:val="22"/>
          <w:szCs w:val="22"/>
        </w:rPr>
        <w:t xml:space="preserve">Two conditions together define the current environment for action against WMD programs and associated individuals. Neither is binary, and neither is resolved.</w:t>
      </w:r>
    </w:p>
    <w:p>
      <w:pPr>
        <w:spacing w:after="3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3F5" w:val="clear"/>
            <w:tcMar>
              <w:top w:type="dxa" w:w="120"/>
              <w:left w:type="dxa" w:w="180"/>
              <w:bottom w:type="dxa" w:w="120"/>
              <w:right w:type="dxa" w:w="180"/>
            </w:tcMar>
          </w:tcPr>
          <w:p>
            <w:pPr>
              <w:spacing w:after="60" w:before="0"/>
            </w:pPr>
            <w:r>
              <w:rPr>
                <w:rFonts w:ascii="Arial" w:cs="Arial" w:eastAsia="Arial" w:hAnsi="Arial"/>
                <w:b/>
                <w:bCs/>
                <w:color w:val="2E5090"/>
                <w:sz w:val="22"/>
                <w:szCs w:val="22"/>
              </w:rPr>
              <w:t xml:space="preserve">CONDITION 1 — TECHNOLOGY</w:t>
            </w:r>
          </w:p>
          <w:p>
            <w:pPr>
              <w:spacing w:after="0" w:before="0"/>
            </w:pPr>
            <w:r>
              <w:rPr>
                <w:rFonts w:ascii="Arial" w:cs="Arial" w:eastAsia="Arial" w:hAnsi="Arial"/>
                <w:color w:val="1A1A1A"/>
                <w:sz w:val="21"/>
                <w:szCs w:val="21"/>
              </w:rPr>
              <w:t xml:space="preserve">For facility characterization, the limiting constraint has shifted toward analytic confidence management, legal sufficiency, and decision tolerance rather than raw sensor availability. This assessment is sufficient to support collection planning and preliminary action at the sanctions designation level. For individual attribution, technical and evidentiary limits remain substantial. This assessment is not sufficient to support high-consequence action against a named individual without additional independent confirmation.</w:t>
            </w:r>
          </w:p>
        </w:tc>
      </w:tr>
    </w:tbl>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5E6" w:val="clear"/>
            <w:tcMar>
              <w:top w:type="dxa" w:w="120"/>
              <w:left w:type="dxa" w:w="180"/>
              <w:bottom w:type="dxa" w:w="120"/>
              <w:right w:type="dxa" w:w="180"/>
            </w:tcMar>
          </w:tcPr>
          <w:p>
            <w:pPr>
              <w:spacing w:after="60" w:before="0"/>
            </w:pPr>
            <w:r>
              <w:rPr>
                <w:rFonts w:ascii="Arial" w:cs="Arial" w:eastAsia="Arial" w:hAnsi="Arial"/>
                <w:b/>
                <w:bCs/>
                <w:color w:val="2E7D32"/>
                <w:sz w:val="22"/>
                <w:szCs w:val="22"/>
              </w:rPr>
              <w:t xml:space="preserve">CONDITION 2 — LEGAL AUTHORITY</w:t>
            </w:r>
          </w:p>
          <w:p>
            <w:pPr>
              <w:spacing w:after="0" w:before="0"/>
            </w:pPr>
            <w:r>
              <w:rPr>
                <w:rFonts w:ascii="Arial" w:cs="Arial" w:eastAsia="Arial" w:hAnsi="Arial"/>
                <w:color w:val="1A1A1A"/>
                <w:sz w:val="21"/>
                <w:szCs w:val="21"/>
              </w:rPr>
              <w:t xml:space="preserve">Available domestic authorities provide a basis for collection and, in defined circumstances, for high-consequence action. Where international-law enforcement mechanisms are limited in practice, states may judge the practical legal and diplomatic consequences to be bearable in specific political contexts, even where the underlying international-law basis remains contested. Legal constraint is real. Its practical effect depends on the strength of available enforcement mechanisms and the political tolerance of the relevant actors.</w:t>
            </w:r>
          </w:p>
        </w:tc>
      </w:tr>
    </w:tbl>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4.2  Unresolved Questions</w:t>
      </w:r>
    </w:p>
    <w:p>
      <w:pPr>
        <w:spacing w:after="80" w:before="80" w:line="276"/>
      </w:pPr>
      <w:r>
        <w:rPr>
          <w:rFonts w:ascii="Arial" w:cs="Arial" w:eastAsia="Arial" w:hAnsi="Arial"/>
          <w:color w:val="1A1A1A"/>
          <w:sz w:val="22"/>
          <w:szCs w:val="22"/>
        </w:rPr>
        <w:t xml:space="preserve">Improved collection capability and available legal authority do not resolve the following questions. Each requires independent policy judgment before action is authorized.</w:t>
      </w:r>
    </w:p>
    <w:p>
      <w:pPr>
        <w:spacing w:after="3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Deterrence stability: Whether action accelerates rather than terminates a program, or triggers retaliation disproportionate to the strategic gain achieved.</w:t>
      </w:r>
    </w:p>
    <w:p>
      <w:pPr>
        <w:pStyle w:val="ListParagraph"/>
        <w:numPr>
          <w:ilvl w:val="0"/>
          <w:numId w:val="2"/>
        </w:numPr>
        <w:spacing w:after="60" w:before="60"/>
      </w:pPr>
      <w:r>
        <w:rPr>
          <w:rFonts w:ascii="Arial" w:cs="Arial" w:eastAsia="Arial" w:hAnsi="Arial"/>
          <w:color w:val="1A1A1A"/>
          <w:sz w:val="22"/>
          <w:szCs w:val="22"/>
        </w:rPr>
        <w:t xml:space="preserve">Alliance management: Whether unilateral action damages coalition relationships essential to long-term nonproliferation strategy.</w:t>
      </w:r>
    </w:p>
    <w:p>
      <w:pPr>
        <w:pStyle w:val="ListParagraph"/>
        <w:numPr>
          <w:ilvl w:val="0"/>
          <w:numId w:val="2"/>
        </w:numPr>
        <w:spacing w:after="60" w:before="60"/>
      </w:pPr>
      <w:r>
        <w:rPr>
          <w:rFonts w:ascii="Arial" w:cs="Arial" w:eastAsia="Arial" w:hAnsi="Arial"/>
          <w:color w:val="1A1A1A"/>
          <w:sz w:val="22"/>
          <w:szCs w:val="22"/>
        </w:rPr>
        <w:t xml:space="preserve">Escalation risk: Whether action against a facility or individual triggers wider conflict with consequences exceeding the threat posed by the program itself.</w:t>
      </w:r>
    </w:p>
    <w:p>
      <w:pPr>
        <w:pStyle w:val="ListParagraph"/>
        <w:numPr>
          <w:ilvl w:val="0"/>
          <w:numId w:val="2"/>
        </w:numPr>
        <w:spacing w:after="60" w:before="60"/>
      </w:pPr>
      <w:r>
        <w:rPr>
          <w:rFonts w:ascii="Arial" w:cs="Arial" w:eastAsia="Arial" w:hAnsi="Arial"/>
          <w:color w:val="1A1A1A"/>
          <w:sz w:val="22"/>
          <w:szCs w:val="22"/>
        </w:rPr>
        <w:t xml:space="preserve">Precedent effects: Whether operational precedent for preemptive action against WMD programs creates a norm others invoke against different targets with lower evidentiary standards.</w:t>
      </w:r>
    </w:p>
    <w:p>
      <w:pPr>
        <w:pStyle w:val="ListParagraph"/>
        <w:numPr>
          <w:ilvl w:val="0"/>
          <w:numId w:val="2"/>
        </w:numPr>
        <w:spacing w:after="60" w:before="60"/>
      </w:pPr>
      <w:r>
        <w:rPr>
          <w:rFonts w:ascii="Arial" w:cs="Arial" w:eastAsia="Arial" w:hAnsi="Arial"/>
          <w:color w:val="1A1A1A"/>
          <w:sz w:val="22"/>
          <w:szCs w:val="22"/>
        </w:rPr>
        <w:t xml:space="preserve">Confidence sufficiency: Whether the confidence assessment, even at HIGH on facility function, is sufficient given the irreversibility of high-consequence action and the residual probability of error.</w:t>
      </w:r>
    </w:p>
    <w:p>
      <w:pPr>
        <w:spacing w:after="100" w:before="0"/>
      </w:pPr>
      <w:r>
        <w:rPr>
          <w:sz w:val="22"/>
          <w:szCs w:val="22"/>
        </w:rPr>
        <w:t xml:space="preserve"/>
      </w:r>
    </w:p>
    <w:p>
      <w:pPr>
        <w:pStyle w:val="Heading2"/>
        <w:spacing w:after="120" w:before="280"/>
      </w:pPr>
      <w:r>
        <w:rPr>
          <w:rFonts w:ascii="Arial" w:cs="Arial" w:eastAsia="Arial" w:hAnsi="Arial"/>
          <w:b/>
          <w:bCs/>
          <w:color w:val="1B2A4A"/>
          <w:sz w:val="24"/>
          <w:szCs w:val="24"/>
        </w:rPr>
        <w:t xml:space="preserve">4.3  Concluding Assessment</w:t>
      </w:r>
    </w:p>
    <w:p>
      <w:pPr>
        <w:spacing w:after="80" w:before="80" w:line="276"/>
      </w:pPr>
      <w:r>
        <w:rPr>
          <w:rFonts w:ascii="Arial" w:cs="Arial" w:eastAsia="Arial" w:hAnsi="Arial"/>
          <w:color w:val="1A1A1A"/>
          <w:sz w:val="22"/>
          <w:szCs w:val="22"/>
        </w:rPr>
        <w:t xml:space="preserve">The principal analytic finding is that advances in standoff sensing have reduced some historical barriers to facility characterization but have not eliminated the inferential and legal limitations associated with individual attribution and preemptive decision-making. For the scenario examined, facility characterization reaches HIGH confidence through passive standoff collection. Individual identity assessment reaches MODERATE confidence and does not meet the threshold required for high-consequence decisions without additional independent confirmation.</w:t>
      </w:r>
    </w:p>
    <w:p>
      <w:pPr>
        <w:spacing w:after="30" w:before="0"/>
      </w:pPr>
      <w:r>
        <w:rPr>
          <w:sz w:val="22"/>
          <w:szCs w:val="22"/>
        </w:rPr>
        <w:t xml:space="preserve"/>
      </w:r>
    </w:p>
    <w:p>
      <w:pPr>
        <w:spacing w:after="80" w:before="80" w:line="276"/>
      </w:pPr>
      <w:r>
        <w:rPr>
          <w:rFonts w:ascii="Arial" w:cs="Arial" w:eastAsia="Arial" w:hAnsi="Arial"/>
          <w:color w:val="1A1A1A"/>
          <w:sz w:val="22"/>
          <w:szCs w:val="22"/>
        </w:rPr>
        <w:t xml:space="preserve">The principal policy finding is that governance mechanisms have not matured at the same rate as collection capabilities. The restraints on preemptive action against WMD programs currently depend on the quality of intelligence produced, the judgment of individual decision-makers, and the credibility of deterrence rather than on consistently enforceable legal rules. That asymmetry increases the risk of overconfident action under contested legal authority. It is a structural condition, not a correctable technical deficiency, and it merits sustained institutional attention independent of any specific operational context.</w:t>
      </w:r>
    </w:p>
    <w:p>
      <w:pPr>
        <w:spacing w:after="100" w:before="0"/>
      </w:pPr>
      <w:r>
        <w:rPr>
          <w:sz w:val="22"/>
          <w:szCs w:val="22"/>
        </w:rPr>
        <w:t xml:space="preserve"/>
      </w:r>
    </w:p>
    <w:p>
      <w:pPr>
        <w:pBdr>
          <w:bottom w:val="single" w:color="CCCCCC" w:sz="2" w:space="1"/>
        </w:pBdr>
        <w:spacing w:after="200" w:before="200"/>
      </w:pPr>
      <w:r>
        <w:rPr>
          <w:sz w:val="22"/>
          <w:szCs w:val="22"/>
        </w:rPr>
        <w:t xml:space="preserve"/>
      </w:r>
    </w:p>
    <w:p>
      <w:pPr>
        <w:spacing w:after="60" w:before="160"/>
        <w:jc w:val="center"/>
      </w:pPr>
      <w:r>
        <w:rPr>
          <w:rFonts w:ascii="Arial" w:cs="Arial" w:eastAsia="Arial" w:hAnsi="Arial"/>
          <w:i/>
          <w:iCs/>
          <w:color w:val="888888"/>
          <w:sz w:val="18"/>
          <w:szCs w:val="18"/>
        </w:rPr>
        <w:t xml:space="preserve">This document is produced for policy research and analytical purposes.</w:t>
      </w:r>
    </w:p>
    <w:p>
      <w:pPr>
        <w:spacing w:after="80" w:before="0"/>
        <w:jc w:val="center"/>
      </w:pPr>
      <w:r>
        <w:rPr>
          <w:rFonts w:ascii="Arial" w:cs="Arial" w:eastAsia="Arial" w:hAnsi="Arial"/>
          <w:i/>
          <w:iCs/>
          <w:color w:val="888888"/>
          <w:sz w:val="18"/>
          <w:szCs w:val="18"/>
        </w:rPr>
        <w:t xml:space="preserve">It does not represent the position of any government agency or institution.</w:t>
      </w:r>
    </w:p>
    <w:p>
      <w:pPr>
        <w:spacing w:after="50" w:before="0"/>
      </w:pPr>
      <w:r>
        <w:rPr>
          <w:sz w:val="22"/>
          <w:szCs w:val="22"/>
        </w:rPr>
        <w:t xml:space="preserve"/>
      </w:r>
    </w:p>
    <w:p>
      <w:pPr>
        <w:shd w:fill="C0392B" w:val="clear"/>
        <w:spacing w:after="0" w:before="0"/>
        <w:jc w:val="center"/>
      </w:pPr>
      <w:r>
        <w:rPr>
          <w:rFonts w:ascii="Arial" w:cs="Arial" w:eastAsia="Arial" w:hAnsi="Arial"/>
          <w:b/>
          <w:bCs/>
          <w:color w:val="FFFFFF"/>
          <w:sz w:val="20"/>
          <w:szCs w:val="20"/>
        </w:rPr>
        <w:t xml:space="preserve">UNCLASSIFIED // FOR ANALYTICAL PURPOSES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09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2026-03-08T06:44:36.989Z</dcterms:created>
  <dcterms:modified xsi:type="dcterms:W3CDTF">2026-03-08T06:44:36.990Z</dcterms:modified>
</cp:coreProperties>
</file>

<file path=docProps/custom.xml><?xml version="1.0" encoding="utf-8"?>
<Properties xmlns="http://schemas.openxmlformats.org/officeDocument/2006/custom-properties" xmlns:vt="http://schemas.openxmlformats.org/officeDocument/2006/docPropsVTypes"/>
</file>