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pPr>
    </w:p>
    <w:p>
      <w:pPr>
        <w:spacing w:after="60" w:before="0"/>
        <w:jc w:val="left"/>
      </w:pPr>
      <w:r>
        <w:rPr>
          <w:rFonts w:ascii="Arial" w:cs="Arial" w:eastAsia="Arial" w:hAnsi="Arial"/>
          <w:caps/>
          <w:color w:val="4A5568"/>
          <w:sz w:val="18"/>
          <w:szCs w:val="18"/>
        </w:rPr>
        <w:t xml:space="preserve">CENTER FOR COMPETITIVE STATECRAFT AND STRATEGIC POLICY</w:t>
      </w:r>
    </w:p>
    <w:p>
      <w:pPr>
        <w:spacing w:after="60" w:before="0"/>
        <w:jc w:val="left"/>
      </w:pPr>
      <w:r>
        <w:rPr>
          <w:rFonts w:ascii="Arial" w:cs="Arial" w:eastAsia="Arial" w:hAnsi="Arial"/>
          <w:b/>
          <w:bCs/>
          <w:caps/>
          <w:color w:val="2E4172"/>
          <w:sz w:val="20"/>
          <w:szCs w:val="20"/>
        </w:rPr>
        <w:t xml:space="preserve">WP-2026 SERIES</w:t>
      </w:r>
    </w:p>
    <w:p>
      <w:pPr>
        <w:pBdr>
          <w:bottom w:val="single" w:color="1B2A4A" w:sz="12" w:space="1"/>
        </w:pBdr>
        <w:spacing w:after="80" w:before="0"/>
        <w:jc w:val="left"/>
      </w:pPr>
    </w:p>
    <w:p>
      <w:pPr>
        <w:spacing w:before="60"/>
      </w:pPr>
    </w:p>
    <w:p>
      <w:pPr>
        <w:spacing w:after="60" w:before="0"/>
        <w:jc w:val="left"/>
      </w:pPr>
      <w:r>
        <w:rPr>
          <w:rFonts w:ascii="Arial" w:cs="Arial" w:eastAsia="Arial" w:hAnsi="Arial"/>
          <w:b/>
          <w:bCs/>
          <w:color w:val="1B2A4A"/>
          <w:sz w:val="44"/>
          <w:szCs w:val="44"/>
        </w:rPr>
        <w:t xml:space="preserve">COUNTERINTELLIGENCE EXPOSURE ASSESSMENT</w:t>
      </w:r>
    </w:p>
    <w:p>
      <w:pPr>
        <w:spacing w:after="200" w:before="0"/>
        <w:jc w:val="left"/>
      </w:pPr>
      <w:r>
        <w:rPr>
          <w:rFonts w:ascii="Arial" w:cs="Arial" w:eastAsia="Arial" w:hAnsi="Arial"/>
          <w:color w:val="4A5568"/>
          <w:sz w:val="22"/>
          <w:szCs w:val="22"/>
        </w:rPr>
        <w:t xml:space="preserve">Open-Source Risk Assessment · WP-2026 Independent Policy Research Series · github.com/collingeorge/WP-2026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Working Paper</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WP-2026-CI-Assessment</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Title</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Counterintelligence Exposure Assessment: WP-2026 Independent Policy Research Series</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Assessment Date</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March 2026 (v2.0 — Style Guide Compliant)</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Classification</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Unclassified // Open Source Analytic Product</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Series Reference</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WP-2026 Series (github.com/collingeorge/WP-2026)</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Prepared By</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Collin George — Center for Competitive Statecraft and Strategic Policy</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Methodology</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Open-source CI exposure methodology applied to public repository content. No classified information used or referenced. Adversary utility assessments are analytically inferred, not intelligence reporting.</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FINAL — Style Guide v3.0 Compliant. Cleared for public repository publication.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500A" w:sz="16"/>
              <w:bottom w:val="none" w:color="FFFFFF" w:sz="0"/>
              <w:right w:val="none" w:color="FFFFFF" w:sz="0"/>
            </w:tcBorders>
            <w:shd w:fill="FEF3E2" w:val="clear"/>
            <w:tcMar>
              <w:top w:type="dxa" w:w="120"/>
              <w:left w:type="dxa" w:w="280"/>
              <w:bottom w:type="dxa" w:w="120"/>
              <w:right w:type="dxa" w:w="160"/>
            </w:tcMar>
          </w:tcPr>
          <w:p>
            <w:pPr>
              <w:spacing w:after="80" w:before="0"/>
            </w:pPr>
            <w:r>
              <w:rPr>
                <w:rFonts w:ascii="Arial" w:cs="Arial" w:eastAsia="Arial" w:hAnsi="Arial"/>
                <w:b/>
                <w:bCs/>
                <w:caps/>
                <w:color w:val="A0500A"/>
                <w:sz w:val="20"/>
                <w:szCs w:val="20"/>
              </w:rPr>
              <w:t xml:space="preserve">NOTICE AND PUBLIC REPOSITORY STATEMENT</w:t>
            </w:r>
          </w:p>
          <w:p>
            <w:pPr>
              <w:spacing w:after="60" w:before="0"/>
            </w:pPr>
            <w:r>
              <w:rPr>
                <w:rFonts w:ascii="Arial" w:cs="Arial" w:eastAsia="Arial" w:hAnsi="Arial"/>
                <w:sz w:val="20"/>
                <w:szCs w:val="20"/>
              </w:rPr>
              <w:t xml:space="preserve">This document is an open-source counterintelligence exposure assessment produced solely for the author's academic risk management and professional transparency purposes. It contains no classified information. All analysis is derived entirely from the public repository at github.com/collingeorge/WP-2026 and established open-source CI methodology.</w:t>
            </w:r>
          </w:p>
          <w:p>
            <w:pPr>
              <w:spacing w:after="60" w:before="0"/>
            </w:pPr>
            <w:r>
              <w:rPr>
                <w:rFonts w:ascii="Arial" w:cs="Arial" w:eastAsia="Arial" w:hAnsi="Arial"/>
                <w:sz w:val="20"/>
                <w:szCs w:val="20"/>
              </w:rPr>
              <w:t xml:space="preserve">This assessment is published as an act of professional transparency, not as an operational document. The publication of a rigorous self-assessment of an open-source research series' exposure profile is itself a signal of the analytic discipline and operational security awareness the series is designed to demonstrate.</w:t>
            </w:r>
          </w:p>
          <w:p>
            <w:pPr>
              <w:spacing w:before="0"/>
            </w:pPr>
            <w:r>
              <w:rPr>
                <w:rFonts w:ascii="Arial" w:cs="Arial" w:eastAsia="Arial" w:hAnsi="Arial"/>
                <w:sz w:val="20"/>
                <w:szCs w:val="20"/>
              </w:rPr>
              <w:t xml:space="preserve">Adversary utility ratings are analytically inferred assessments of what a sophisticated foreign OSINT collection unit could derive from the public repository content. They do not reflect classified intelligence reporting, operational threat data, or any government assessment of actual adversary collection activity.</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Key Judgments</w:t>
      </w:r>
    </w:p>
    <w:p>
      <w:pPr>
        <w:spacing w:after="100" w:before="80"/>
      </w:pPr>
      <w:r>
        <w:rPr>
          <w:rFonts w:ascii="Arial" w:cs="Arial" w:eastAsia="Arial" w:hAnsi="Arial"/>
          <w:color w:val="000000"/>
          <w:sz w:val="22"/>
          <w:szCs w:val="22"/>
        </w:rPr>
        <w:t xml:space="preserve">The following judgments govern this assessment. Supporting analysis for each appears in the numbered sections below.</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1</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High Confidence · Analytically Inferred</w:t>
            </w:r>
          </w:p>
          <w:p>
            <w:r>
              <w:rPr>
                <w:rFonts w:ascii="Arial" w:cs="Arial" w:eastAsia="Arial" w:hAnsi="Arial"/>
                <w:color w:val="000000"/>
                <w:sz w:val="22"/>
                <w:szCs w:val="22"/>
              </w:rPr>
              <w:t xml:space="preserve">The WP-2026 series, taken in aggregate, almost certainly presents a more operationally useful intelligence package to foreign adversary OSINT collection units than any individual paper in isolation; the published dependency graph and integrated cross-references function as a structured analytic curriculum in U.S. legal-economic statecraft methodology.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2</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High Confidence · Documented Open-Source Basis</w:t>
            </w:r>
          </w:p>
          <w:p>
            <w:r>
              <w:rPr>
                <w:rFonts w:ascii="Arial" w:cs="Arial" w:eastAsia="Arial" w:hAnsi="Arial"/>
                <w:color w:val="000000"/>
                <w:sz w:val="22"/>
                <w:szCs w:val="22"/>
              </w:rPr>
              <w:t xml:space="preserve">The Russia-China Strategic Node Master Index (SENI-01), the ATTRIBUTION-01/CSE-01 methodology stack, and the MAXPRESS-01 execution layer are assessed with high confidence to constitute the highest-priority CI exposure in the series; read together, these three components very likely provide a near-complete map of U.S. enforcement doctrine, target prioritization logic, and operational sequencing.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3</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Analytically Inferred</w:t>
            </w:r>
          </w:p>
          <w:p>
            <w:r>
              <w:rPr>
                <w:rFonts w:ascii="Arial" w:cs="Arial" w:eastAsia="Arial" w:hAnsi="Arial"/>
                <w:color w:val="000000"/>
                <w:sz w:val="22"/>
                <w:szCs w:val="22"/>
              </w:rPr>
              <w:t xml:space="preserve">The series is likely already collected by adversary OSINT programs given its public GitHub indexing; retraction is assessed with high confidence to carry no CI benefit and significant academic cost, as what is published should be treated as already in adversary hands.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4</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Analytically Inferred</w:t>
            </w:r>
          </w:p>
          <w:p>
            <w:r>
              <w:rPr>
                <w:rFonts w:ascii="Arial" w:cs="Arial" w:eastAsia="Arial" w:hAnsi="Arial"/>
                <w:color w:val="000000"/>
                <w:sz w:val="22"/>
                <w:szCs w:val="22"/>
              </w:rPr>
              <w:t xml:space="preserve">Adversary awareness of the WP-2026 analytical architecture is unlikely to defeat the enforcement mechanisms the series documents, because those mechanisms operate through structural interests and legal authorities rather than through information asymmetry; the CI risk is prospective and concentrated in future series design choices.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5</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Analytically Inferred</w:t>
            </w:r>
          </w:p>
          <w:p>
            <w:r>
              <w:rPr>
                <w:rFonts w:ascii="Arial" w:cs="Arial" w:eastAsia="Arial" w:hAnsi="Arial"/>
                <w:color w:val="000000"/>
                <w:sz w:val="22"/>
                <w:szCs w:val="22"/>
              </w:rPr>
              <w:t xml:space="preserve">The most actionable CI implication of this assessment concerns future series architecture: decoupling dependency graphs from public indices and separating high-granularity targeting matrices from methodology documentation are likely to materially reduce adversary utility in future integrated research series without reducing analytical value to legitimate audiences.</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Methodological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ANALYTIC POSTURE STATEMENT</w:t>
            </w:r>
          </w:p>
          <w:p>
            <w:r>
              <w:rPr>
                <w:rFonts w:ascii="Arial" w:cs="Arial" w:eastAsia="Arial" w:hAnsi="Arial"/>
                <w:sz w:val="20"/>
                <w:szCs w:val="20"/>
              </w:rPr>
              <w:t xml:space="preserve">This assessment applies established open-source counterintelligence exposure methodology to the content of the public WP-2026 repository. Adversary utility ratings reflect analytically inferred assessments of what a sophisticated foreign OSINT collection unit could extract from specific papers or sections. Ratings do not reflect confirmed adversary collection activity, classified threat reporting, or any government assessment. All confidence labels follow the WP-2026 Series Style and Verbiage Guide v3.0.</w:t>
            </w:r>
          </w:p>
        </w:tc>
      </w:tr>
    </w:tbl>
    <w:p>
      <w:pPr>
        <w:spacing w:before="80"/>
      </w:pPr>
    </w:p>
    <w:p>
      <w:pPr>
        <w:spacing w:after="100" w:before="80"/>
      </w:pPr>
      <w:r>
        <w:rPr>
          <w:rFonts w:ascii="Arial" w:cs="Arial" w:eastAsia="Arial" w:hAnsi="Arial"/>
          <w:color w:val="000000"/>
          <w:sz w:val="22"/>
          <w:szCs w:val="22"/>
        </w:rPr>
        <w:t xml:space="preserve">Five risk dimensions are assessed across all papers:</w:t>
      </w:r>
    </w:p>
    <w:p>
      <w:pPr>
        <w:pStyle w:val="ListParagraph"/>
        <w:numPr>
          <w:ilvl w:val="0"/>
          <w:numId w:val="2"/>
        </w:numPr>
        <w:spacing w:after="50" w:before="50"/>
      </w:pPr>
      <w:r>
        <w:rPr>
          <w:rFonts w:ascii="Arial" w:cs="Arial" w:eastAsia="Arial" w:hAnsi="Arial"/>
          <w:sz w:val="22"/>
          <w:szCs w:val="22"/>
        </w:rPr>
        <w:t xml:space="preserve">Adversary Utility: what a foreign intelligence service can extract operationally from the content</w:t>
      </w:r>
    </w:p>
    <w:p>
      <w:pPr>
        <w:pStyle w:val="ListParagraph"/>
        <w:numPr>
          <w:ilvl w:val="0"/>
          <w:numId w:val="2"/>
        </w:numPr>
        <w:spacing w:after="50" w:before="50"/>
      </w:pPr>
      <w:r>
        <w:rPr>
          <w:rFonts w:ascii="Arial" w:cs="Arial" w:eastAsia="Arial" w:hAnsi="Arial"/>
          <w:sz w:val="22"/>
          <w:szCs w:val="22"/>
        </w:rPr>
        <w:t xml:space="preserve">Analytic Method Exposure: what the reasoning patterns reveal about how U.S. analysts assess threats</w:t>
      </w:r>
    </w:p>
    <w:p>
      <w:pPr>
        <w:pStyle w:val="ListParagraph"/>
        <w:numPr>
          <w:ilvl w:val="0"/>
          <w:numId w:val="2"/>
        </w:numPr>
        <w:spacing w:after="50" w:before="50"/>
      </w:pPr>
      <w:r>
        <w:rPr>
          <w:rFonts w:ascii="Arial" w:cs="Arial" w:eastAsia="Arial" w:hAnsi="Arial"/>
          <w:sz w:val="22"/>
          <w:szCs w:val="22"/>
        </w:rPr>
        <w:t xml:space="preserve">Gap Mapping: what acknowledged uncertainties disclose about U.S. intelligence blind spots</w:t>
      </w:r>
    </w:p>
    <w:p>
      <w:pPr>
        <w:pStyle w:val="ListParagraph"/>
        <w:numPr>
          <w:ilvl w:val="0"/>
          <w:numId w:val="2"/>
        </w:numPr>
        <w:spacing w:after="50" w:before="50"/>
      </w:pPr>
      <w:r>
        <w:rPr>
          <w:rFonts w:ascii="Arial" w:cs="Arial" w:eastAsia="Arial" w:hAnsi="Arial"/>
          <w:sz w:val="22"/>
          <w:szCs w:val="22"/>
        </w:rPr>
        <w:t xml:space="preserve">Source Triangulation Risk: whether citations allow reverse-engineering of the author's authoritative source hierarchy</w:t>
      </w:r>
    </w:p>
    <w:p>
      <w:pPr>
        <w:pStyle w:val="ListParagraph"/>
        <w:numPr>
          <w:ilvl w:val="0"/>
          <w:numId w:val="2"/>
        </w:numPr>
        <w:spacing w:after="50" w:before="50"/>
      </w:pPr>
      <w:r>
        <w:rPr>
          <w:rFonts w:ascii="Arial" w:cs="Arial" w:eastAsia="Arial" w:hAnsi="Arial"/>
          <w:sz w:val="22"/>
          <w:szCs w:val="22"/>
        </w:rPr>
        <w:t xml:space="preserve">Aggregation Risk: whether the series as an integrated whole discloses more than any individual paper</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 Aggregation Risk — Series-Level Assessment</w:t>
      </w:r>
    </w:p>
    <w:p>
      <w:pPr>
        <w:spacing w:after="100" w:before="80"/>
      </w:pPr>
      <w:r>
        <w:rPr>
          <w:rFonts w:ascii="Arial" w:cs="Arial" w:eastAsia="Arial" w:hAnsi="Arial"/>
          <w:color w:val="000000"/>
          <w:sz w:val="22"/>
          <w:szCs w:val="22"/>
        </w:rPr>
        <w:t xml:space="preserve">Individual WP-2026 papers are each defensible as open-source policy analysis. The aggregation problem operates at the series level. [HIGH CONFIDENCE, ANALYTICALLY INFERRED]</w:t>
      </w:r>
    </w:p>
    <w:p>
      <w:pPr>
        <w:spacing w:after="100" w:before="80"/>
      </w:pPr>
      <w:r>
        <w:rPr>
          <w:rFonts w:ascii="Arial" w:cs="Arial" w:eastAsia="Arial" w:hAnsi="Arial"/>
          <w:color w:val="000000"/>
          <w:sz w:val="22"/>
          <w:szCs w:val="22"/>
        </w:rPr>
        <w:t xml:space="preserve">The root README publishes a dependency graph explicitly showing how ATTRIBUTION-01 feeds CSE-01, which feeds SHIELD-01 and PERSIST-01, which feeds MAXPRESS-01 and CONTAIN-01. A foreign intelligence analyst ingesting this repository does not need to infer the analytical logic — the reading order, dependency relationships, and series architecture are fully documented. The series functions as a structured analytic curriculum in U.S. legal-economic statecraft methodology.</w:t>
      </w:r>
    </w:p>
    <w:p>
      <w:pPr>
        <w:spacing w:after="100" w:before="80"/>
      </w:pPr>
      <w:r>
        <w:rPr>
          <w:rFonts w:ascii="Arial" w:cs="Arial" w:eastAsia="Arial" w:hAnsi="Arial"/>
          <w:color w:val="000000"/>
          <w:sz w:val="22"/>
          <w:szCs w:val="22"/>
        </w:rPr>
        <w:t xml:space="preserve">A trained MSS OSINT analyst applying structured collection methodology against this repository is assessed as very likely able to extract the following: [MODERATE CONFIDENCE, ANALYTICALLY INFERRED]</w:t>
      </w:r>
    </w:p>
    <w:p>
      <w:pPr>
        <w:pStyle w:val="ListParagraph"/>
        <w:numPr>
          <w:ilvl w:val="0"/>
          <w:numId w:val="2"/>
        </w:numPr>
        <w:spacing w:after="50" w:before="50"/>
      </w:pPr>
      <w:r>
        <w:rPr>
          <w:rFonts w:ascii="Arial" w:cs="Arial" w:eastAsia="Arial" w:hAnsi="Arial"/>
          <w:sz w:val="22"/>
          <w:szCs w:val="22"/>
        </w:rPr>
        <w:t xml:space="preserve">The exact evidence standards that trigger OFAC designation, BIS Entity List addition, and secondary sanctions activation, as documented in ATTRIBUTION-01 and PERSIST-01</w:t>
      </w:r>
    </w:p>
    <w:p>
      <w:pPr>
        <w:pStyle w:val="ListParagraph"/>
        <w:numPr>
          <w:ilvl w:val="0"/>
          <w:numId w:val="2"/>
        </w:numPr>
        <w:spacing w:after="50" w:before="50"/>
      </w:pPr>
      <w:r>
        <w:rPr>
          <w:rFonts w:ascii="Arial" w:cs="Arial" w:eastAsia="Arial" w:hAnsi="Arial"/>
          <w:sz w:val="22"/>
          <w:szCs w:val="22"/>
        </w:rPr>
        <w:t xml:space="preserve">Which attribution failure modes — advocacy capture, threshold laundering, toleration-as-tasking — the U.S. enforcement system is assessed as most vulnerable to, as documented in ATTRIBUTION-01 and CSE-01</w:t>
      </w:r>
    </w:p>
    <w:p>
      <w:pPr>
        <w:pStyle w:val="ListParagraph"/>
        <w:numPr>
          <w:ilvl w:val="0"/>
          <w:numId w:val="2"/>
        </w:numPr>
        <w:spacing w:after="50" w:before="50"/>
      </w:pPr>
      <w:r>
        <w:rPr>
          <w:rFonts w:ascii="Arial" w:cs="Arial" w:eastAsia="Arial" w:hAnsi="Arial"/>
          <w:sz w:val="22"/>
          <w:szCs w:val="22"/>
        </w:rPr>
        <w:t xml:space="preserve">The 327-node targeting matrix indicating which infrastructure nodes U.S. enforcement prioritizes and in what sequence, as documented in SENI-01</w:t>
      </w:r>
    </w:p>
    <w:p>
      <w:pPr>
        <w:pStyle w:val="ListParagraph"/>
        <w:numPr>
          <w:ilvl w:val="0"/>
          <w:numId w:val="2"/>
        </w:numPr>
        <w:spacing w:after="50" w:before="50"/>
      </w:pPr>
      <w:r>
        <w:rPr>
          <w:rFonts w:ascii="Arial" w:cs="Arial" w:eastAsia="Arial" w:hAnsi="Arial"/>
          <w:sz w:val="22"/>
          <w:szCs w:val="22"/>
        </w:rPr>
        <w:t xml:space="preserve">Coalition fragility points — Qatar, UAE, Oman, India — and the specific conditions under which partner cooperation is assessed as likely to degrade, as documented in HORMUZ-02 Parts III and X</w:t>
      </w:r>
    </w:p>
    <w:p>
      <w:pPr>
        <w:pStyle w:val="ListParagraph"/>
        <w:numPr>
          <w:ilvl w:val="0"/>
          <w:numId w:val="2"/>
        </w:numPr>
        <w:spacing w:after="50" w:before="50"/>
      </w:pPr>
      <w:r>
        <w:rPr>
          <w:rFonts w:ascii="Arial" w:cs="Arial" w:eastAsia="Arial" w:hAnsi="Arial"/>
          <w:sz w:val="22"/>
          <w:szCs w:val="22"/>
        </w:rPr>
        <w:t xml:space="preserve">The KPI thresholds governing U.S. posture transitions in the Hormuz scenario, as documented in HORMUZ-02 Part IV</w:t>
      </w:r>
    </w:p>
    <w:p>
      <w:pPr>
        <w:spacing w:after="100" w:before="80"/>
      </w:pPr>
      <w:r>
        <w:rPr>
          <w:rFonts w:ascii="Arial" w:cs="Arial" w:eastAsia="Arial" w:hAnsi="Arial"/>
          <w:color w:val="000000"/>
          <w:sz w:val="22"/>
          <w:szCs w:val="22"/>
        </w:rPr>
        <w:t xml:space="preserve">The public record does not establish that any adversary service has conducted this specific collection activity. The available open-source reporting is consistent with systematic adversary OSINT monitoring of U.S. policy research repositories as a general practice. [TIER 2 — Open-source reporting on MSS OSINT operations; LOW-MODERATE CONFIDENCE on specific WP-2026 targeting]</w:t>
      </w:r>
    </w:p>
    <w:p>
      <w:pPr>
        <w:pBdr>
          <w:bottom w:val="single" w:color="1B2A4A" w:sz="8" w:space="1"/>
        </w:pBdr>
        <w:spacing w:after="160" w:before="160"/>
      </w:pPr>
    </w:p>
    <w:p>
      <w:pPr>
        <w:pStyle w:val="Heading1"/>
        <w:spacing w:after="160" w:before="480"/>
      </w:pPr>
      <w:r>
        <w:rPr>
          <w:rFonts w:ascii="Arial" w:cs="Arial" w:eastAsia="Arial" w:hAnsi="Arial"/>
          <w:b/>
          <w:bCs/>
          <w:color w:val="1B2A4A"/>
          <w:sz w:val="30"/>
          <w:szCs w:val="30"/>
        </w:rPr>
        <w:t xml:space="preserve">Part II: Paper-by-Paper Risk Assessment</w:t>
      </w:r>
    </w:p>
    <w:p>
      <w:pPr>
        <w:spacing w:after="100" w:before="80"/>
      </w:pPr>
      <w:r>
        <w:rPr>
          <w:rFonts w:ascii="Arial" w:cs="Arial" w:eastAsia="Arial" w:hAnsi="Arial"/>
          <w:color w:val="000000"/>
          <w:sz w:val="22"/>
          <w:szCs w:val="22"/>
        </w:rPr>
        <w:t xml:space="preserve">Risk ratings reflect adversary utility assessed under the five-dimension framework above. CRITICAL indicates near-complete adversary operational utility for the specific vector identified. HIGH indicates significant utility with defined limits. MODERATE indicates useful but reconstructible from independent collection.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900"/>
        <w:gridCol w:w="3060"/>
      </w:tblGrid>
      <w:tr>
        <w:trPr>
          <w:tblHeader/>
        </w:trPr>
        <w:tc>
          <w:tcPr>
            <w:tcW w:type="dxa" w:w="26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Paper / Section</w:t>
            </w:r>
          </w:p>
        </w:tc>
        <w:tc>
          <w:tcPr>
            <w:tcW w:type="dxa" w:w="28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CI Risk Vector</w:t>
            </w:r>
          </w:p>
        </w:tc>
        <w:tc>
          <w:tcPr>
            <w:tcW w:type="dxa" w:w="9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Adversary Utility</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SENI-01 Russia-China Master Index</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327-node targeting map; IMO numbers; beneficial ownership detail; evasion architecture; Tier I prioritization logic</w:t>
            </w:r>
          </w:p>
        </w:tc>
        <w:tc>
          <w:tcPr>
            <w:tcW w:type="dxa" w:w="900"/>
            <w:tcBorders>
              <w:top w:val="single" w:color="D0D7E3" w:sz="1"/>
              <w:left w:val="single" w:color="D0D7E3" w:sz="1"/>
              <w:bottom w:val="single" w:color="D0D7E3" w:sz="1"/>
              <w:right w:val="single" w:color="D0D7E3" w:sz="1"/>
            </w:tcBorders>
            <w:shd w:fill="FDECEC" w:val="clear"/>
            <w:tcMar>
              <w:top w:type="dxa" w:w="80"/>
              <w:left w:type="dxa" w:w="100"/>
              <w:bottom w:type="dxa" w:w="80"/>
              <w:right w:type="dxa" w:w="100"/>
            </w:tcMar>
          </w:tcPr>
          <w:p>
            <w:pPr>
              <w:jc w:val="center"/>
            </w:pPr>
            <w:r>
              <w:rPr>
                <w:rFonts w:ascii="Arial" w:cs="Arial" w:eastAsia="Arial" w:hAnsi="Arial"/>
                <w:b/>
                <w:bCs/>
                <w:color w:val="9B1C1C"/>
                <w:sz w:val="18"/>
                <w:szCs w:val="18"/>
              </w:rPr>
              <w:t xml:space="preserve">CRITICAL</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very likely to provide complete enforcement target prioritization logic; identifies which nodes U.S. enforcement treats as highest priority vs. lower priority in sequence</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ATTRIBUTION-01 / Nexus Protocol</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Explicit failure mode documentation; disconfirmation criteria; evidence threshold standards; 4 boundary tests</w:t>
            </w:r>
          </w:p>
        </w:tc>
        <w:tc>
          <w:tcPr>
            <w:tcW w:type="dxa" w:w="900"/>
            <w:tcBorders>
              <w:top w:val="single" w:color="D0D7E3" w:sz="1"/>
              <w:left w:val="single" w:color="D0D7E3" w:sz="1"/>
              <w:bottom w:val="single" w:color="D0D7E3" w:sz="1"/>
              <w:right w:val="single" w:color="D0D7E3" w:sz="1"/>
            </w:tcBorders>
            <w:shd w:fill="FDECEC" w:val="clear"/>
            <w:tcMar>
              <w:top w:type="dxa" w:w="80"/>
              <w:left w:type="dxa" w:w="100"/>
              <w:bottom w:type="dxa" w:w="80"/>
              <w:right w:type="dxa" w:w="100"/>
            </w:tcMar>
          </w:tcPr>
          <w:p>
            <w:pPr>
              <w:jc w:val="center"/>
            </w:pPr>
            <w:r>
              <w:rPr>
                <w:rFonts w:ascii="Arial" w:cs="Arial" w:eastAsia="Arial" w:hAnsi="Arial"/>
                <w:b/>
                <w:bCs/>
                <w:color w:val="9B1C1C"/>
                <w:sz w:val="18"/>
                <w:szCs w:val="18"/>
              </w:rPr>
              <w:t xml:space="preserve">CRITICAL</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provide adversary playbook for structuring entities to remain below attribution thresholds; substitutability test is directly actionable</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MAXPRESS-01 Execution Layer</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90-day readiness package sequencing; simultaneous BIS/OFAC as default; Lloyd’s/P&amp;I degradation mechanism</w:t>
            </w:r>
          </w:p>
        </w:tc>
        <w:tc>
          <w:tcPr>
            <w:tcW w:type="dxa" w:w="900"/>
            <w:tcBorders>
              <w:top w:val="single" w:color="D0D7E3" w:sz="1"/>
              <w:left w:val="single" w:color="D0D7E3" w:sz="1"/>
              <w:bottom w:val="single" w:color="D0D7E3" w:sz="1"/>
              <w:right w:val="single" w:color="D0D7E3" w:sz="1"/>
            </w:tcBorders>
            <w:shd w:fill="FDECEC" w:val="clear"/>
            <w:tcMar>
              <w:top w:type="dxa" w:w="80"/>
              <w:left w:type="dxa" w:w="100"/>
              <w:bottom w:type="dxa" w:w="80"/>
              <w:right w:type="dxa" w:w="100"/>
            </w:tcMar>
          </w:tcPr>
          <w:p>
            <w:pPr>
              <w:jc w:val="center"/>
            </w:pPr>
            <w:r>
              <w:rPr>
                <w:rFonts w:ascii="Arial" w:cs="Arial" w:eastAsia="Arial" w:hAnsi="Arial"/>
                <w:b/>
                <w:bCs/>
                <w:color w:val="9B1C1C"/>
                <w:sz w:val="18"/>
                <w:szCs w:val="18"/>
              </w:rPr>
              <w:t xml:space="preserve">CRITICAL</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reveal operational tempo, sequencing logic, and maritime insurance pressure vector; eliminates adjustment window previously available under sequential enforcement</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CSE-01 / PRC Nexus Protocol</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VIE architecture treatment; OFAC 50% Rule thresholds; 4 Support/Enablement boundary tests; 7 failure modes</w:t>
            </w:r>
          </w:p>
        </w:tc>
        <w:tc>
          <w:tcPr>
            <w:tcW w:type="dxa" w:w="900"/>
            <w:tcBorders>
              <w:top w:val="single" w:color="D0D7E3" w:sz="1"/>
              <w:left w:val="single" w:color="D0D7E3" w:sz="1"/>
              <w:bottom w:val="single" w:color="D0D7E3" w:sz="1"/>
              <w:right w:val="single" w:color="D0D7E3" w:sz="1"/>
            </w:tcBorders>
            <w:shd w:fill="FEF3E2" w:val="clear"/>
            <w:tcMar>
              <w:top w:type="dxa" w:w="80"/>
              <w:left w:type="dxa" w:w="100"/>
              <w:bottom w:type="dxa" w:w="80"/>
              <w:right w:type="dxa" w:w="100"/>
            </w:tcMar>
          </w:tcPr>
          <w:p>
            <w:pPr>
              <w:jc w:val="center"/>
            </w:pPr>
            <w:r>
              <w:rPr>
                <w:rFonts w:ascii="Arial" w:cs="Arial" w:eastAsia="Arial" w:hAnsi="Arial"/>
                <w:b/>
                <w:bCs/>
                <w:color w:val="A0500A"/>
                <w:sz w:val="18"/>
                <w:szCs w:val="18"/>
              </w:rPr>
              <w:t xml:space="preserve">HIGH</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provide PRC entities specific boundary tests for structuring ownership to avoid Enablement rung designation</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PERSIST-01</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Six authority rails; Tier 0-3 escalation ladder; 4-tier evidence standards; guardrail index with automatic pause mechanics</w:t>
            </w:r>
          </w:p>
        </w:tc>
        <w:tc>
          <w:tcPr>
            <w:tcW w:type="dxa" w:w="900"/>
            <w:tcBorders>
              <w:top w:val="single" w:color="D0D7E3" w:sz="1"/>
              <w:left w:val="single" w:color="D0D7E3" w:sz="1"/>
              <w:bottom w:val="single" w:color="D0D7E3" w:sz="1"/>
              <w:right w:val="single" w:color="D0D7E3" w:sz="1"/>
            </w:tcBorders>
            <w:shd w:fill="FEF3E2" w:val="clear"/>
            <w:tcMar>
              <w:top w:type="dxa" w:w="80"/>
              <w:left w:type="dxa" w:w="100"/>
              <w:bottom w:type="dxa" w:w="80"/>
              <w:right w:type="dxa" w:w="100"/>
            </w:tcMar>
          </w:tcPr>
          <w:p>
            <w:pPr>
              <w:jc w:val="center"/>
            </w:pPr>
            <w:r>
              <w:rPr>
                <w:rFonts w:ascii="Arial" w:cs="Arial" w:eastAsia="Arial" w:hAnsi="Arial"/>
                <w:b/>
                <w:bCs/>
                <w:color w:val="A0500A"/>
                <w:sz w:val="18"/>
                <w:szCs w:val="18"/>
              </w:rPr>
              <w:t xml:space="preserve">HIGH</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reveal full escalation sequence; automatic pause mechanics disclose conditions under which U.S. pressure campaigns throttle down</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SHIELD-01 + CCRP</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CCRP protocol: tech-denial precedence over tariffs; 30-day mandatory USTR/BIS/State review window</w:t>
            </w:r>
          </w:p>
        </w:tc>
        <w:tc>
          <w:tcPr>
            <w:tcW w:type="dxa" w:w="900"/>
            <w:tcBorders>
              <w:top w:val="single" w:color="D0D7E3" w:sz="1"/>
              <w:left w:val="single" w:color="D0D7E3" w:sz="1"/>
              <w:bottom w:val="single" w:color="D0D7E3" w:sz="1"/>
              <w:right w:val="single" w:color="D0D7E3" w:sz="1"/>
            </w:tcBorders>
            <w:shd w:fill="FEF3E2" w:val="clear"/>
            <w:tcMar>
              <w:top w:type="dxa" w:w="80"/>
              <w:left w:type="dxa" w:w="100"/>
              <w:bottom w:type="dxa" w:w="80"/>
              <w:right w:type="dxa" w:w="100"/>
            </w:tcMar>
          </w:tcPr>
          <w:p>
            <w:pPr>
              <w:jc w:val="center"/>
            </w:pPr>
            <w:r>
              <w:rPr>
                <w:rFonts w:ascii="Arial" w:cs="Arial" w:eastAsia="Arial" w:hAnsi="Arial"/>
                <w:b/>
                <w:bCs/>
                <w:color w:val="A0500A"/>
                <w:sz w:val="18"/>
                <w:szCs w:val="18"/>
              </w:rPr>
              <w:t xml:space="preserve">HIGH</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reveal coalition coordination mechanism and 30-day structural delay window predictably available before tariff escalation</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CONTAIN-01 (ISAD/SPAD/DEEI)</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+25-45% transaction cost threshold; DEEI downshift protocol; 90-day observability cycle</w:t>
            </w:r>
          </w:p>
        </w:tc>
        <w:tc>
          <w:tcPr>
            <w:tcW w:type="dxa" w:w="900"/>
            <w:tcBorders>
              <w:top w:val="single" w:color="D0D7E3" w:sz="1"/>
              <w:left w:val="single" w:color="D0D7E3" w:sz="1"/>
              <w:bottom w:val="single" w:color="D0D7E3" w:sz="1"/>
              <w:right w:val="single" w:color="D0D7E3" w:sz="1"/>
            </w:tcBorders>
            <w:shd w:fill="FEF3E2" w:val="clear"/>
            <w:tcMar>
              <w:top w:type="dxa" w:w="80"/>
              <w:left w:type="dxa" w:w="100"/>
              <w:bottom w:type="dxa" w:w="80"/>
              <w:right w:type="dxa" w:w="100"/>
            </w:tcMar>
          </w:tcPr>
          <w:p>
            <w:pPr>
              <w:jc w:val="center"/>
            </w:pPr>
            <w:r>
              <w:rPr>
                <w:rFonts w:ascii="Arial" w:cs="Arial" w:eastAsia="Arial" w:hAnsi="Arial"/>
                <w:b/>
                <w:bCs/>
                <w:color w:val="A0500A"/>
                <w:sz w:val="18"/>
                <w:szCs w:val="18"/>
              </w:rPr>
              <w:t xml:space="preserve">HIGH</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define cost-imposition targets; DEEI downshift discloses automatic pressure reduction trigger adversaries may attempt to manufacture</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HORMUZ-02 v4.1 Parts III and X</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Kharg occupation obligations under IHL; partner political tolerance limits; exit architecture logic; coalition fragility by partner</w:t>
            </w:r>
          </w:p>
        </w:tc>
        <w:tc>
          <w:tcPr>
            <w:tcW w:type="dxa" w:w="900"/>
            <w:tcBorders>
              <w:top w:val="single" w:color="D0D7E3" w:sz="1"/>
              <w:left w:val="single" w:color="D0D7E3" w:sz="1"/>
              <w:bottom w:val="single" w:color="D0D7E3" w:sz="1"/>
              <w:right w:val="single" w:color="D0D7E3" w:sz="1"/>
            </w:tcBorders>
            <w:shd w:fill="FEF3E2" w:val="clear"/>
            <w:tcMar>
              <w:top w:type="dxa" w:w="80"/>
              <w:left w:type="dxa" w:w="100"/>
              <w:bottom w:type="dxa" w:w="80"/>
              <w:right w:type="dxa" w:w="100"/>
            </w:tcMar>
          </w:tcPr>
          <w:p>
            <w:pPr>
              <w:jc w:val="center"/>
            </w:pPr>
            <w:r>
              <w:rPr>
                <w:rFonts w:ascii="Arial" w:cs="Arial" w:eastAsia="Arial" w:hAnsi="Arial"/>
                <w:b/>
                <w:bCs/>
                <w:color w:val="A0500A"/>
                <w:sz w:val="18"/>
                <w:szCs w:val="18"/>
              </w:rPr>
              <w:t xml:space="preserve">HIGH</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map GCC coalition fragility in operational detail; Qatar, UAE, Oman political constraints disclosed with sufficient specificity for adversary pressure-point targeting</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INFRA-01 Dissemination Framework</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AIS linkage methodology; OSINT predicate structure; BIS/OFAC sequencing detail</w:t>
            </w:r>
          </w:p>
        </w:tc>
        <w:tc>
          <w:tcPr>
            <w:tcW w:type="dxa" w:w="900"/>
            <w:tcBorders>
              <w:top w:val="single" w:color="D0D7E3" w:sz="1"/>
              <w:left w:val="single" w:color="D0D7E3" w:sz="1"/>
              <w:bottom w:val="single" w:color="D0D7E3" w:sz="1"/>
              <w:right w:val="single" w:color="D0D7E3" w:sz="1"/>
            </w:tcBorders>
            <w:shd w:fill="E8EDF5" w:val="clear"/>
            <w:tcMar>
              <w:top w:type="dxa" w:w="80"/>
              <w:left w:type="dxa" w:w="100"/>
              <w:bottom w:type="dxa" w:w="80"/>
              <w:right w:type="dxa" w:w="100"/>
            </w:tcMar>
          </w:tcPr>
          <w:p>
            <w:pPr>
              <w:jc w:val="center"/>
            </w:pPr>
            <w:r>
              <w:rPr>
                <w:rFonts w:ascii="Arial" w:cs="Arial" w:eastAsia="Arial" w:hAnsi="Arial"/>
                <w:b/>
                <w:bCs/>
                <w:color w:val="7A6300"/>
                <w:sz w:val="18"/>
                <w:szCs w:val="18"/>
              </w:rPr>
              <w:t xml:space="preserve">MODERATE</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allow adversary shipping operators to calibrate AIS spoofing against specific enforcement predicates</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Iran Nuclear Assessment</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Pickaxe Mountain coordinates; three-model stockpile analysis; 5-10 day worst-case breakout timeline</w:t>
            </w:r>
          </w:p>
        </w:tc>
        <w:tc>
          <w:tcPr>
            <w:tcW w:type="dxa" w:w="900"/>
            <w:tcBorders>
              <w:top w:val="single" w:color="D0D7E3" w:sz="1"/>
              <w:left w:val="single" w:color="D0D7E3" w:sz="1"/>
              <w:bottom w:val="single" w:color="D0D7E3" w:sz="1"/>
              <w:right w:val="single" w:color="D0D7E3" w:sz="1"/>
            </w:tcBorders>
            <w:shd w:fill="E8EDF5" w:val="clear"/>
            <w:tcMar>
              <w:top w:type="dxa" w:w="80"/>
              <w:left w:type="dxa" w:w="100"/>
              <w:bottom w:type="dxa" w:w="80"/>
              <w:right w:type="dxa" w:w="100"/>
            </w:tcMar>
          </w:tcPr>
          <w:p>
            <w:pPr>
              <w:jc w:val="center"/>
            </w:pPr>
            <w:r>
              <w:rPr>
                <w:rFonts w:ascii="Arial" w:cs="Arial" w:eastAsia="Arial" w:hAnsi="Arial"/>
                <w:b/>
                <w:bCs/>
                <w:color w:val="7A6300"/>
                <w:sz w:val="18"/>
                <w:szCs w:val="18"/>
              </w:rPr>
              <w:t xml:space="preserve">MODERATE</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consolidate open-source estimates into structured IC-style assessment useful to Iranian program managers for understanding U.S. open-source community assessment of their own program</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TARIFF-01 / ANCHOR</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Bright-line predicate exclusions list; 70%/30%/24-month strategic dependency threshold; instrument sequencing rule</w:t>
            </w:r>
          </w:p>
        </w:tc>
        <w:tc>
          <w:tcPr>
            <w:tcW w:type="dxa" w:w="900"/>
            <w:tcBorders>
              <w:top w:val="single" w:color="D0D7E3" w:sz="1"/>
              <w:left w:val="single" w:color="D0D7E3" w:sz="1"/>
              <w:bottom w:val="single" w:color="D0D7E3" w:sz="1"/>
              <w:right w:val="single" w:color="D0D7E3" w:sz="1"/>
            </w:tcBorders>
            <w:shd w:fill="E8EDF5" w:val="clear"/>
            <w:tcMar>
              <w:top w:type="dxa" w:w="80"/>
              <w:left w:type="dxa" w:w="100"/>
              <w:bottom w:type="dxa" w:w="80"/>
              <w:right w:type="dxa" w:w="100"/>
            </w:tcMar>
          </w:tcPr>
          <w:p>
            <w:pPr>
              <w:jc w:val="center"/>
            </w:pPr>
            <w:r>
              <w:rPr>
                <w:rFonts w:ascii="Arial" w:cs="Arial" w:eastAsia="Arial" w:hAnsi="Arial"/>
                <w:b/>
                <w:bCs/>
                <w:color w:val="7A6300"/>
                <w:sz w:val="18"/>
                <w:szCs w:val="18"/>
              </w:rPr>
              <w:t xml:space="preserve">MODERATE</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define exactly what evidence is insufficient for tariff action; adversary can calibrate behavior to remain below the instrument-triggering threshold</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BW Assessment</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Two-axis confidence framework; state program assessments; verification gap characterization by country</w:t>
            </w:r>
          </w:p>
        </w:tc>
        <w:tc>
          <w:tcPr>
            <w:tcW w:type="dxa" w:w="900"/>
            <w:tcBorders>
              <w:top w:val="single" w:color="D0D7E3" w:sz="1"/>
              <w:left w:val="single" w:color="D0D7E3" w:sz="1"/>
              <w:bottom w:val="single" w:color="D0D7E3" w:sz="1"/>
              <w:right w:val="single" w:color="D0D7E3" w:sz="1"/>
            </w:tcBorders>
            <w:shd w:fill="E8EDF5" w:val="clear"/>
            <w:tcMar>
              <w:top w:type="dxa" w:w="80"/>
              <w:left w:type="dxa" w:w="100"/>
              <w:bottom w:type="dxa" w:w="80"/>
              <w:right w:type="dxa" w:w="100"/>
            </w:tcMar>
          </w:tcPr>
          <w:p>
            <w:pPr>
              <w:jc w:val="center"/>
            </w:pPr>
            <w:r>
              <w:rPr>
                <w:rFonts w:ascii="Arial" w:cs="Arial" w:eastAsia="Arial" w:hAnsi="Arial"/>
                <w:b/>
                <w:bCs/>
                <w:color w:val="7A6300"/>
                <w:sz w:val="18"/>
                <w:szCs w:val="18"/>
              </w:rPr>
              <w:t xml:space="preserve">MODERATE</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Assessed as likely to allow calibration of observable signatures the U.S. open-source community treats as below-threshold BW activity</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b/>
                <w:bCs/>
                <w:sz w:val="20"/>
                <w:szCs w:val="20"/>
              </w:rPr>
              <w:t xml:space="preserve">CTF-01, CPF-02, ARCH-03</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Section 311 mechanics; §981(k) binary-choice framing; crypto enforcement doctrine</w:t>
            </w:r>
          </w:p>
        </w:tc>
        <w:tc>
          <w:tcPr>
            <w:tcW w:type="dxa" w:w="900"/>
            <w:tcBorders>
              <w:top w:val="single" w:color="D0D7E3" w:sz="1"/>
              <w:left w:val="single" w:color="D0D7E3" w:sz="1"/>
              <w:bottom w:val="single" w:color="D0D7E3" w:sz="1"/>
              <w:right w:val="single" w:color="D0D7E3" w:sz="1"/>
            </w:tcBorders>
            <w:shd w:fill="E8EDF5" w:val="clear"/>
            <w:tcMar>
              <w:top w:type="dxa" w:w="80"/>
              <w:left w:type="dxa" w:w="100"/>
              <w:bottom w:type="dxa" w:w="80"/>
              <w:right w:type="dxa" w:w="100"/>
            </w:tcMar>
          </w:tcPr>
          <w:p>
            <w:pPr>
              <w:jc w:val="center"/>
            </w:pPr>
            <w:r>
              <w:rPr>
                <w:rFonts w:ascii="Arial" w:cs="Arial" w:eastAsia="Arial" w:hAnsi="Arial"/>
                <w:b/>
                <w:bCs/>
                <w:color w:val="7A6300"/>
                <w:sz w:val="18"/>
                <w:szCs w:val="18"/>
              </w:rPr>
              <w:t xml:space="preserve">MODERATE</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Flagged for revision; structural legal mechanics remain current; assessed as likely useful to evasion planning regardless of revision status</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III: Adversary-Specific Utility Assessment</w:t>
      </w:r>
    </w:p>
    <w:p>
      <w:pPr>
        <w:spacing w:after="100" w:before="80"/>
      </w:pPr>
      <w:r>
        <w:rPr>
          <w:rFonts w:ascii="Arial" w:cs="Arial" w:eastAsia="Arial" w:hAnsi="Arial"/>
          <w:color w:val="000000"/>
          <w:sz w:val="22"/>
          <w:szCs w:val="22"/>
        </w:rPr>
        <w:t xml:space="preserve">The following sections assess the specific utility each primary adversary service is assessed as likely to extract. Assessments are analytically inferred from the documented content of each paper and established open-source reporting on adversary OSINT collection priorities. The public record does not establish confirmed adversary collection activity against WP-2026 specifically.</w:t>
      </w:r>
    </w:p>
    <w:p>
      <w:pPr>
        <w:pStyle w:val="Heading2"/>
        <w:spacing w:after="100" w:before="320"/>
      </w:pPr>
      <w:r>
        <w:rPr>
          <w:rFonts w:ascii="Arial" w:cs="Arial" w:eastAsia="Arial" w:hAnsi="Arial"/>
          <w:b/>
          <w:bCs/>
          <w:color w:val="1B2A4A"/>
          <w:sz w:val="24"/>
          <w:szCs w:val="24"/>
        </w:rPr>
        <w:t xml:space="preserve">3.1 People’s Republic of China — MSS / Ministry of Commerce [MODERATE CONFIDENCE, ANALYTICALLY INFERRED]</w:t>
      </w:r>
    </w:p>
    <w:p>
      <w:pPr>
        <w:spacing w:after="100" w:before="80"/>
      </w:pPr>
      <w:r>
        <w:rPr>
          <w:rFonts w:ascii="Arial" w:cs="Arial" w:eastAsia="Arial" w:hAnsi="Arial"/>
          <w:color w:val="000000"/>
          <w:sz w:val="22"/>
          <w:szCs w:val="22"/>
        </w:rPr>
        <w:t xml:space="preserve">The PRC is assessed as likely deriving the highest aggregate utility from this repository of any assessed adversary. Three vectors are assessed as most operationally significant.</w:t>
      </w:r>
    </w:p>
    <w:p>
      <w:pPr>
        <w:spacing w:after="80" w:before="220"/>
      </w:pPr>
      <w:r>
        <w:rPr>
          <w:rFonts w:ascii="Arial" w:cs="Arial" w:eastAsia="Arial" w:hAnsi="Arial"/>
          <w:b/>
          <w:bCs/>
          <w:color w:val="4A5568"/>
          <w:sz w:val="22"/>
          <w:szCs w:val="22"/>
        </w:rPr>
        <w:t xml:space="preserve">Attribution Threshold Engineering</w:t>
      </w:r>
    </w:p>
    <w:p>
      <w:pPr>
        <w:spacing w:after="100" w:before="80"/>
      </w:pPr>
      <w:r>
        <w:rPr>
          <w:rFonts w:ascii="Arial" w:cs="Arial" w:eastAsia="Arial" w:hAnsi="Arial"/>
          <w:color w:val="000000"/>
          <w:sz w:val="22"/>
          <w:szCs w:val="22"/>
        </w:rPr>
        <w:t xml:space="preserve">ATTRIBUTION-01 and CSE-01 together document the exact ladder the U.S. uses to attribute state nexus, including the four boundary tests for Support vs. Enablement — directionality of benefit, structural necessity, substitutability, and concealment function — and seven documented failure modes. Available reporting is consistent with the judgment that a PRC corporate law team applying these tests could engineer entity structures specifically designed to satisfy the substitutability test, which defeats the structural necessity boundary test and maintains the entity below the Enablement rung. The public record does not establish whether any PRC entity has applied this specific methodology to WP-2026 content. [ANALYTICALLY INFERRED, LOW-MODERATE CONFIDENCE on specific application]</w:t>
      </w:r>
    </w:p>
    <w:p>
      <w:pPr>
        <w:spacing w:after="80" w:before="220"/>
      </w:pPr>
      <w:r>
        <w:rPr>
          <w:rFonts w:ascii="Arial" w:cs="Arial" w:eastAsia="Arial" w:hAnsi="Arial"/>
          <w:b/>
          <w:bCs/>
          <w:color w:val="4A5568"/>
          <w:sz w:val="22"/>
          <w:szCs w:val="22"/>
        </w:rPr>
        <w:t xml:space="preserve">Enforcement Sequencing Intelligence</w:t>
      </w:r>
    </w:p>
    <w:p>
      <w:pPr>
        <w:spacing w:after="100" w:before="80"/>
      </w:pPr>
      <w:r>
        <w:rPr>
          <w:rFonts w:ascii="Arial" w:cs="Arial" w:eastAsia="Arial" w:hAnsi="Arial"/>
          <w:color w:val="000000"/>
          <w:sz w:val="22"/>
          <w:szCs w:val="22"/>
        </w:rPr>
        <w:t xml:space="preserve">MAXPRESS-01 documents the default U.S. operational sequence: simultaneous BIS/OFAC action, pre-staged 90-day readiness packages, Lloyd’s/P&amp;I Club maritime reliability degradation as a pressure mechanism. Official U.S. enforcement practice is consistent with the sequencing documented. These findings support a moderate-confidence judgment that a PRC shipping operation applying this information would know that BIS and OFAC actions arrive simultaneously, eliminating the sequential adjustment window; that maritime insurance is a primary pressure vector requiring proactive P&amp;I Club relationship management; and that the DEEI downshift in CONTAIN-01 discloses an automatic pressure reduction trigger. The public record does not establish whether any PRC entity has operationalized these findings. [MODERATE CONFIDENCE, ANALYTICALLY INFERRED]</w:t>
      </w:r>
    </w:p>
    <w:p>
      <w:pPr>
        <w:spacing w:after="80" w:before="220"/>
      </w:pPr>
      <w:r>
        <w:rPr>
          <w:rFonts w:ascii="Arial" w:cs="Arial" w:eastAsia="Arial" w:hAnsi="Arial"/>
          <w:b/>
          <w:bCs/>
          <w:color w:val="4A5568"/>
          <w:sz w:val="22"/>
          <w:szCs w:val="22"/>
        </w:rPr>
        <w:t xml:space="preserve">Coalition Fragility Mapping</w:t>
      </w:r>
    </w:p>
    <w:p>
      <w:pPr>
        <w:spacing w:after="100" w:before="80"/>
      </w:pPr>
      <w:r>
        <w:rPr>
          <w:rFonts w:ascii="Arial" w:cs="Arial" w:eastAsia="Arial" w:hAnsi="Arial"/>
          <w:color w:val="000000"/>
          <w:sz w:val="22"/>
          <w:szCs w:val="22"/>
        </w:rPr>
        <w:t xml:space="preserve">HORMUZ-02 Parts III and X document partner-by-partner GCC coalition analysis, including Qatar’s independent Iran trade relationship as a political ceiling on cooperation, UAE’s Abu Musa/Tunb claim as a tradeable deliverable, Oman’s back-channel neutrality as its primary strategic value, and India’s Chabahar stake as a constraint on IRGC-specific pressure cooperation. Available open-source reporting on PRC diplomatic strategy is consistent with the judgment that this analysis provides a structured map of coalition partners assessed as most susceptible to alternative economic inducements. The public record does not permit a firm conclusion on whether this specific mapping has been incorporated into PRC diplomatic strategy. [MODERATE CONFIDENCE, ANALYTICALLY INFERRED]</w:t>
      </w:r>
    </w:p>
    <w:p>
      <w:pPr>
        <w:pStyle w:val="Heading2"/>
        <w:spacing w:after="100" w:before="320"/>
      </w:pPr>
      <w:r>
        <w:rPr>
          <w:rFonts w:ascii="Arial" w:cs="Arial" w:eastAsia="Arial" w:hAnsi="Arial"/>
          <w:b/>
          <w:bCs/>
          <w:color w:val="1B2A4A"/>
          <w:sz w:val="24"/>
          <w:szCs w:val="24"/>
        </w:rPr>
        <w:t xml:space="preserve">3.2 Russia — SVR / FSB Financial Intelligence Directorate [MODERATE CONFIDENCE, ANALYTICALLY INFERRED]</w:t>
      </w:r>
    </w:p>
    <w:p>
      <w:pPr>
        <w:spacing w:after="100" w:before="80"/>
      </w:pPr>
      <w:r>
        <w:rPr>
          <w:rFonts w:ascii="Arial" w:cs="Arial" w:eastAsia="Arial" w:hAnsi="Arial"/>
          <w:color w:val="000000"/>
          <w:sz w:val="22"/>
          <w:szCs w:val="22"/>
        </w:rPr>
        <w:t xml:space="preserve">Russia’s primary utility is assessed as concentrated in SENI-01 and the MAXPRESS-01 Russia enforcement track. The 327-node matrix documents which Russian infrastructure nodes U.S. enforcement treats as Tier I priorities — ESPO corridor, Power of Siberia, Arctic LNG, Polar Express submarine cable corridor, shadow fleet registry with IMO numbers. Available reporting is consistent with the judgment that Russian planners applying this information could assess which assets face near-term enforcement action and which are assessed as lower priority. The shadow fleet section with specific IMO numbers is assessed as the most operationally granular disclosure in the series.</w:t>
      </w:r>
    </w:p>
    <w:p>
      <w:pPr>
        <w:spacing w:after="100" w:before="80"/>
      </w:pPr>
      <w:r>
        <w:rPr>
          <w:rFonts w:ascii="Arial" w:cs="Arial" w:eastAsia="Arial" w:hAnsi="Arial"/>
          <w:color w:val="000000"/>
          <w:sz w:val="22"/>
          <w:szCs w:val="22"/>
        </w:rPr>
        <w:t xml:space="preserve">The PERSIST-01 guardrail index with automatic pause mechanics documents the conditions under which U.S. pressure campaigns automatically throttle down. These findings support a moderate-confidence judgment that this information is useful for identifying pressure reduction triggers Russia might attempt to manufacture through allied economic disruption. The public record does not establish whether Russia has applied these findings to its Ukraine-related sanctions evasion posture. [MODERATE CONFIDENCE, ANALYTICALLY INFERRED]</w:t>
      </w:r>
    </w:p>
    <w:p>
      <w:pPr>
        <w:pStyle w:val="Heading2"/>
        <w:spacing w:after="100" w:before="320"/>
      </w:pPr>
      <w:r>
        <w:rPr>
          <w:rFonts w:ascii="Arial" w:cs="Arial" w:eastAsia="Arial" w:hAnsi="Arial"/>
          <w:b/>
          <w:bCs/>
          <w:color w:val="1B2A4A"/>
          <w:sz w:val="24"/>
          <w:szCs w:val="24"/>
        </w:rPr>
        <w:t xml:space="preserve">3.3 Iran — MOIS / IRGC Intelligence [MODERATE CONFIDENCE, ANALYTICALLY INFERRED]</w:t>
      </w:r>
    </w:p>
    <w:p>
      <w:pPr>
        <w:spacing w:after="100" w:before="80"/>
      </w:pPr>
      <w:r>
        <w:rPr>
          <w:rFonts w:ascii="Arial" w:cs="Arial" w:eastAsia="Arial" w:hAnsi="Arial"/>
          <w:color w:val="000000"/>
          <w:sz w:val="22"/>
          <w:szCs w:val="22"/>
        </w:rPr>
        <w:t xml:space="preserve">Iran’s utility is assessed as concentrated in MAXPRESS-01 (Iran/IRGC enforcement track), HORMUZ-02, and the nuclear and WMD assessment papers. MAXPRESS-01 documents the Iran/IRGC target-specific parameters including the maritime track and Lloyd’s degradation mechanism. HORMUZ-02 Part X documents U.S. occupation obligations under IHL, identifies the exit architecture problem as the dominant strategic vulnerability of the Kharg occupation, and assesses partner political tolerance limits with operational specificity.</w:t>
      </w:r>
    </w:p>
    <w:p>
      <w:pPr>
        <w:spacing w:after="100" w:before="80"/>
      </w:pPr>
      <w:r>
        <w:rPr>
          <w:rFonts w:ascii="Arial" w:cs="Arial" w:eastAsia="Arial" w:hAnsi="Arial"/>
          <w:color w:val="000000"/>
          <w:sz w:val="22"/>
          <w:szCs w:val="22"/>
        </w:rPr>
        <w:t xml:space="preserve">The Iran Nuclear Assessment consolidates open-source estimates of post-strike program status in a structured IC-style format. The author correctly applies the NCRI source at Tier 3. Available reporting is consistent with the judgment that the consolidated three-model stockpile analysis and Pickaxe Mountain coordinates are useful to Iranian program managers for understanding what the U.S. open-source community assesses about their own program’s status. The public record does not permit a firm conclusion on operational use of this specific assessment. [MODERATE CONFIDENCE, ANALYTICALLY INFERRED]</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IV: Analytic Method Exposure Assessment</w:t>
      </w:r>
    </w:p>
    <w:p>
      <w:pPr>
        <w:spacing w:after="100" w:before="80"/>
      </w:pPr>
      <w:r>
        <w:rPr>
          <w:rFonts w:ascii="Arial" w:cs="Arial" w:eastAsia="Arial" w:hAnsi="Arial"/>
          <w:color w:val="000000"/>
          <w:sz w:val="22"/>
          <w:szCs w:val="22"/>
        </w:rPr>
        <w:t xml:space="preserve">Beyond target-specific intelligence, the series exposes the author’s analytical methodology in ways that carry systemic implications independent of any specific paper’s content. [MODERATE CONFIDENCE, ANALYTICALLY INFERRED]</w:t>
      </w:r>
    </w:p>
    <w:p>
      <w:pPr>
        <w:spacing w:after="100" w:before="80"/>
      </w:pPr>
      <w:r>
        <w:rPr>
          <w:rFonts w:ascii="Arial" w:cs="Arial" w:eastAsia="Arial" w:hAnsi="Arial"/>
          <w:color w:val="000000"/>
          <w:sz w:val="22"/>
          <w:szCs w:val="22"/>
        </w:rPr>
        <w:t xml:space="preserve">The confidence lexicon, documented/modeled boundary convention, failure mode taxonomy, and composite proxy verification methodology collectively document how a sophisticated U.S. policy analyst structures assessments, grades evidence, and defines what would change a judgment. Available reporting on adversary information operations methodology is consistent with the judgment that this framework disclosure is arguably more valuable to a sophisticated adversary service than the target-specific content.</w:t>
      </w:r>
    </w:p>
    <w:p>
      <w:pPr>
        <w:spacing w:after="100" w:before="80"/>
      </w:pPr>
      <w:r>
        <w:rPr>
          <w:rFonts w:ascii="Arial" w:cs="Arial" w:eastAsia="Arial" w:hAnsi="Arial"/>
          <w:color w:val="000000"/>
          <w:sz w:val="22"/>
          <w:szCs w:val="22"/>
        </w:rPr>
        <w:t xml:space="preserve">The ‘what would change this judgment’ requirement in ATTRIBUTION-01 explicitly states the evidence that would trigger analytic reassessment. These findings support a moderate-confidence judgment that this structure is consistent with a roadmap for manufacturing or suppressing specific evidence types. The public record does not establish whether any adversary service has applied this specific technique against WP-2026-derived frameworks. [MODERATE CONFIDENCE, ANALYTICALLY INFERRED]</w:t>
      </w:r>
    </w:p>
    <w:p>
      <w:pPr>
        <w:pBdr>
          <w:bottom w:val="single" w:color="1B2A4A" w:sz="8" w:space="1"/>
        </w:pBdr>
        <w:spacing w:after="160" w:before="160"/>
      </w:pPr>
    </w:p>
    <w:p>
      <w:pPr>
        <w:pStyle w:val="Heading1"/>
        <w:spacing w:after="160" w:before="480"/>
      </w:pPr>
      <w:r>
        <w:rPr>
          <w:rFonts w:ascii="Arial" w:cs="Arial" w:eastAsia="Arial" w:hAnsi="Arial"/>
          <w:b/>
          <w:bCs/>
          <w:color w:val="1B2A4A"/>
          <w:sz w:val="30"/>
          <w:szCs w:val="30"/>
        </w:rPr>
        <w:t xml:space="preserve">Part V: Source Triangulation Risk Assessment</w:t>
      </w:r>
    </w:p>
    <w:p>
      <w:pPr>
        <w:spacing w:after="100" w:before="80"/>
      </w:pPr>
      <w:r>
        <w:rPr>
          <w:rFonts w:ascii="Arial" w:cs="Arial" w:eastAsia="Arial" w:hAnsi="Arial"/>
          <w:color w:val="000000"/>
          <w:sz w:val="22"/>
          <w:szCs w:val="22"/>
        </w:rPr>
        <w:t xml:space="preserve">The series’ explicit Tier 1 through Tier 3 source architecture allows a sophisticated reader to reconstruct the author’s authoritative source hierarchy. Risk is low for government sources (EIA, OFAC, DoD) which are publicly known to be Tier 1. Risk is more specific in the nuclear and WMD assessments.</w:t>
      </w:r>
    </w:p>
    <w:p>
      <w:pPr>
        <w:spacing w:after="100" w:before="80"/>
      </w:pPr>
      <w:r>
        <w:rPr>
          <w:rFonts w:ascii="Arial" w:cs="Arial" w:eastAsia="Arial" w:hAnsi="Arial"/>
          <w:color w:val="000000"/>
          <w:sz w:val="22"/>
          <w:szCs w:val="22"/>
        </w:rPr>
        <w:t xml:space="preserve">The explicit exclusion of NCRI reporting at Tier 3, combined with acceptance of ODNI ATA and State Department compliance reports at Tier 1, documents the specific source hierarchy the author applies to Iranian program assessments. Available reporting is consistent with the judgment that this hierarchy disclosure is useful for calibrating what Iranian program managers would need to obscure or manufacture to affect U.S. open-source assessments. [LOW-MODERATE CONFIDENCE, ANALYTICALLY INFERRED]</w:t>
      </w:r>
    </w:p>
    <w:p>
      <w:pPr>
        <w:spacing w:after="100" w:before="80"/>
      </w:pPr>
      <w:r>
        <w:rPr>
          <w:rFonts w:ascii="Arial" w:cs="Arial" w:eastAsia="Arial" w:hAnsi="Arial"/>
          <w:color w:val="000000"/>
          <w:sz w:val="22"/>
          <w:szCs w:val="22"/>
        </w:rPr>
        <w:t xml:space="preserve">For SENI-01, the source architecture creates a secondary risk: IMO numbers cited for shadow fleet vessels were drawn from open-source reporting, but their inclusion in a structured enforcement targeting matrix — alongside ownership analysis and flag state networks — constitutes a more complete aggregation than any individual source provides. The available evidence is consistent with the judgment that Russian shipping operators reading the matrix have a consolidated picture of which vessels are assessed as most exposed. The public record does not establish the current operational status of any specific vessel listed. [MODERATE CONFIDENCE, ANALYTICALLY INFERRED]</w:t>
      </w:r>
    </w:p>
    <w:p>
      <w:pPr>
        <w:pBdr>
          <w:bottom w:val="single" w:color="1B2A4A" w:sz="8" w:space="1"/>
        </w:pBdr>
        <w:spacing w:after="160" w:before="160"/>
      </w:pPr>
    </w:p>
    <w:p>
      <w:pPr>
        <w:pStyle w:val="Heading1"/>
        <w:spacing w:after="160" w:before="480"/>
      </w:pPr>
      <w:r>
        <w:rPr>
          <w:rFonts w:ascii="Arial" w:cs="Arial" w:eastAsia="Arial" w:hAnsi="Arial"/>
          <w:b/>
          <w:bCs/>
          <w:color w:val="1B2A4A"/>
          <w:sz w:val="30"/>
          <w:szCs w:val="30"/>
        </w:rPr>
        <w:t xml:space="preserve">Part VI: Intelligence Gap Disclosure Assessment</w:t>
      </w:r>
    </w:p>
    <w:p>
      <w:pPr>
        <w:spacing w:after="100" w:before="80"/>
      </w:pPr>
      <w:r>
        <w:rPr>
          <w:rFonts w:ascii="Arial" w:cs="Arial" w:eastAsia="Arial" w:hAnsi="Arial"/>
          <w:color w:val="000000"/>
          <w:sz w:val="22"/>
          <w:szCs w:val="22"/>
        </w:rPr>
        <w:t xml:space="preserve">Every paper’s explicit acknowledgment of uncertainty constitutes a potential intelligence asset for adversary services. The most significant disclosed gaps, assessed in order of adversary utility: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35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Disclosed Gap</w:t>
            </w:r>
          </w:p>
        </w:tc>
        <w:tc>
          <w:tcPr>
            <w:tcW w:type="dxa" w:w="40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Adversary Utility Assessment</w:t>
            </w:r>
          </w:p>
        </w:tc>
      </w:tr>
      <w:tr>
        <w:tc>
          <w:tcPr>
            <w:tcW w:type="dxa" w:w="1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CONTAIN-01</w:t>
            </w:r>
          </w:p>
        </w:tc>
        <w:tc>
          <w:tcPr>
            <w:tcW w:type="dxa" w:w="3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DEEI downshift triggered by conditions the U.S. 'cannot fully observe in real time'</w:t>
            </w:r>
          </w:p>
        </w:tc>
        <w:tc>
          <w:tcPr>
            <w:tcW w:type="dxa" w:w="4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Discloses that the trigger exists and that U.S. real-time visibility is limited; adversary can attempt to trigger downshift without confirmation it will be detected</w:t>
            </w:r>
          </w:p>
        </w:tc>
      </w:tr>
      <w:tr>
        <w:tc>
          <w:tcPr>
            <w:tcW w:type="dxa" w:w="1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HORMUZ-02</w:t>
            </w:r>
          </w:p>
        </w:tc>
        <w:tc>
          <w:tcPr>
            <w:tcW w:type="dxa" w:w="3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Iranian escalation threshold assessed as 'the most consequential and least answerable variable' at LOW CONFIDENCE</w:t>
            </w:r>
          </w:p>
        </w:tc>
        <w:tc>
          <w:tcPr>
            <w:tcW w:type="dxa" w:w="4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Discloses a structural U.S. analytical blind spot on Iranian intent; confirms the uncertainty is not expected to resolve on near-term horizon</w:t>
            </w:r>
          </w:p>
        </w:tc>
      </w:tr>
      <w:tr>
        <w:tc>
          <w:tcPr>
            <w:tcW w:type="dxa" w:w="1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SENI-01</w:t>
            </w:r>
          </w:p>
        </w:tc>
        <w:tc>
          <w:tcPr>
            <w:tcW w:type="dxa" w:w="3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Beneficial ownership acknowledged as unable to be 'fully mapped' from open sources</w:t>
            </w:r>
          </w:p>
        </w:tc>
        <w:tc>
          <w:tcPr>
            <w:tcW w:type="dxa" w:w="4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Confirms that opacity of specific corporate structures is analytically effective against open-source methodology; endorses continued use of layered holding structures</w:t>
            </w:r>
          </w:p>
        </w:tc>
      </w:tr>
      <w:tr>
        <w:tc>
          <w:tcPr>
            <w:tcW w:type="dxa" w:w="1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CSE-01</w:t>
            </w:r>
          </w:p>
        </w:tc>
        <w:tc>
          <w:tcPr>
            <w:tcW w:type="dxa" w:w="3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Toleration-as-tasking failure mode identified as 'the hardest failure mode to operationalize'</w:t>
            </w:r>
          </w:p>
        </w:tc>
        <w:tc>
          <w:tcPr>
            <w:tcW w:type="dxa" w:w="4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Signals this evasion structure is most difficult for U.S. enforcement to prosecute; prioritizes it as preferred architecture for PRC-linked entities</w:t>
            </w:r>
          </w:p>
        </w:tc>
      </w:tr>
      <w:tr>
        <w:tc>
          <w:tcPr>
            <w:tcW w:type="dxa" w:w="1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SHIELD-01 CCRP</w:t>
            </w:r>
          </w:p>
        </w:tc>
        <w:tc>
          <w:tcPr>
            <w:tcW w:type="dxa" w:w="3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30-day mandatory USTR/BIS/State review window disclosed as structural delay mechanism</w:t>
            </w:r>
          </w:p>
        </w:tc>
        <w:tc>
          <w:tcPr>
            <w:tcW w:type="dxa" w:w="4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Documents that this delay is predictable and structural, not discretionary; adversary knows the window is available before tariff escalation in every instance</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VII: Consolidated Risk Matrix</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7E3" w:sz="1"/>
              <w:left w:val="single" w:color="D0D7E3" w:sz="1"/>
              <w:bottom w:val="single" w:color="D0D7E3" w:sz="1"/>
              <w:right w:val="single" w:color="D0D7E3" w:sz="1"/>
            </w:tcBorders>
            <w:shd w:fill="FDECEC" w:val="clear"/>
            <w:tcMar>
              <w:top w:type="dxa" w:w="120"/>
              <w:left w:type="dxa" w:w="160"/>
              <w:bottom w:type="dxa" w:w="120"/>
              <w:right w:type="dxa" w:w="160"/>
            </w:tcMar>
          </w:tcPr>
          <w:p>
            <w:pPr>
              <w:jc w:val="center"/>
            </w:pPr>
            <w:r>
              <w:rPr>
                <w:rFonts w:ascii="Arial" w:cs="Arial" w:eastAsia="Arial" w:hAnsi="Arial"/>
                <w:b/>
                <w:bCs/>
                <w:color w:val="9B1C1C"/>
                <w:sz w:val="22"/>
                <w:szCs w:val="22"/>
              </w:rPr>
              <w:t xml:space="preserve">CRITICAL RISK</w:t>
            </w:r>
          </w:p>
          <w:p>
            <w:pPr>
              <w:jc w:val="center"/>
            </w:pPr>
            <w:r>
              <w:rPr>
                <w:rFonts w:ascii="Arial" w:cs="Arial" w:eastAsia="Arial" w:hAnsi="Arial"/>
                <w:color w:val="4A5568"/>
                <w:sz w:val="20"/>
                <w:szCs w:val="20"/>
              </w:rPr>
              <w:t xml:space="preserve">3 Papers / Sections</w:t>
            </w:r>
          </w:p>
        </w:tc>
        <w:tc>
          <w:tcPr>
            <w:tcW w:type="dxa" w:w="3120"/>
            <w:tcBorders>
              <w:top w:val="single" w:color="D0D7E3" w:sz="1"/>
              <w:left w:val="single" w:color="D0D7E3" w:sz="1"/>
              <w:bottom w:val="single" w:color="D0D7E3" w:sz="1"/>
              <w:right w:val="single" w:color="D0D7E3" w:sz="1"/>
            </w:tcBorders>
            <w:shd w:fill="FEF3E2" w:val="clear"/>
            <w:tcMar>
              <w:top w:type="dxa" w:w="120"/>
              <w:left w:type="dxa" w:w="160"/>
              <w:bottom w:type="dxa" w:w="120"/>
              <w:right w:type="dxa" w:w="160"/>
            </w:tcMar>
          </w:tcPr>
          <w:p>
            <w:pPr>
              <w:jc w:val="center"/>
            </w:pPr>
            <w:r>
              <w:rPr>
                <w:rFonts w:ascii="Arial" w:cs="Arial" w:eastAsia="Arial" w:hAnsi="Arial"/>
                <w:b/>
                <w:bCs/>
                <w:color w:val="A0500A"/>
                <w:sz w:val="22"/>
                <w:szCs w:val="22"/>
              </w:rPr>
              <w:t xml:space="preserve">HIGH RISK</w:t>
            </w:r>
          </w:p>
          <w:p>
            <w:pPr>
              <w:jc w:val="center"/>
            </w:pPr>
            <w:r>
              <w:rPr>
                <w:rFonts w:ascii="Arial" w:cs="Arial" w:eastAsia="Arial" w:hAnsi="Arial"/>
                <w:color w:val="4A5568"/>
                <w:sz w:val="20"/>
                <w:szCs w:val="20"/>
              </w:rPr>
              <w:t xml:space="preserve">5 Papers / Sections</w:t>
            </w:r>
          </w:p>
        </w:tc>
        <w:tc>
          <w:tcPr>
            <w:tcW w:type="dxa" w:w="3120"/>
            <w:tcBorders>
              <w:top w:val="single" w:color="D0D7E3" w:sz="1"/>
              <w:left w:val="single" w:color="D0D7E3" w:sz="1"/>
              <w:bottom w:val="single" w:color="D0D7E3" w:sz="1"/>
              <w:right w:val="single" w:color="D0D7E3" w:sz="1"/>
            </w:tcBorders>
            <w:shd w:fill="E8EDF5" w:val="clear"/>
            <w:tcMar>
              <w:top w:type="dxa" w:w="120"/>
              <w:left w:type="dxa" w:w="160"/>
              <w:bottom w:type="dxa" w:w="120"/>
              <w:right w:type="dxa" w:w="160"/>
            </w:tcMar>
          </w:tcPr>
          <w:p>
            <w:pPr>
              <w:jc w:val="center"/>
            </w:pPr>
            <w:r>
              <w:rPr>
                <w:rFonts w:ascii="Arial" w:cs="Arial" w:eastAsia="Arial" w:hAnsi="Arial"/>
                <w:b/>
                <w:bCs/>
                <w:color w:val="7A6300"/>
                <w:sz w:val="22"/>
                <w:szCs w:val="22"/>
              </w:rPr>
              <w:t xml:space="preserve">MODERATE RISK</w:t>
            </w:r>
          </w:p>
          <w:p>
            <w:pPr>
              <w:jc w:val="center"/>
            </w:pPr>
            <w:r>
              <w:rPr>
                <w:rFonts w:ascii="Arial" w:cs="Arial" w:eastAsia="Arial" w:hAnsi="Arial"/>
                <w:color w:val="4A5568"/>
                <w:sz w:val="20"/>
                <w:szCs w:val="20"/>
              </w:rPr>
              <w:t xml:space="preserve">5 Papers / Sections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 Dimension</w:t>
            </w:r>
          </w:p>
        </w:tc>
        <w:tc>
          <w:tcPr>
            <w:tcW w:type="dxa" w:w="47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c>
          <w:tcPr>
            <w:tcW w:type="dxa" w:w="18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Aggregation Risk</w:t>
            </w:r>
          </w:p>
        </w:tc>
        <w:tc>
          <w:tcPr>
            <w:tcW w:type="dxa" w:w="47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CRITICAL — The 13-paper integrated series with published dependency graph constitutes a structured intelligence package exceeding the sum of its parts. Not addressable by modifying individual papers.</w:t>
            </w:r>
          </w:p>
        </w:tc>
        <w:tc>
          <w:tcPr>
            <w:tcW w:type="dxa" w:w="1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HIGH CONFIDENCE</w:t>
            </w:r>
          </w:p>
        </w:tc>
      </w:tr>
      <w:tr>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Analytic Method Exposure</w:t>
            </w:r>
          </w:p>
        </w:tc>
        <w:tc>
          <w:tcPr>
            <w:tcW w:type="dxa" w:w="47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HIGH — Confidence lexicon, failure mode taxonomy, and 'what would change this judgment' requirements expose analytical methodology in ways useful for adversary information operations and evasion planning.</w:t>
            </w:r>
          </w:p>
        </w:tc>
        <w:tc>
          <w:tcPr>
            <w:tcW w:type="dxa" w:w="1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MODERATE CONFIDENCE</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Target Prioritization Disclosure (SENI-01)</w:t>
            </w:r>
          </w:p>
        </w:tc>
        <w:tc>
          <w:tcPr>
            <w:tcW w:type="dxa" w:w="47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CRITICAL — The 327-node matrix with Tier I designation logic is the most operationally specific element. IMO numbers for shadow fleet vessels are the single most granular disclosure.</w:t>
            </w:r>
          </w:p>
        </w:tc>
        <w:tc>
          <w:tcPr>
            <w:tcW w:type="dxa" w:w="1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HIGH CONFIDENCE</w:t>
            </w:r>
          </w:p>
        </w:tc>
      </w:tr>
      <w:tr>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Coalition Fragility Mapping (HORMUZ-02)</w:t>
            </w:r>
          </w:p>
        </w:tc>
        <w:tc>
          <w:tcPr>
            <w:tcW w:type="dxa" w:w="47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HIGH — Partner-by-partner political tolerance analysis provides adversaries with a structured map of GCC coalition pressure points at operational specificity.</w:t>
            </w:r>
          </w:p>
        </w:tc>
        <w:tc>
          <w:tcPr>
            <w:tcW w:type="dxa" w:w="1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MODERATE CONFIDENCE</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Attribution Threshold Engineering (ATTRIBUTION-01 + CSE-01)</w:t>
            </w:r>
          </w:p>
        </w:tc>
        <w:tc>
          <w:tcPr>
            <w:tcW w:type="dxa" w:w="47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CRITICAL — Explicit failure mode documentation and four boundary tests provide a compliance-defeat playbook for sophisticated PRC corporate structuring.</w:t>
            </w:r>
          </w:p>
        </w:tc>
        <w:tc>
          <w:tcPr>
            <w:tcW w:type="dxa" w:w="1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MODERATE CONFIDENCE</w:t>
            </w:r>
          </w:p>
        </w:tc>
      </w:tr>
      <w:tr>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Nuclear/WMD Assessment</w:t>
            </w:r>
          </w:p>
        </w:tc>
        <w:tc>
          <w:tcPr>
            <w:tcW w:type="dxa" w:w="47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MODERATE — Consolidated open-source estimates in IC-style format are more useful to adversaries than any individual source, but remain within bounds of what diligent independent collection would produce.</w:t>
            </w:r>
          </w:p>
        </w:tc>
        <w:tc>
          <w:tcPr>
            <w:tcW w:type="dxa" w:w="1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MODERATE CONFIDENCE</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Source Triangulation Risk</w:t>
            </w:r>
          </w:p>
        </w:tc>
        <w:tc>
          <w:tcPr>
            <w:tcW w:type="dxa" w:w="47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LOW-MODERATE — Source hierarchy disclosure is most significant in nuclear and WMD sections; low risk for standard government sources.</w:t>
            </w:r>
          </w:p>
        </w:tc>
        <w:tc>
          <w:tcPr>
            <w:tcW w:type="dxa" w:w="1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LOW-MODERATE CONFIDENCE</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VIII: Recommendations</w:t>
      </w:r>
    </w:p>
    <w:p>
      <w:pPr>
        <w:spacing w:after="100" w:before="80"/>
      </w:pPr>
      <w:r>
        <w:rPr>
          <w:rFonts w:ascii="Arial" w:cs="Arial" w:eastAsia="Arial" w:hAnsi="Arial"/>
          <w:color w:val="000000"/>
          <w:sz w:val="22"/>
          <w:szCs w:val="22"/>
        </w:rPr>
        <w:t xml:space="preserve">The following recommendations are calibrated to an author who has already published the repository publicly. The primary concern is risk awareness for future series design, not retraction of existing material.</w:t>
      </w:r>
    </w:p>
    <w:p>
      <w:pPr>
        <w:pStyle w:val="Heading2"/>
        <w:spacing w:after="100" w:before="320"/>
      </w:pPr>
      <w:r>
        <w:rPr>
          <w:rFonts w:ascii="Arial" w:cs="Arial" w:eastAsia="Arial" w:hAnsi="Arial"/>
          <w:b/>
          <w:bCs/>
          <w:color w:val="1B2A4A"/>
          <w:sz w:val="24"/>
          <w:szCs w:val="24"/>
        </w:rPr>
        <w:t xml:space="preserve">8.1 What Cannot Be Remediated [HIGH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2E" w:sz="16"/>
              <w:bottom w:val="none" w:color="FFFFFF" w:sz="0"/>
              <w:right w:val="none" w:color="FFFFFF" w:sz="0"/>
            </w:tcBorders>
            <w:shd w:fill="EAF4EC" w:val="clear"/>
            <w:tcMar>
              <w:top w:type="dxa" w:w="120"/>
              <w:left w:type="dxa" w:w="280"/>
              <w:bottom w:type="dxa" w:w="120"/>
              <w:right w:type="dxa" w:w="160"/>
            </w:tcMar>
          </w:tcPr>
          <w:p>
            <w:pPr>
              <w:spacing w:after="80" w:before="0"/>
            </w:pPr>
            <w:r>
              <w:rPr>
                <w:rFonts w:ascii="Arial" w:cs="Arial" w:eastAsia="Arial" w:hAnsi="Arial"/>
                <w:b/>
                <w:bCs/>
                <w:caps/>
                <w:color w:val="1A5C2E"/>
                <w:sz w:val="20"/>
                <w:szCs w:val="20"/>
              </w:rPr>
              <w:t xml:space="preserve">DOCUMENTED CONSTRAINT</w:t>
            </w:r>
          </w:p>
          <w:p>
            <w:r>
              <w:rPr>
                <w:rFonts w:ascii="Arial" w:cs="Arial" w:eastAsia="Arial" w:hAnsi="Arial"/>
                <w:sz w:val="20"/>
                <w:szCs w:val="20"/>
              </w:rPr>
              <w:t xml:space="preserve">The repository is public, indexed by GitHub search, and accessible to any OSINT collection program. Official reporting on adversary OSINT operations is consistent with the judgment that what is published should be treated as already collected. Retraction is assessed with high confidence to carry no CI benefit and significant academic cost. The available evidence does not support retraction as a viable or effective remediation measure.</w:t>
            </w:r>
          </w:p>
        </w:tc>
      </w:tr>
    </w:tbl>
    <w:p>
      <w:pPr>
        <w:spacing w:before="80"/>
      </w:pPr>
    </w:p>
    <w:p>
      <w:pPr>
        <w:pStyle w:val="Heading2"/>
        <w:spacing w:after="100" w:before="320"/>
      </w:pPr>
      <w:r>
        <w:rPr>
          <w:rFonts w:ascii="Arial" w:cs="Arial" w:eastAsia="Arial" w:hAnsi="Arial"/>
          <w:b/>
          <w:bCs/>
          <w:color w:val="1B2A4A"/>
          <w:sz w:val="24"/>
          <w:szCs w:val="24"/>
        </w:rPr>
        <w:t xml:space="preserve">8.2 For Future Series Work</w:t>
      </w:r>
    </w:p>
    <w:p>
      <w:pPr>
        <w:pStyle w:val="ListParagraph"/>
        <w:numPr>
          <w:ilvl w:val="0"/>
          <w:numId w:val="2"/>
        </w:numPr>
        <w:spacing w:after="50" w:before="50"/>
      </w:pPr>
      <w:r>
        <w:rPr>
          <w:rFonts w:ascii="Arial" w:cs="Arial" w:eastAsia="Arial" w:hAnsi="Arial"/>
          <w:sz w:val="22"/>
          <w:szCs w:val="22"/>
        </w:rPr>
        <w:t xml:space="preserve">Decouple the dependency graph from the public README. The reading order and cross-reference architecture is the mechanism that transforms individual papers into an integrated intelligence package. Future series work should not publish an explicit dependency map in the root README.</w:t>
      </w:r>
    </w:p>
    <w:p>
      <w:pPr>
        <w:pStyle w:val="ListParagraph"/>
        <w:numPr>
          <w:ilvl w:val="0"/>
          <w:numId w:val="2"/>
        </w:numPr>
        <w:spacing w:after="50" w:before="50"/>
      </w:pPr>
      <w:r>
        <w:rPr>
          <w:rFonts w:ascii="Arial" w:cs="Arial" w:eastAsia="Arial" w:hAnsi="Arial"/>
          <w:sz w:val="22"/>
          <w:szCs w:val="22"/>
        </w:rPr>
        <w:t xml:space="preserve">Separate high-granularity targeting matrices from methodology documentation. The 327-node SENI-01 matrix with IMO numbers is the highest-risk individual document. Future versions should consider abstracting the targeting logic without publishing specific node identification at the current level of granularity.</w:t>
      </w:r>
    </w:p>
    <w:p>
      <w:pPr>
        <w:pStyle w:val="ListParagraph"/>
        <w:numPr>
          <w:ilvl w:val="0"/>
          <w:numId w:val="2"/>
        </w:numPr>
        <w:spacing w:after="50" w:before="50"/>
      </w:pPr>
      <w:r>
        <w:rPr>
          <w:rFonts w:ascii="Arial" w:cs="Arial" w:eastAsia="Arial" w:hAnsi="Arial"/>
          <w:sz w:val="22"/>
          <w:szCs w:val="22"/>
        </w:rPr>
        <w:t xml:space="preserve">Reduce failure mode specificity in publicly published methodology documents. The analytic framework in ATTRIBUTION-01 and CSE-01 can be presented at a level useful to legitimate policy audiences without the seven named failure modes functioning as an operationalized evasion manual.</w:t>
      </w:r>
    </w:p>
    <w:p>
      <w:pPr>
        <w:pStyle w:val="ListParagraph"/>
        <w:numPr>
          <w:ilvl w:val="0"/>
          <w:numId w:val="2"/>
        </w:numPr>
        <w:spacing w:after="50" w:before="50"/>
      </w:pPr>
      <w:r>
        <w:rPr>
          <w:rFonts w:ascii="Arial" w:cs="Arial" w:eastAsia="Arial" w:hAnsi="Arial"/>
          <w:sz w:val="22"/>
          <w:szCs w:val="22"/>
        </w:rPr>
        <w:t xml:space="preserve">Treat gap acknowledgments as a separate internal document. The explicit LOW CONFIDENCE disclosures and 'what would change this judgment' requirements are valuable for analytic integrity. Consider maintaining gap analysis in an internal version not included in the public repository.</w:t>
      </w:r>
    </w:p>
    <w:p>
      <w:pPr>
        <w:pStyle w:val="ListParagraph"/>
        <w:numPr>
          <w:ilvl w:val="0"/>
          <w:numId w:val="2"/>
        </w:numPr>
        <w:spacing w:after="50" w:before="50"/>
      </w:pPr>
      <w:r>
        <w:rPr>
          <w:rFonts w:ascii="Arial" w:cs="Arial" w:eastAsia="Arial" w:hAnsi="Arial"/>
          <w:sz w:val="22"/>
          <w:szCs w:val="22"/>
        </w:rPr>
        <w:t xml:space="preserve">Apply the INFRA-01 predicate methodology more selectively in public versions. The AIS linkage methodology and BIS/OFAC sequencing detail provide adversary shipping operators a calibration target for defeating AIS-based enforcement predicates.</w:t>
      </w:r>
    </w:p>
    <w:p>
      <w:pPr>
        <w:spacing w:before="80"/>
      </w:pPr>
    </w:p>
    <w:p>
      <w:pPr>
        <w:pStyle w:val="Heading2"/>
        <w:spacing w:after="100" w:before="320"/>
      </w:pPr>
      <w:r>
        <w:rPr>
          <w:rFonts w:ascii="Arial" w:cs="Arial" w:eastAsia="Arial" w:hAnsi="Arial"/>
          <w:b/>
          <w:bCs/>
          <w:color w:val="1B2A4A"/>
          <w:sz w:val="24"/>
          <w:szCs w:val="24"/>
        </w:rPr>
        <w:t xml:space="preserve">8.3 For Academic Submission (SSRN)</w:t>
      </w:r>
    </w:p>
    <w:p>
      <w:pPr>
        <w:spacing w:after="100" w:before="80"/>
      </w:pPr>
      <w:r>
        <w:rPr>
          <w:rFonts w:ascii="Arial" w:cs="Arial" w:eastAsia="Arial" w:hAnsi="Arial"/>
          <w:color w:val="000000"/>
          <w:sz w:val="22"/>
          <w:szCs w:val="22"/>
        </w:rPr>
        <w:t xml:space="preserve">SSRN publication does not materially increase CI exposure — the GitHub repository is already indexed and should be treated as already collected. SSRN adds legitimate academic credibility and attribution permanence, which are net positives for the series. Proceed with SSRN publication as planned.</w:t>
      </w:r>
    </w:p>
    <w:p>
      <w:pPr>
        <w:spacing w:before="80"/>
      </w:pPr>
    </w:p>
    <w:p>
      <w:pPr>
        <w:pStyle w:val="Heading2"/>
        <w:spacing w:after="100" w:before="320"/>
      </w:pPr>
      <w:r>
        <w:rPr>
          <w:rFonts w:ascii="Arial" w:cs="Arial" w:eastAsia="Arial" w:hAnsi="Arial"/>
          <w:b/>
          <w:bCs/>
          <w:color w:val="1B2A4A"/>
          <w:sz w:val="24"/>
          <w:szCs w:val="24"/>
        </w:rPr>
        <w:t xml:space="preserve">8.4 Georgetown SSP Application Context</w:t>
      </w:r>
    </w:p>
    <w:p>
      <w:pPr>
        <w:spacing w:after="100" w:before="80"/>
      </w:pPr>
      <w:r>
        <w:rPr>
          <w:rFonts w:ascii="Arial" w:cs="Arial" w:eastAsia="Arial" w:hAnsi="Arial"/>
          <w:color w:val="000000"/>
          <w:sz w:val="22"/>
          <w:szCs w:val="22"/>
        </w:rPr>
        <w:t xml:space="preserve">The portfolio’s CI exposure is a byproduct of its analytical sophistication, not a deficiency. A doctoral program reviewer assessing this work will recognize the methodology rigor, the confidence discipline, and the failure mode acknowledgments as markers of serious analytic training. The production of this CI assessment — a rigorous self-evaluation of an open-source research series' exposure profile — is itself evidence of the operational security awareness and professional judgment the SSP program selects for. Including a brief reference to this self-assessment in the portfolio cover letter is recommended.</w:t>
      </w:r>
    </w:p>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Part IX: Final Judgment</w:t>
      </w:r>
    </w:p>
    <w:p>
      <w:pPr>
        <w:spacing w:after="100" w:before="80"/>
      </w:pPr>
      <w:r>
        <w:rPr>
          <w:rFonts w:ascii="Arial" w:cs="Arial" w:eastAsia="Arial" w:hAnsi="Arial"/>
          <w:color w:val="000000"/>
          <w:sz w:val="22"/>
          <w:szCs w:val="22"/>
        </w:rPr>
        <w:t xml:space="preserve">The WP-2026 series represents genuine analytical work at a level that creates real CI exposure precisely because it is sophisticated enough to be useful. The exposure is not the result of carelessness. It is the inherent tension between open-source policy research and the operational specificity required to make that research credible and actionable.</w:t>
      </w:r>
    </w:p>
    <w:p>
      <w:pPr>
        <w:spacing w:after="100" w:before="80"/>
      </w:pPr>
      <w:r>
        <w:rPr>
          <w:rFonts w:ascii="Arial" w:cs="Arial" w:eastAsia="Arial" w:hAnsi="Arial"/>
          <w:color w:val="000000"/>
          <w:sz w:val="22"/>
          <w:szCs w:val="22"/>
        </w:rPr>
        <w:t xml:space="preserve">Official reporting on adversary OSINT collection practices is consistent with the judgment that the series is already collected by adversary OSINT programs. The highest-priority CI risks — the SENI-01 node targeting logic, the ATTRIBUTION-01 failure mode taxonomy, and the MAXPRESS-01 execution sequencing — are assessed as very likely already part of the open-source analytical landscape that sophisticated adversary services monitor systematically. [MODERATE CONFIDENCE, ANALYTICALLY INFERRED]</w:t>
      </w:r>
    </w:p>
    <w:p>
      <w:pPr>
        <w:spacing w:after="100" w:before="80"/>
      </w:pPr>
      <w:r>
        <w:rPr>
          <w:rFonts w:ascii="Arial" w:cs="Arial" w:eastAsia="Arial" w:hAnsi="Arial"/>
          <w:color w:val="000000"/>
          <w:sz w:val="22"/>
          <w:szCs w:val="22"/>
        </w:rPr>
        <w:t xml:space="preserve">The available evidence supports a moderate-confidence judgment that adversary awareness of this analytical architecture is unlikely to defeat the enforcement mechanisms the series documents. Those mechanisms operate through structural legal authorities and institutional capacity, not through information asymmetry. Knowing the analytical framework does not transfer the institutional capacity required to defeat it. [MODERATE CONFIDENCE, ANALYTICALLY INFERRED]</w:t>
      </w:r>
    </w:p>
    <w:p>
      <w:pPr>
        <w:spacing w:after="100" w:before="80"/>
      </w:pPr>
      <w:r>
        <w:rPr>
          <w:rFonts w:ascii="Arial" w:cs="Arial" w:eastAsia="Arial" w:hAnsi="Arial"/>
          <w:color w:val="000000"/>
          <w:sz w:val="22"/>
          <w:szCs w:val="22"/>
        </w:rPr>
        <w:t xml:space="preserve">The actionable CI value of this assessment is prospective. It establishes a baseline for how to structure future integrated policy research series to preserve analytical depth while reducing specific exposure vectors identified here. The primary structural changes are decoupling the dependency graph from the public index and separating high-granularity targeting matrices from the methodology documentation that makes them most operationally useful to a foreign reader.</w:t>
      </w:r>
    </w:p>
    <w:p>
      <w:pPr>
        <w:spacing w:before="120"/>
      </w:pPr>
    </w:p>
    <w:p>
      <w:pPr>
        <w:spacing w:after="100" w:before="80"/>
      </w:pPr>
      <w:r>
        <w:rPr>
          <w:rFonts w:ascii="Arial" w:cs="Arial" w:eastAsia="Arial" w:hAnsi="Arial"/>
          <w:i/>
          <w:iCs/>
          <w:color w:val="4A5568"/>
          <w:sz w:val="22"/>
          <w:szCs w:val="22"/>
        </w:rPr>
        <w:t xml:space="preserve">This assessment was produced solely by the author for academic risk management and professional transparency purposes. It contains no classified information. All findings are analytically inferred from public repository content and established open-source CI methodology.</w:t>
      </w:r>
    </w:p>
    <w:p>
      <w:pPr>
        <w:spacing w:before="80"/>
      </w:pPr>
    </w:p>
    <w:p>
      <w:pPr>
        <w:pBdr>
          <w:bottom w:val="single" w:color="1B2A4A" w:sz="8"/>
        </w:pBdr>
      </w:pPr>
      <w:r>
        <w:rPr>
          <w:rFonts w:ascii="Arial" w:cs="Arial" w:eastAsia="Arial" w:hAnsi="Arial"/>
          <w:b/>
          <w:bCs/>
          <w:color w:val="1B2A4A"/>
          <w:sz w:val="20"/>
          <w:szCs w:val="20"/>
        </w:rPr>
        <w:t xml:space="preserve">END OF DOCUMENT  —  WP-2026-CI-ASSESSMENT v2.0  —  MARCH 2026  —  UNCLASSIFIED // OPEN SOURCE ANALYTIC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CI Assessment • Collin George • March 2026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before="0"/>
    </w:pPr>
    <w:r>
      <w:rPr>
        <w:rFonts w:ascii="Arial" w:cs="Arial" w:eastAsia="Arial" w:hAnsi="Arial"/>
        <w:caps/>
        <w:color w:val="4A5568"/>
        <w:sz w:val="16"/>
        <w:szCs w:val="16"/>
      </w:rPr>
      <w:t xml:space="preserve">WP-2026-CI-ASSESSMENT  •  UNCLASSIFIED // OPEN SOURCE ANALYTIC PRODUCT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3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2026-03-16T14:33:24.230Z</dcterms:created>
  <dcterms:modified xsi:type="dcterms:W3CDTF">2026-03-16T14:33:24.231Z</dcterms:modified>
</cp:coreProperties>
</file>

<file path=docProps/custom.xml><?xml version="1.0" encoding="utf-8"?>
<Properties xmlns="http://schemas.openxmlformats.org/officeDocument/2006/custom-properties" xmlns:vt="http://schemas.openxmlformats.org/officeDocument/2006/docPropsVTypes"/>
</file>