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pPr>
    </w:p>
    <w:p>
      <w:pPr>
        <w:spacing w:after="60" w:before="0"/>
        <w:jc w:val="left"/>
      </w:pPr>
      <w:r>
        <w:rPr>
          <w:rFonts w:ascii="Arial" w:cs="Arial" w:eastAsia="Arial" w:hAnsi="Arial"/>
          <w:caps/>
          <w:color w:val="4A5568"/>
          <w:sz w:val="18"/>
          <w:szCs w:val="18"/>
        </w:rPr>
        <w:t xml:space="preserve">CENTER FOR COMPETITIVE STATECRAFT AND STRATEGIC POLICY</w:t>
      </w:r>
    </w:p>
    <w:p>
      <w:pPr>
        <w:spacing w:after="60" w:before="0"/>
        <w:jc w:val="left"/>
      </w:pPr>
      <w:r>
        <w:rPr>
          <w:rFonts w:ascii="Arial" w:cs="Arial" w:eastAsia="Arial" w:hAnsi="Arial"/>
          <w:b/>
          <w:bCs/>
          <w:caps/>
          <w:color w:val="2E4172"/>
          <w:sz w:val="20"/>
          <w:szCs w:val="20"/>
        </w:rPr>
        <w:t xml:space="preserve">WP-2026 SERIES</w:t>
      </w:r>
    </w:p>
    <w:p>
      <w:pPr>
        <w:pBdr>
          <w:bottom w:val="single" w:color="1B2A4A" w:sz="12" w:space="1"/>
        </w:pBdr>
        <w:spacing w:after="80" w:before="0"/>
        <w:jc w:val="left"/>
      </w:pPr>
    </w:p>
    <w:p>
      <w:pPr>
        <w:spacing w:before="60"/>
      </w:pPr>
    </w:p>
    <w:p>
      <w:pPr>
        <w:spacing w:after="60" w:before="0"/>
        <w:jc w:val="left"/>
      </w:pPr>
      <w:r>
        <w:rPr>
          <w:rFonts w:ascii="Arial" w:cs="Arial" w:eastAsia="Arial" w:hAnsi="Arial"/>
          <w:b/>
          <w:bCs/>
          <w:color w:val="1B2A4A"/>
          <w:sz w:val="48"/>
          <w:szCs w:val="48"/>
        </w:rPr>
        <w:t xml:space="preserve">STYLE AND VERBIAGE GUIDE</w:t>
      </w:r>
    </w:p>
    <w:p>
      <w:pPr>
        <w:spacing w:after="200" w:before="0"/>
        <w:jc w:val="left"/>
      </w:pPr>
      <w:r>
        <w:rPr>
          <w:rFonts w:ascii="Arial" w:cs="Arial" w:eastAsia="Arial" w:hAnsi="Arial"/>
          <w:color w:val="4A5568"/>
          <w:sz w:val="24"/>
          <w:szCs w:val="24"/>
        </w:rPr>
        <w:t xml:space="preserve">Format · Structure · Institutional Voice · Analytic Tradecraft · Production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7E3" w:sz="1"/>
              <w:left w:val="single" w:color="D0D7E3" w:sz="1"/>
              <w:bottom w:val="single" w:color="D0D7E3" w:sz="1"/>
              <w:right w:val="single" w:color="D0D7E3"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Version</w:t>
            </w:r>
          </w:p>
        </w:tc>
        <w:tc>
          <w:tcPr>
            <w:tcW w:type="dxa" w:w="6960"/>
            <w:tcBorders>
              <w:top w:val="single" w:color="D0D7E3" w:sz="1"/>
              <w:left w:val="single" w:color="D0D7E3" w:sz="1"/>
              <w:bottom w:val="single" w:color="D0D7E3" w:sz="1"/>
              <w:right w:val="single" w:color="D0D7E3" w:sz="1"/>
            </w:tcBorders>
            <w:shd w:fill="E8EDF5" w:val="clear"/>
            <w:tcMar>
              <w:top w:type="dxa" w:w="80"/>
              <w:left w:type="dxa" w:w="140"/>
              <w:bottom w:type="dxa" w:w="80"/>
              <w:right w:type="dxa" w:w="120"/>
            </w:tcMar>
          </w:tcPr>
          <w:p>
            <w:r>
              <w:rPr>
                <w:rFonts w:ascii="Arial" w:cs="Arial" w:eastAsia="Arial" w:hAnsi="Arial"/>
                <w:sz w:val="20"/>
                <w:szCs w:val="20"/>
              </w:rPr>
              <w:t xml:space="preserve">3.0 — Unified Edition (Style Guide v2.0 + BW Assessment Verbiage Guide integrated)</w:t>
            </w:r>
          </w:p>
        </w:tc>
      </w:tr>
      <w:tr>
        <w:tc>
          <w:tcPr>
            <w:tcW w:type="dxa" w:w="2400"/>
            <w:tcBorders>
              <w:top w:val="single" w:color="D0D7E3" w:sz="1"/>
              <w:left w:val="single" w:color="D0D7E3" w:sz="1"/>
              <w:bottom w:val="single" w:color="D0D7E3" w:sz="1"/>
              <w:right w:val="single" w:color="D0D7E3"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Date</w:t>
            </w:r>
          </w:p>
        </w:tc>
        <w:tc>
          <w:tcPr>
            <w:tcW w:type="dxa" w:w="6960"/>
            <w:tcBorders>
              <w:top w:val="single" w:color="D0D7E3" w:sz="1"/>
              <w:left w:val="single" w:color="D0D7E3" w:sz="1"/>
              <w:bottom w:val="single" w:color="D0D7E3" w:sz="1"/>
              <w:right w:val="single" w:color="D0D7E3" w:sz="1"/>
            </w:tcBorders>
            <w:shd w:fill="FAFAFA" w:val="clear"/>
            <w:tcMar>
              <w:top w:type="dxa" w:w="80"/>
              <w:left w:type="dxa" w:w="140"/>
              <w:bottom w:type="dxa" w:w="80"/>
              <w:right w:type="dxa" w:w="120"/>
            </w:tcMar>
          </w:tcPr>
          <w:p>
            <w:r>
              <w:rPr>
                <w:rFonts w:ascii="Arial" w:cs="Arial" w:eastAsia="Arial" w:hAnsi="Arial"/>
                <w:sz w:val="20"/>
                <w:szCs w:val="20"/>
              </w:rPr>
              <w:t xml:space="preserve">March 2026</w:t>
            </w:r>
          </w:p>
        </w:tc>
      </w:tr>
      <w:tr>
        <w:tc>
          <w:tcPr>
            <w:tcW w:type="dxa" w:w="2400"/>
            <w:tcBorders>
              <w:top w:val="single" w:color="D0D7E3" w:sz="1"/>
              <w:left w:val="single" w:color="D0D7E3" w:sz="1"/>
              <w:bottom w:val="single" w:color="D0D7E3" w:sz="1"/>
              <w:right w:val="single" w:color="D0D7E3"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Supersedes</w:t>
            </w:r>
          </w:p>
        </w:tc>
        <w:tc>
          <w:tcPr>
            <w:tcW w:type="dxa" w:w="6960"/>
            <w:tcBorders>
              <w:top w:val="single" w:color="D0D7E3" w:sz="1"/>
              <w:left w:val="single" w:color="D0D7E3" w:sz="1"/>
              <w:bottom w:val="single" w:color="D0D7E3" w:sz="1"/>
              <w:right w:val="single" w:color="D0D7E3" w:sz="1"/>
            </w:tcBorders>
            <w:shd w:fill="E8EDF5" w:val="clear"/>
            <w:tcMar>
              <w:top w:type="dxa" w:w="80"/>
              <w:left w:type="dxa" w:w="140"/>
              <w:bottom w:type="dxa" w:w="80"/>
              <w:right w:type="dxa" w:w="120"/>
            </w:tcMar>
          </w:tcPr>
          <w:p>
            <w:r>
              <w:rPr>
                <w:rFonts w:ascii="Arial" w:cs="Arial" w:eastAsia="Arial" w:hAnsi="Arial"/>
                <w:sz w:val="20"/>
                <w:szCs w:val="20"/>
              </w:rPr>
              <w:t xml:space="preserve">Style Guide v1.0 (March 2026), Style Guide v2.0 (March 2026)</w:t>
            </w:r>
          </w:p>
        </w:tc>
      </w:tr>
      <w:tr>
        <w:tc>
          <w:tcPr>
            <w:tcW w:type="dxa" w:w="2400"/>
            <w:tcBorders>
              <w:top w:val="single" w:color="D0D7E3" w:sz="1"/>
              <w:left w:val="single" w:color="D0D7E3" w:sz="1"/>
              <w:bottom w:val="single" w:color="D0D7E3" w:sz="1"/>
              <w:right w:val="single" w:color="D0D7E3"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Authority</w:t>
            </w:r>
          </w:p>
        </w:tc>
        <w:tc>
          <w:tcPr>
            <w:tcW w:type="dxa" w:w="6960"/>
            <w:tcBorders>
              <w:top w:val="single" w:color="D0D7E3" w:sz="1"/>
              <w:left w:val="single" w:color="D0D7E3" w:sz="1"/>
              <w:bottom w:val="single" w:color="D0D7E3" w:sz="1"/>
              <w:right w:val="single" w:color="D0D7E3" w:sz="1"/>
            </w:tcBorders>
            <w:shd w:fill="FAFAFA" w:val="clear"/>
            <w:tcMar>
              <w:top w:type="dxa" w:w="80"/>
              <w:left w:type="dxa" w:w="140"/>
              <w:bottom w:type="dxa" w:w="80"/>
              <w:right w:type="dxa" w:w="120"/>
            </w:tcMar>
          </w:tcPr>
          <w:p>
            <w:r>
              <w:rPr>
                <w:rFonts w:ascii="Arial" w:cs="Arial" w:eastAsia="Arial" w:hAnsi="Arial"/>
                <w:sz w:val="20"/>
                <w:szCs w:val="20"/>
              </w:rPr>
              <w:t xml:space="preserve">ODNI Analytic Standards · CIA Structured Analysis Tradecraft · WP-2026 Series Conventions</w:t>
            </w:r>
          </w:p>
        </w:tc>
      </w:tr>
      <w:tr>
        <w:tc>
          <w:tcPr>
            <w:tcW w:type="dxa" w:w="2400"/>
            <w:tcBorders>
              <w:top w:val="single" w:color="D0D7E3" w:sz="1"/>
              <w:left w:val="single" w:color="D0D7E3" w:sz="1"/>
              <w:bottom w:val="single" w:color="D0D7E3" w:sz="1"/>
              <w:right w:val="single" w:color="D0D7E3"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Applies To</w:t>
            </w:r>
          </w:p>
        </w:tc>
        <w:tc>
          <w:tcPr>
            <w:tcW w:type="dxa" w:w="6960"/>
            <w:tcBorders>
              <w:top w:val="single" w:color="D0D7E3" w:sz="1"/>
              <w:left w:val="single" w:color="D0D7E3" w:sz="1"/>
              <w:bottom w:val="single" w:color="D0D7E3" w:sz="1"/>
              <w:right w:val="single" w:color="D0D7E3" w:sz="1"/>
            </w:tcBorders>
            <w:shd w:fill="E8EDF5" w:val="clear"/>
            <w:tcMar>
              <w:top w:type="dxa" w:w="80"/>
              <w:left w:type="dxa" w:w="140"/>
              <w:bottom w:type="dxa" w:w="80"/>
              <w:right w:type="dxa" w:w="120"/>
            </w:tcMar>
          </w:tcPr>
          <w:p>
            <w:r>
              <w:rPr>
                <w:rFonts w:ascii="Arial" w:cs="Arial" w:eastAsia="Arial" w:hAnsi="Arial"/>
                <w:sz w:val="20"/>
                <w:szCs w:val="20"/>
              </w:rPr>
              <w:t xml:space="preserve">All WP-2026 series papers, revisions, and new companion documents</w:t>
            </w:r>
          </w:p>
        </w:tc>
      </w:tr>
      <w:tr>
        <w:tc>
          <w:tcPr>
            <w:tcW w:type="dxa" w:w="2400"/>
            <w:tcBorders>
              <w:top w:val="single" w:color="D0D7E3" w:sz="1"/>
              <w:left w:val="single" w:color="D0D7E3" w:sz="1"/>
              <w:bottom w:val="single" w:color="D0D7E3" w:sz="1"/>
              <w:right w:val="single" w:color="D0D7E3" w:sz="1"/>
            </w:tcBorders>
            <w:shd w:fill="1B2A4A" w:val="clear"/>
            <w:tcMar>
              <w:top w:type="dxa" w:w="80"/>
              <w:left w:type="dxa" w:w="140"/>
              <w:bottom w:type="dxa" w:w="80"/>
              <w:right w:type="dxa" w:w="120"/>
            </w:tcMar>
          </w:tcPr>
          <w:p>
            <w:r>
              <w:rPr>
                <w:rFonts w:ascii="Arial" w:cs="Arial" w:eastAsia="Arial" w:hAnsi="Arial"/>
                <w:b/>
                <w:bCs/>
                <w:color w:val="FFFFFF"/>
                <w:sz w:val="20"/>
                <w:szCs w:val="20"/>
              </w:rPr>
              <w:t xml:space="preserve">Purpose</w:t>
            </w:r>
          </w:p>
        </w:tc>
        <w:tc>
          <w:tcPr>
            <w:tcW w:type="dxa" w:w="6960"/>
            <w:tcBorders>
              <w:top w:val="single" w:color="D0D7E3" w:sz="1"/>
              <w:left w:val="single" w:color="D0D7E3" w:sz="1"/>
              <w:bottom w:val="single" w:color="D0D7E3" w:sz="1"/>
              <w:right w:val="single" w:color="D0D7E3" w:sz="1"/>
            </w:tcBorders>
            <w:shd w:fill="FAFAFA" w:val="clear"/>
            <w:tcMar>
              <w:top w:type="dxa" w:w="80"/>
              <w:left w:type="dxa" w:w="140"/>
              <w:bottom w:type="dxa" w:w="80"/>
              <w:right w:type="dxa" w:w="120"/>
            </w:tcMar>
          </w:tcPr>
          <w:p>
            <w:r>
              <w:rPr>
                <w:rFonts w:ascii="Arial" w:cs="Arial" w:eastAsia="Arial" w:hAnsi="Arial"/>
                <w:sz w:val="20"/>
                <w:szCs w:val="20"/>
              </w:rPr>
              <w:t xml:space="preserve">Govern word choice, sentence structure, document architecture, visual design, and analytic voice across the full series. Apply to every substantive paragraph.</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6"/>
              <w:bottom w:val="none" w:color="FFFFFF" w:sz="0"/>
              <w:right w:val="none" w:color="FFFFFF" w:sz="0"/>
            </w:tcBorders>
            <w:shd w:fill="E8EDF5" w:val="clear"/>
            <w:tcMar>
              <w:top w:type="dxa" w:w="120"/>
              <w:left w:type="dxa" w:w="280"/>
              <w:bottom w:type="dxa" w:w="120"/>
              <w:right w:type="dxa" w:w="160"/>
            </w:tcMar>
          </w:tcPr>
          <w:p>
            <w:pPr>
              <w:spacing w:after="80" w:before="0"/>
            </w:pPr>
            <w:r>
              <w:rPr>
                <w:rFonts w:ascii="Arial" w:cs="Arial" w:eastAsia="Arial" w:hAnsi="Arial"/>
                <w:b/>
                <w:bCs/>
                <w:caps/>
                <w:color w:val="1B2A4A"/>
                <w:sz w:val="20"/>
                <w:szCs w:val="20"/>
              </w:rPr>
              <w:t xml:space="preserve">HOW TO USE THIS GUIDE</w:t>
            </w:r>
          </w:p>
          <w:p>
            <w:pPr>
              <w:spacing w:after="60" w:before="0"/>
            </w:pPr>
            <w:r>
              <w:rPr>
                <w:rFonts w:ascii="Arial" w:cs="Arial" w:eastAsia="Arial" w:hAnsi="Arial"/>
                <w:sz w:val="20"/>
                <w:szCs w:val="20"/>
              </w:rPr>
              <w:t xml:space="preserve">This guide has three integrated components:</w:t>
            </w:r>
          </w:p>
          <w:p>
            <w:pPr>
              <w:spacing w:after="40" w:before="0"/>
            </w:pPr>
            <w:r>
              <w:rPr>
                <w:rFonts w:ascii="Arial" w:cs="Arial" w:eastAsia="Arial" w:hAnsi="Arial"/>
                <w:sz w:val="20"/>
                <w:szCs w:val="20"/>
              </w:rPr>
              <w:t xml:space="preserve">•  Part 1: Institutional Voice Standard — the governing principles of the analytic register, sentence structure, and prohibited language.</w:t>
            </w:r>
          </w:p>
          <w:p>
            <w:pPr>
              <w:spacing w:after="40" w:before="0"/>
            </w:pPr>
            <w:r>
              <w:rPr>
                <w:rFonts w:ascii="Arial" w:cs="Arial" w:eastAsia="Arial" w:hAnsi="Arial"/>
                <w:sz w:val="20"/>
                <w:szCs w:val="20"/>
              </w:rPr>
              <w:t xml:space="preserve">•  Part 2: Analytic Tradecraft — the ODNI-anchored verbiage standard: approved verbs, probability/confidence axes, approved phrases, and conversion table.</w:t>
            </w:r>
          </w:p>
          <w:p>
            <w:pPr>
              <w:spacing w:after="0" w:before="0"/>
            </w:pPr>
            <w:r>
              <w:rPr>
                <w:rFonts w:ascii="Arial" w:cs="Arial" w:eastAsia="Arial" w:hAnsi="Arial"/>
                <w:sz w:val="20"/>
                <w:szCs w:val="20"/>
              </w:rPr>
              <w:t xml:space="preserve">•  Part 3: Document Architecture and Production Standards — structure, visual design, block types, source tiers, and revision checklist.</w:t>
            </w:r>
          </w:p>
        </w:tc>
      </w:tr>
    </w:tbl>
    <w:p>
      <w:pPr>
        <w:pBdr>
          <w:bottom w:val="single" w:color="1B2A4A" w:sz="8" w:space="1"/>
        </w:pBdr>
        <w:spacing w:after="160" w:before="160"/>
      </w:pPr>
    </w:p>
    <w:p>
      <w:pPr>
        <w:pageBreakBefore/>
      </w:pPr>
    </w:p>
    <w:p>
      <w:pPr>
        <w:spacing w:after="80" w:before="0"/>
      </w:pPr>
      <w:r>
        <w:rPr>
          <w:rFonts w:ascii="Arial" w:cs="Arial" w:eastAsia="Arial" w:hAnsi="Arial"/>
          <w:b/>
          <w:bCs/>
          <w:caps/>
          <w:color w:val="1B2A4A"/>
          <w:sz w:val="34"/>
          <w:szCs w:val="34"/>
        </w:rPr>
        <w:t xml:space="preserve">PART 1: INSTITUTIONAL VOICE STANDARD</w:t>
      </w:r>
    </w:p>
    <w:p>
      <w:pPr>
        <w:spacing w:after="100" w:before="80"/>
      </w:pPr>
      <w:r>
        <w:rPr>
          <w:rFonts w:ascii="Arial" w:cs="Arial" w:eastAsia="Arial" w:hAnsi="Arial"/>
          <w:color w:val="000000"/>
          <w:sz w:val="22"/>
          <w:szCs w:val="22"/>
        </w:rPr>
        <w:t xml:space="preserve">The WP-2026 series targets a specific register: institutionally coherent analysis that reads as credible across government, academic, and professional policy audiences simultaneously. It does not imitate any specific institution. It demonstrates through precision, structure, and economy of language that the author operates at the analytical altitude of serious institutional producers. The register is boring by design. Boring is the signal.</w:t>
      </w:r>
    </w:p>
    <w:p>
      <w:pPr>
        <w:spacing w:before="80"/>
      </w:pPr>
    </w:p>
    <w:p>
      <w:pPr>
        <w:pStyle w:val="Heading1"/>
        <w:spacing w:after="160" w:before="480"/>
      </w:pPr>
      <w:r>
        <w:rPr>
          <w:rFonts w:ascii="Arial" w:cs="Arial" w:eastAsia="Arial" w:hAnsi="Arial"/>
          <w:b/>
          <w:bCs/>
          <w:color w:val="1B2A4A"/>
          <w:sz w:val="30"/>
          <w:szCs w:val="30"/>
        </w:rPr>
        <w:t xml:space="preserve">1. The Five Governing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6"/>
              <w:bottom w:val="none" w:color="FFFFFF" w:sz="0"/>
              <w:right w:val="none" w:color="FFFFFF" w:sz="0"/>
            </w:tcBorders>
            <w:shd w:fill="E8EDF5" w:val="clear"/>
            <w:tcMar>
              <w:top w:type="dxa" w:w="120"/>
              <w:left w:type="dxa" w:w="280"/>
              <w:bottom w:type="dxa" w:w="120"/>
              <w:right w:type="dxa" w:w="160"/>
            </w:tcMar>
          </w:tcPr>
          <w:p>
            <w:pPr>
              <w:spacing w:after="80" w:before="0"/>
            </w:pPr>
            <w:r>
              <w:rPr>
                <w:rFonts w:ascii="Arial" w:cs="Arial" w:eastAsia="Arial" w:hAnsi="Arial"/>
                <w:b/>
                <w:bCs/>
                <w:caps/>
                <w:color w:val="1B2A4A"/>
                <w:sz w:val="20"/>
                <w:szCs w:val="20"/>
              </w:rPr>
              <w:t xml:space="preserve">Principle 1 — Precision Over Elegance</w:t>
            </w:r>
          </w:p>
          <w:p>
            <w:r>
              <w:rPr>
                <w:rFonts w:ascii="Arial" w:cs="Arial" w:eastAsia="Arial" w:hAnsi="Arial"/>
                <w:sz w:val="20"/>
                <w:szCs w:val="20"/>
              </w:rPr>
              <w:t xml:space="preserve">Every word carries a specific denotation. Synonyms are not substituted for variety. If 'designation' is the correct term, it appears every time. Technical vocabulary, once introduced, is used consistently. The prose is not varied. It is exact.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6"/>
              <w:bottom w:val="none" w:color="FFFFFF" w:sz="0"/>
              <w:right w:val="none" w:color="FFFFFF" w:sz="0"/>
            </w:tcBorders>
            <w:shd w:fill="E8EDF5" w:val="clear"/>
            <w:tcMar>
              <w:top w:type="dxa" w:w="120"/>
              <w:left w:type="dxa" w:w="280"/>
              <w:bottom w:type="dxa" w:w="120"/>
              <w:right w:type="dxa" w:w="160"/>
            </w:tcMar>
          </w:tcPr>
          <w:p>
            <w:pPr>
              <w:spacing w:after="80" w:before="0"/>
            </w:pPr>
            <w:r>
              <w:rPr>
                <w:rFonts w:ascii="Arial" w:cs="Arial" w:eastAsia="Arial" w:hAnsi="Arial"/>
                <w:b/>
                <w:bCs/>
                <w:caps/>
                <w:color w:val="1B2A4A"/>
                <w:sz w:val="20"/>
                <w:szCs w:val="20"/>
              </w:rPr>
              <w:t xml:space="preserve">Principle 2 — Economy Over Comprehensiveness</w:t>
            </w:r>
          </w:p>
          <w:p>
            <w:r>
              <w:rPr>
                <w:rFonts w:ascii="Arial" w:cs="Arial" w:eastAsia="Arial" w:hAnsi="Arial"/>
                <w:sz w:val="20"/>
                <w:szCs w:val="20"/>
              </w:rPr>
              <w:t xml:space="preserve">The analytical point is the first sentence of every section and paragraph. No throat-clearing. No 'this section will examine.' No 'it is worth noting that.' If it is worth noting, note it. The structure delivers what the reader needs to know in the order they need to know it.</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6"/>
              <w:bottom w:val="none" w:color="FFFFFF" w:sz="0"/>
              <w:right w:val="none" w:color="FFFFFF" w:sz="0"/>
            </w:tcBorders>
            <w:shd w:fill="E8EDF5" w:val="clear"/>
            <w:tcMar>
              <w:top w:type="dxa" w:w="120"/>
              <w:left w:type="dxa" w:w="280"/>
              <w:bottom w:type="dxa" w:w="120"/>
              <w:right w:type="dxa" w:w="160"/>
            </w:tcMar>
          </w:tcPr>
          <w:p>
            <w:pPr>
              <w:spacing w:after="80" w:before="0"/>
            </w:pPr>
            <w:r>
              <w:rPr>
                <w:rFonts w:ascii="Arial" w:cs="Arial" w:eastAsia="Arial" w:hAnsi="Arial"/>
                <w:b/>
                <w:bCs/>
                <w:caps/>
                <w:color w:val="1B2A4A"/>
                <w:sz w:val="20"/>
                <w:szCs w:val="20"/>
              </w:rPr>
              <w:t xml:space="preserve">Principle 3 — Structure Carries Epistemic Weight</w:t>
            </w:r>
          </w:p>
          <w:p>
            <w:r>
              <w:rPr>
                <w:rFonts w:ascii="Arial" w:cs="Arial" w:eastAsia="Arial" w:hAnsi="Arial"/>
                <w:sz w:val="20"/>
                <w:szCs w:val="20"/>
              </w:rPr>
              <w:t xml:space="preserve">Uncertainty is expressed through labeled confidence levels, not through hedging language. 'This may suggest' and 'it seems possible that' are prohibited. The confidence label MODERATE CONFIDENCE or ANALYTICALLY INFERRED carries the epistemological weight so the declarative sentence does not have to.</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6"/>
              <w:bottom w:val="none" w:color="FFFFFF" w:sz="0"/>
              <w:right w:val="none" w:color="FFFFFF" w:sz="0"/>
            </w:tcBorders>
            <w:shd w:fill="E8EDF5" w:val="clear"/>
            <w:tcMar>
              <w:top w:type="dxa" w:w="120"/>
              <w:left w:type="dxa" w:w="280"/>
              <w:bottom w:type="dxa" w:w="120"/>
              <w:right w:type="dxa" w:w="160"/>
            </w:tcMar>
          </w:tcPr>
          <w:p>
            <w:pPr>
              <w:spacing w:after="80" w:before="0"/>
            </w:pPr>
            <w:r>
              <w:rPr>
                <w:rFonts w:ascii="Arial" w:cs="Arial" w:eastAsia="Arial" w:hAnsi="Arial"/>
                <w:b/>
                <w:bCs/>
                <w:caps/>
                <w:color w:val="1B2A4A"/>
                <w:sz w:val="20"/>
                <w:szCs w:val="20"/>
              </w:rPr>
              <w:t xml:space="preserve">Principle 4 — Agent Specificity</w:t>
            </w:r>
          </w:p>
          <w:p>
            <w:r>
              <w:rPr>
                <w:rFonts w:ascii="Arial" w:cs="Arial" w:eastAsia="Arial" w:hAnsi="Arial"/>
                <w:sz w:val="20"/>
                <w:szCs w:val="20"/>
              </w:rPr>
              <w:t xml:space="preserve">Every action has an agent, an authority, and a date. 'OFAC designated X under EO 14024 on October 22, 2025' — not 'X was designated.' Passive voice is prohibited except for institutional attribution. The passive voice that obscures who acted is the enemy of analytic accountability.</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6"/>
              <w:bottom w:val="none" w:color="FFFFFF" w:sz="0"/>
              <w:right w:val="none" w:color="FFFFFF" w:sz="0"/>
            </w:tcBorders>
            <w:shd w:fill="E8EDF5" w:val="clear"/>
            <w:tcMar>
              <w:top w:type="dxa" w:w="120"/>
              <w:left w:type="dxa" w:w="280"/>
              <w:bottom w:type="dxa" w:w="120"/>
              <w:right w:type="dxa" w:w="160"/>
            </w:tcMar>
          </w:tcPr>
          <w:p>
            <w:pPr>
              <w:spacing w:after="80" w:before="0"/>
            </w:pPr>
            <w:r>
              <w:rPr>
                <w:rFonts w:ascii="Arial" w:cs="Arial" w:eastAsia="Arial" w:hAnsi="Arial"/>
                <w:b/>
                <w:bCs/>
                <w:caps/>
                <w:color w:val="1B2A4A"/>
                <w:sz w:val="20"/>
                <w:szCs w:val="20"/>
              </w:rPr>
              <w:t xml:space="preserve">Principle 5 — Numbers Are Specific and Sourced, or They Do Not Appear</w:t>
            </w:r>
          </w:p>
          <w:p>
            <w:r>
              <w:rPr>
                <w:rFonts w:ascii="Arial" w:cs="Arial" w:eastAsia="Arial" w:hAnsi="Arial"/>
                <w:sz w:val="20"/>
                <w:szCs w:val="20"/>
              </w:rPr>
              <w:t xml:space="preserve">'Approximately 35% of Chinese crude supply transits Hormuz [Vortexa, March 2026]' — not 'a significant share.' 'Significant,' 'substantial,' 'considerable,' and 'large' are prohibited as substitutes for specific figures.</w:t>
            </w:r>
          </w:p>
        </w:tc>
      </w:tr>
    </w:tbl>
    <w:p>
      <w:pPr>
        <w:spacing w:before="100"/>
      </w:pPr>
    </w:p>
    <w:p>
      <w:pPr>
        <w:pStyle w:val="Heading1"/>
        <w:spacing w:after="160" w:before="480"/>
      </w:pPr>
      <w:r>
        <w:rPr>
          <w:rFonts w:ascii="Arial" w:cs="Arial" w:eastAsia="Arial" w:hAnsi="Arial"/>
          <w:b/>
          <w:bCs/>
          <w:color w:val="1B2A4A"/>
          <w:sz w:val="30"/>
          <w:szCs w:val="30"/>
        </w:rPr>
        <w:t xml:space="preserve">2. Core Drafting Rule</w:t>
      </w:r>
    </w:p>
    <w:p>
      <w:pPr>
        <w:spacing w:after="100" w:before="80"/>
      </w:pPr>
      <w:r>
        <w:rPr>
          <w:rFonts w:ascii="Arial" w:cs="Arial" w:eastAsia="Arial" w:hAnsi="Arial"/>
          <w:color w:val="000000"/>
          <w:sz w:val="22"/>
          <w:szCs w:val="22"/>
        </w:rPr>
        <w:t xml:space="preserve">Every substantive paragraph answers four questions in this order. A paragraph that cannot answer all four is incomplete.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56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0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MARKER IN TEXT</w:t>
            </w:r>
          </w:p>
        </w:tc>
      </w:tr>
      <w:tr>
        <w:tc>
          <w:tcPr>
            <w:tcW w:type="dxa" w:w="28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What is officially reported?</w:t>
            </w:r>
          </w:p>
        </w:tc>
        <w:tc>
          <w:tcPr>
            <w:tcW w:type="dxa" w:w="35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Name the source directly. Attribute factual claims to the specific reporting body.</w:t>
            </w:r>
          </w:p>
        </w:tc>
        <w:tc>
          <w:tcPr>
            <w:tcW w:type="dxa" w:w="30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States · Reports · Assesses · Identifies · Indicates</w:t>
            </w:r>
          </w:p>
        </w:tc>
      </w:tr>
      <w:tr>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What is assessed from that reporting?</w:t>
            </w:r>
          </w:p>
        </w:tc>
        <w:tc>
          <w:tcPr>
            <w:tcW w:type="dxa" w:w="35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State your synthesis with a probability and confidence tag.</w:t>
            </w:r>
          </w:p>
        </w:tc>
        <w:tc>
          <w:tcPr>
            <w:tcW w:type="dxa" w:w="30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We assess with [confidence] that [subject] is [probability] to…</w:t>
            </w:r>
          </w:p>
        </w:tc>
      </w:tr>
      <w:tr>
        <w:tc>
          <w:tcPr>
            <w:tcW w:type="dxa" w:w="28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What remains unknown?</w:t>
            </w:r>
          </w:p>
        </w:tc>
        <w:tc>
          <w:tcPr>
            <w:tcW w:type="dxa" w:w="35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State what the record does not establish. Always explicit.</w:t>
            </w:r>
          </w:p>
        </w:tc>
        <w:tc>
          <w:tcPr>
            <w:tcW w:type="dxa" w:w="30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The public record does not establish… · The available reporting does not permit…</w:t>
            </w:r>
          </w:p>
        </w:tc>
      </w:tr>
      <w:tr>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How confident, and why?</w:t>
            </w:r>
          </w:p>
        </w:tc>
        <w:tc>
          <w:tcPr>
            <w:tcW w:type="dxa" w:w="35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Confidence tag based on source quality and evidence completeness — not on how alarming the finding is.</w:t>
            </w:r>
          </w:p>
        </w:tc>
        <w:tc>
          <w:tcPr>
            <w:tcW w:type="dxa" w:w="30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[HIGH / MODERATE / LOW CONFIDENCE] — defined basis stated</w:t>
            </w:r>
          </w:p>
        </w:tc>
      </w:tr>
    </w:tbl>
    <w:p>
      <w:pPr>
        <w:spacing w:before="100"/>
      </w:pPr>
    </w:p>
    <w:p>
      <w:pPr>
        <w:pStyle w:val="Heading1"/>
        <w:spacing w:after="160" w:before="480"/>
      </w:pPr>
      <w:r>
        <w:rPr>
          <w:rFonts w:ascii="Arial" w:cs="Arial" w:eastAsia="Arial" w:hAnsi="Arial"/>
          <w:b/>
          <w:bCs/>
          <w:color w:val="1B2A4A"/>
          <w:sz w:val="30"/>
          <w:szCs w:val="30"/>
        </w:rPr>
        <w:t xml:space="preserve">3. The Three-Part Sentence Structure</w:t>
      </w:r>
    </w:p>
    <w:p>
      <w:pPr>
        <w:spacing w:after="100" w:before="80"/>
      </w:pPr>
      <w:r>
        <w:rPr>
          <w:rFonts w:ascii="Arial" w:cs="Arial" w:eastAsia="Arial" w:hAnsi="Arial"/>
          <w:color w:val="000000"/>
          <w:sz w:val="22"/>
          <w:szCs w:val="22"/>
        </w:rPr>
        <w:t xml:space="preserve">Apply this structure to every substantive analytic claim. Attribution names the source. Judgment synthesizes with a confidence tag. Limits state what the record does not establish. All three parts are mandatory.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1
ATTRIBUTION</w:t>
            </w:r>
          </w:p>
        </w:tc>
        <w:tc>
          <w:tcPr>
            <w:tcW w:type="dxa" w:w="8160"/>
            <w:tcBorders>
              <w:top w:val="single" w:color="D0D7E3" w:sz="1"/>
              <w:left w:val="single" w:color="D0D7E3" w:sz="1"/>
              <w:bottom w:val="single" w:color="D0D7E3" w:sz="1"/>
              <w:right w:val="single" w:color="D0D7E3" w:sz="1"/>
            </w:tcBorders>
            <w:shd w:fill="E8EDF5" w:val="clear"/>
            <w:tcMar>
              <w:top w:type="dxa" w:w="80"/>
              <w:left w:type="dxa" w:w="160"/>
              <w:bottom w:type="dxa" w:w="80"/>
              <w:right w:type="dxa" w:w="120"/>
            </w:tcMar>
          </w:tcPr>
          <w:p>
            <w:r>
              <w:rPr>
                <w:rFonts w:ascii="Arial" w:cs="Arial" w:eastAsia="Arial" w:hAnsi="Arial"/>
                <w:sz w:val="20"/>
                <w:szCs w:val="20"/>
              </w:rPr>
              <w:t xml:space="preserve">ODNI's 2025 Annual Threat Assessment assesses that Russia maintains an offensive CBW program inconsistent with its BWC obligations and that its threat is expanding.</w:t>
            </w:r>
          </w:p>
        </w:tc>
      </w:tr>
      <w:tr>
        <w:tc>
          <w:tcPr>
            <w:tcW w:type="dxa" w:w="1200"/>
            <w:tcBorders>
              <w:top w:val="single" w:color="D0D7E3" w:sz="1"/>
              <w:left w:val="single" w:color="D0D7E3" w:sz="1"/>
              <w:bottom w:val="single" w:color="D0D7E3" w:sz="1"/>
              <w:right w:val="single" w:color="D0D7E3" w:sz="1"/>
            </w:tcBorders>
            <w:shd w:fill="2E417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2
JUDGMENT</w:t>
            </w:r>
          </w:p>
        </w:tc>
        <w:tc>
          <w:tcPr>
            <w:tcW w:type="dxa" w:w="8160"/>
            <w:tcBorders>
              <w:top w:val="single" w:color="D0D7E3" w:sz="1"/>
              <w:left w:val="single" w:color="D0D7E3" w:sz="1"/>
              <w:bottom w:val="single" w:color="D0D7E3" w:sz="1"/>
              <w:right w:val="single" w:color="D0D7E3" w:sz="1"/>
            </w:tcBorders>
            <w:shd w:fill="FAFAFA" w:val="clear"/>
            <w:tcMar>
              <w:top w:type="dxa" w:w="80"/>
              <w:left w:type="dxa" w:w="160"/>
              <w:bottom w:type="dxa" w:w="80"/>
              <w:right w:type="dxa" w:w="120"/>
            </w:tcMar>
          </w:tcPr>
          <w:p>
            <w:r>
              <w:rPr>
                <w:rFonts w:ascii="Arial" w:cs="Arial" w:eastAsia="Arial" w:hAnsi="Arial"/>
                <w:sz w:val="20"/>
                <w:szCs w:val="20"/>
              </w:rPr>
              <w:t xml:space="preserve">These findings support a moderate-confidence judgment that Russia is likely to continue developing capabilities relevant to biological and chemical warfare; the official record is consistent with an active program posture.</w:t>
            </w:r>
          </w:p>
        </w:tc>
      </w:tr>
      <w:tr>
        <w:tc>
          <w:tcPr>
            <w:tcW w:type="dxa" w:w="1200"/>
            <w:tcBorders>
              <w:top w:val="single" w:color="D0D7E3" w:sz="1"/>
              <w:left w:val="single" w:color="D0D7E3" w:sz="1"/>
              <w:bottom w:val="single" w:color="D0D7E3" w:sz="1"/>
              <w:right w:val="single" w:color="D0D7E3" w:sz="1"/>
            </w:tcBorders>
            <w:shd w:fill="4A556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3
LIMITS</w:t>
            </w:r>
          </w:p>
        </w:tc>
        <w:tc>
          <w:tcPr>
            <w:tcW w:type="dxa" w:w="8160"/>
            <w:tcBorders>
              <w:top w:val="single" w:color="D0D7E3" w:sz="1"/>
              <w:left w:val="single" w:color="D0D7E3" w:sz="1"/>
              <w:bottom w:val="single" w:color="D0D7E3" w:sz="1"/>
              <w:right w:val="single" w:color="D0D7E3" w:sz="1"/>
            </w:tcBorders>
            <w:shd w:fill="FEF3E2" w:val="clear"/>
            <w:tcMar>
              <w:top w:type="dxa" w:w="80"/>
              <w:left w:type="dxa" w:w="160"/>
              <w:bottom w:type="dxa" w:w="80"/>
              <w:right w:type="dxa" w:w="120"/>
            </w:tcMar>
          </w:tcPr>
          <w:p>
            <w:r>
              <w:rPr>
                <w:rFonts w:ascii="Arial" w:cs="Arial" w:eastAsia="Arial" w:hAnsi="Arial"/>
                <w:sz w:val="20"/>
                <w:szCs w:val="20"/>
              </w:rPr>
              <w:t xml:space="preserve">However, the public record does not establish operational scope, specific employment thresholds, or the current deployment status of any particular agent or delivery system.</w:t>
            </w:r>
          </w:p>
        </w:tc>
      </w:tr>
    </w:tbl>
    <w:p>
      <w:pPr>
        <w:spacing w:before="60"/>
      </w:pPr>
    </w:p>
    <w:p>
      <w:pPr>
        <w:spacing w:after="80" w:before="40"/>
      </w:pPr>
      <w:r>
        <w:rPr>
          <w:rFonts w:ascii="Arial" w:cs="Arial" w:eastAsia="Arial" w:hAnsi="Arial"/>
          <w:i/>
          <w:iCs/>
          <w:color w:val="4A5568"/>
          <w:sz w:val="18"/>
          <w:szCs w:val="18"/>
        </w:rPr>
        <w:t xml:space="preserve">Three-part structure applied to a Russia CBW claim. Attribution (Step 1) names the ODNI ATA directly. Judgment (Step 2) synthesizes with explicit probability and confidence labels. Limits (Step 3) states precisely what the record does not establish.</w:t>
      </w:r>
    </w:p>
    <w:p>
      <w:pPr>
        <w:pBdr>
          <w:bottom w:val="single" w:color="1B2A4A" w:sz="8" w:space="1"/>
        </w:pBdr>
        <w:spacing w:after="160" w:before="160"/>
      </w:pPr>
    </w:p>
    <w:p>
      <w:pPr>
        <w:pageBreakBefore/>
      </w:pPr>
    </w:p>
    <w:p>
      <w:pPr>
        <w:spacing w:after="80" w:before="0"/>
      </w:pPr>
      <w:r>
        <w:rPr>
          <w:rFonts w:ascii="Arial" w:cs="Arial" w:eastAsia="Arial" w:hAnsi="Arial"/>
          <w:b/>
          <w:bCs/>
          <w:caps/>
          <w:color w:val="1B2A4A"/>
          <w:sz w:val="34"/>
          <w:szCs w:val="34"/>
        </w:rPr>
        <w:t xml:space="preserve">PART 2: ANALYTIC TRADECRAFT</w:t>
      </w:r>
    </w:p>
    <w:p>
      <w:pPr>
        <w:spacing w:after="100" w:before="80"/>
      </w:pPr>
      <w:r>
        <w:rPr>
          <w:rFonts w:ascii="Arial" w:cs="Arial" w:eastAsia="Arial" w:hAnsi="Arial"/>
          <w:color w:val="000000"/>
          <w:sz w:val="22"/>
          <w:szCs w:val="22"/>
        </w:rPr>
        <w:t xml:space="preserve">Anchored to ODNI Analytic Standards and CIA structured analysis tradecraft guidance. Apply throughout all papers in the series.</w:t>
      </w:r>
    </w:p>
    <w:p>
      <w:pPr>
        <w:pStyle w:val="Heading1"/>
        <w:spacing w:after="160" w:before="480"/>
      </w:pPr>
      <w:r>
        <w:rPr>
          <w:rFonts w:ascii="Arial" w:cs="Arial" w:eastAsia="Arial" w:hAnsi="Arial"/>
          <w:b/>
          <w:bCs/>
          <w:color w:val="1B2A4A"/>
          <w:sz w:val="30"/>
          <w:szCs w:val="30"/>
        </w:rPr>
        <w:t xml:space="preserve">4. Probability and Confidence Axes</w:t>
      </w:r>
    </w:p>
    <w:p>
      <w:pPr>
        <w:spacing w:after="100" w:before="80"/>
      </w:pPr>
      <w:r>
        <w:rPr>
          <w:rFonts w:ascii="Arial" w:cs="Arial" w:eastAsia="Arial" w:hAnsi="Arial"/>
          <w:color w:val="000000"/>
          <w:sz w:val="22"/>
          <w:szCs w:val="22"/>
        </w:rPr>
        <w:t xml:space="preserve">Probability and confidence are separate dimensions. Both must be applied separately to every analytic judgment. Probability describes the likelihood that the judgment is correct. Confidence describes the quality and completeness of the supporting evidence. A judgment can be high-probability but low-confidence — or vice versa.</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E8EDF5" w:val="clear"/>
            <w:tcMar>
              <w:top w:type="dxa" w:w="120"/>
              <w:left w:type="dxa" w:w="160"/>
              <w:bottom w:type="dxa" w:w="120"/>
              <w:right w:type="dxa" w:w="160"/>
            </w:tcMar>
          </w:tcPr>
          <w:p>
            <w:pPr>
              <w:spacing w:after="80" w:before="0"/>
            </w:pPr>
            <w:r>
              <w:rPr>
                <w:rFonts w:ascii="Arial" w:cs="Arial" w:eastAsia="Arial" w:hAnsi="Arial"/>
                <w:b/>
                <w:bCs/>
                <w:caps/>
                <w:color w:val="1B2A4A"/>
                <w:sz w:val="20"/>
                <w:szCs w:val="20"/>
              </w:rPr>
              <w:t xml:space="preserve">PROBABILITY SCALE — Use in Judgment Language</w:t>
            </w:r>
          </w:p>
          <w:p>
            <w:pPr>
              <w:spacing w:after="40" w:before="40"/>
            </w:pPr>
            <w:r>
              <w:rPr>
                <w:rFonts w:ascii="Arial" w:cs="Arial" w:eastAsia="Arial" w:hAnsi="Arial"/>
                <w:sz w:val="20"/>
                <w:szCs w:val="20"/>
              </w:rPr>
              <w:t xml:space="preserve">Almost certainly</w:t>
            </w:r>
          </w:p>
          <w:p>
            <w:pPr>
              <w:spacing w:after="40" w:before="40"/>
            </w:pPr>
            <w:r>
              <w:rPr>
                <w:rFonts w:ascii="Arial" w:cs="Arial" w:eastAsia="Arial" w:hAnsi="Arial"/>
                <w:sz w:val="20"/>
                <w:szCs w:val="20"/>
              </w:rPr>
              <w:t xml:space="preserve">Very likely</w:t>
            </w:r>
          </w:p>
          <w:p>
            <w:pPr>
              <w:spacing w:after="40" w:before="40"/>
            </w:pPr>
            <w:r>
              <w:rPr>
                <w:rFonts w:ascii="Arial" w:cs="Arial" w:eastAsia="Arial" w:hAnsi="Arial"/>
                <w:sz w:val="20"/>
                <w:szCs w:val="20"/>
              </w:rPr>
              <w:t xml:space="preserve">Likely · Probably</w:t>
            </w:r>
          </w:p>
          <w:p>
            <w:pPr>
              <w:spacing w:after="40" w:before="40"/>
            </w:pPr>
            <w:r>
              <w:rPr>
                <w:rFonts w:ascii="Arial" w:cs="Arial" w:eastAsia="Arial" w:hAnsi="Arial"/>
                <w:sz w:val="20"/>
                <w:szCs w:val="20"/>
              </w:rPr>
              <w:t xml:space="preserve">Roughly even odds</w:t>
            </w:r>
          </w:p>
          <w:p>
            <w:pPr>
              <w:spacing w:after="40" w:before="40"/>
            </w:pPr>
            <w:r>
              <w:rPr>
                <w:rFonts w:ascii="Arial" w:cs="Arial" w:eastAsia="Arial" w:hAnsi="Arial"/>
                <w:sz w:val="20"/>
                <w:szCs w:val="20"/>
              </w:rPr>
              <w:t xml:space="preserve">Unlikely</w:t>
            </w:r>
          </w:p>
          <w:p>
            <w:pPr>
              <w:spacing w:after="40" w:before="40"/>
            </w:pPr>
            <w:r>
              <w:rPr>
                <w:rFonts w:ascii="Arial" w:cs="Arial" w:eastAsia="Arial" w:hAnsi="Arial"/>
                <w:sz w:val="20"/>
                <w:szCs w:val="20"/>
              </w:rPr>
              <w:t xml:space="preserve">Very unlikely</w:t>
            </w:r>
          </w:p>
          <w:p>
            <w:pPr>
              <w:spacing w:after="40" w:before="40"/>
            </w:pPr>
            <w:r>
              <w:rPr>
                <w:rFonts w:ascii="Arial" w:cs="Arial" w:eastAsia="Arial" w:hAnsi="Arial"/>
                <w:sz w:val="20"/>
                <w:szCs w:val="20"/>
              </w:rPr>
              <w:t xml:space="preserve">Almost certainly not</w:t>
            </w:r>
          </w:p>
        </w:tc>
        <w:tc>
          <w:tcPr>
            <w:tcW w:type="dxa" w:w="4680"/>
            <w:tcBorders>
              <w:top w:val="single" w:color="D0D7E3" w:sz="1"/>
              <w:left w:val="single" w:color="D0D7E3" w:sz="1"/>
              <w:bottom w:val="single" w:color="D0D7E3" w:sz="1"/>
              <w:right w:val="single" w:color="D0D7E3" w:sz="1"/>
            </w:tcBorders>
            <w:shd w:fill="FAFAFA" w:val="clear"/>
            <w:tcMar>
              <w:top w:type="dxa" w:w="120"/>
              <w:left w:type="dxa" w:w="160"/>
              <w:bottom w:type="dxa" w:w="120"/>
              <w:right w:type="dxa" w:w="160"/>
            </w:tcMar>
          </w:tcPr>
          <w:p>
            <w:pPr>
              <w:spacing w:after="80" w:before="0"/>
            </w:pPr>
            <w:r>
              <w:rPr>
                <w:rFonts w:ascii="Arial" w:cs="Arial" w:eastAsia="Arial" w:hAnsi="Arial"/>
                <w:b/>
                <w:bCs/>
                <w:caps/>
                <w:color w:val="1B2A4A"/>
                <w:sz w:val="20"/>
                <w:szCs w:val="20"/>
              </w:rPr>
              <w:t xml:space="preserve">CONFIDENCE TAGS — Use as Labeled Qualifiers</w:t>
            </w:r>
          </w:p>
          <w:p>
            <w:pPr>
              <w:spacing w:after="40" w:before="40"/>
            </w:pPr>
            <w:r>
              <w:rPr>
                <w:rFonts w:ascii="Arial" w:cs="Arial" w:eastAsia="Arial" w:hAnsi="Arial"/>
                <w:sz w:val="20"/>
                <w:szCs w:val="20"/>
              </w:rPr>
              <w:t xml:space="preserve">HIGH CONFIDENCE — Directly supported by official, repeated, consistent authoritative reporting.</w:t>
            </w:r>
          </w:p>
          <w:p>
            <w:pPr>
              <w:spacing w:after="40" w:before="40"/>
            </w:pPr>
            <w:r>
              <w:rPr>
                <w:rFonts w:ascii="Arial" w:cs="Arial" w:eastAsia="Arial" w:hAnsi="Arial"/>
                <w:sz w:val="20"/>
                <w:szCs w:val="20"/>
              </w:rPr>
              <w:t xml:space="preserve">MODERATE CONFIDENCE — Supported by official reporting with gaps, ambiguity, or mixed sourcing.</w:t>
            </w:r>
          </w:p>
          <w:p>
            <w:pPr>
              <w:spacing w:after="40" w:before="40"/>
            </w:pPr>
            <w:r>
              <w:rPr>
                <w:rFonts w:ascii="Arial" w:cs="Arial" w:eastAsia="Arial" w:hAnsi="Arial"/>
                <w:sz w:val="20"/>
                <w:szCs w:val="20"/>
              </w:rPr>
              <w:t xml:space="preserve">LOW CONFIDENCE — Plausible inference; not established in official public reporting.</w:t>
            </w:r>
          </w:p>
          <w:p>
            <w:pPr>
              <w:spacing w:after="40" w:before="40"/>
            </w:pPr>
            <w:r>
              <w:rPr>
                <w:rFonts w:ascii="Arial" w:cs="Arial" w:eastAsia="Arial" w:hAnsi="Arial"/>
                <w:sz w:val="20"/>
                <w:szCs w:val="20"/>
              </w:rPr>
              <w:t xml:space="preserve">LOW-MODERATE CONFIDENCE — Thin but structurally sound inference.</w:t>
            </w:r>
          </w:p>
          <w:p>
            <w:pPr>
              <w:spacing w:after="40" w:before="40"/>
            </w:pPr>
            <w:r>
              <w:rPr>
                <w:rFonts w:ascii="Arial" w:cs="Arial" w:eastAsia="Arial" w:hAnsi="Arial"/>
                <w:sz w:val="20"/>
                <w:szCs w:val="20"/>
              </w:rPr>
              <w:t xml:space="preserve">MODERATE-HIGH CONFIDENCE — Strong sourcing with limited acknowledged inference.</w:t>
            </w:r>
          </w:p>
        </w:tc>
      </w:tr>
    </w:tbl>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6"/>
              <w:bottom w:val="none" w:color="FFFFFF" w:sz="0"/>
              <w:right w:val="none" w:color="FFFFFF" w:sz="0"/>
            </w:tcBorders>
            <w:shd w:fill="E8EDF5" w:val="clear"/>
            <w:tcMar>
              <w:top w:type="dxa" w:w="120"/>
              <w:left w:type="dxa" w:w="280"/>
              <w:bottom w:type="dxa" w:w="120"/>
              <w:right w:type="dxa" w:w="160"/>
            </w:tcMar>
          </w:tcPr>
          <w:p>
            <w:pPr>
              <w:spacing w:after="80" w:before="0"/>
            </w:pPr>
            <w:r>
              <w:rPr>
                <w:rFonts w:ascii="Arial" w:cs="Arial" w:eastAsia="Arial" w:hAnsi="Arial"/>
                <w:b/>
                <w:bCs/>
                <w:caps/>
                <w:color w:val="1B2A4A"/>
                <w:sz w:val="20"/>
                <w:szCs w:val="20"/>
              </w:rPr>
              <w:t xml:space="preserve">COMBINED USAGE EXAMPLE</w:t>
            </w:r>
          </w:p>
          <w:p>
            <w:r>
              <w:rPr>
                <w:rFonts w:ascii="Arial" w:cs="Arial" w:eastAsia="Arial" w:hAnsi="Arial"/>
                <w:i/>
                <w:iCs/>
                <w:sz w:val="20"/>
                <w:szCs w:val="20"/>
              </w:rPr>
              <w:t xml:space="preserve">"We assess with moderate confidence that Iran is likely to continue pursuing capabilities relevant to offensive biological risk, based on ODNI reporting indicating ongoing CBW-relevant R&amp;D. The public record does not establish the operational scope or current weaponization status of any identified program."</w:t>
            </w:r>
          </w:p>
          <w:p>
            <w:pPr>
              <w:spacing w:before="60"/>
            </w:pPr>
            <w:r>
              <w:rPr>
                <w:rFonts w:ascii="Arial" w:cs="Arial" w:eastAsia="Arial" w:hAnsi="Arial"/>
                <w:color w:val="4A5568"/>
                <w:sz w:val="18"/>
                <w:szCs w:val="18"/>
              </w:rPr>
              <w:t xml:space="preserve">Probability: likely — Confidence: moderate — Limits stated explicitly.</w:t>
            </w:r>
          </w:p>
        </w:tc>
      </w:tr>
    </w:tbl>
    <w:p>
      <w:pPr>
        <w:spacing w:before="100"/>
      </w:pPr>
    </w:p>
    <w:p>
      <w:pPr>
        <w:pStyle w:val="Heading1"/>
        <w:spacing w:after="160" w:before="480"/>
      </w:pPr>
      <w:r>
        <w:rPr>
          <w:rFonts w:ascii="Arial" w:cs="Arial" w:eastAsia="Arial" w:hAnsi="Arial"/>
          <w:b/>
          <w:bCs/>
          <w:color w:val="1B2A4A"/>
          <w:sz w:val="30"/>
          <w:szCs w:val="30"/>
        </w:rPr>
        <w:t xml:space="preserve">5. Approved Verb Taxonomy</w:t>
      </w:r>
    </w:p>
    <w:p>
      <w:pPr>
        <w:spacing w:after="100" w:before="80"/>
      </w:pPr>
      <w:r>
        <w:rPr>
          <w:rFonts w:ascii="Arial" w:cs="Arial" w:eastAsia="Arial" w:hAnsi="Arial"/>
          <w:color w:val="000000"/>
          <w:sz w:val="22"/>
          <w:szCs w:val="22"/>
        </w:rPr>
        <w:t xml:space="preserve">Use the correct verb category for the correct function. Attribution verbs are for stating what a source reports. Synthesis verbs are for stating your analytic judgment derived from that reporting. Mixing the categories signals analytic imprecision.</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E8EDF5" w:val="clear"/>
            <w:tcMar>
              <w:top w:type="dxa" w:w="120"/>
              <w:left w:type="dxa" w:w="160"/>
              <w:bottom w:type="dxa" w:w="120"/>
              <w:right w:type="dxa" w:w="160"/>
            </w:tcMar>
          </w:tcPr>
          <w:p>
            <w:pPr>
              <w:spacing w:after="80" w:before="0"/>
            </w:pPr>
            <w:r>
              <w:rPr>
                <w:rFonts w:ascii="Arial" w:cs="Arial" w:eastAsia="Arial" w:hAnsi="Arial"/>
                <w:b/>
                <w:bCs/>
                <w:caps/>
                <w:color w:val="1B2A4A"/>
                <w:sz w:val="20"/>
                <w:szCs w:val="20"/>
              </w:rPr>
              <w:t xml:space="preserve">ATTRIBUTION VERBS — What a Source Reports</w:t>
            </w:r>
          </w:p>
          <w:p>
            <w:pPr>
              <w:spacing w:after="40" w:before="40"/>
            </w:pPr>
            <w:r>
              <w:rPr>
                <w:rFonts w:ascii="Arial" w:cs="Arial" w:eastAsia="Arial" w:hAnsi="Arial"/>
                <w:sz w:val="20"/>
                <w:szCs w:val="20"/>
              </w:rPr>
              <w:t xml:space="preserve">states · reports · assesses · judges</w:t>
            </w:r>
          </w:p>
          <w:p>
            <w:pPr>
              <w:spacing w:after="40" w:before="40"/>
            </w:pPr>
            <w:r>
              <w:rPr>
                <w:rFonts w:ascii="Arial" w:cs="Arial" w:eastAsia="Arial" w:hAnsi="Arial"/>
                <w:sz w:val="20"/>
                <w:szCs w:val="20"/>
              </w:rPr>
              <w:t xml:space="preserve">indicates · notes · identifies</w:t>
            </w:r>
          </w:p>
          <w:p>
            <w:pPr>
              <w:spacing w:after="40" w:before="40"/>
            </w:pPr>
            <w:r>
              <w:rPr>
                <w:rFonts w:ascii="Arial" w:cs="Arial" w:eastAsia="Arial" w:hAnsi="Arial"/>
                <w:sz w:val="20"/>
                <w:szCs w:val="20"/>
              </w:rPr>
              <w:t xml:space="preserve">describes · finds · raises concern about</w:t>
            </w:r>
          </w:p>
          <w:p>
            <w:pPr>
              <w:spacing w:after="40" w:before="40"/>
            </w:pPr>
            <w:r>
              <w:rPr>
                <w:rFonts w:ascii="Arial" w:cs="Arial" w:eastAsia="Arial" w:hAnsi="Arial"/>
                <w:sz w:val="20"/>
                <w:szCs w:val="20"/>
              </w:rPr>
              <w:t xml:space="preserve">documents · characterizes · acknowledges</w:t>
            </w:r>
          </w:p>
        </w:tc>
        <w:tc>
          <w:tcPr>
            <w:tcW w:type="dxa" w:w="4680"/>
            <w:tcBorders>
              <w:top w:val="single" w:color="D0D7E3" w:sz="1"/>
              <w:left w:val="single" w:color="D0D7E3" w:sz="1"/>
              <w:bottom w:val="single" w:color="D0D7E3" w:sz="1"/>
              <w:right w:val="single" w:color="D0D7E3" w:sz="1"/>
            </w:tcBorders>
            <w:shd w:fill="FAFAFA" w:val="clear"/>
            <w:tcMar>
              <w:top w:type="dxa" w:w="120"/>
              <w:left w:type="dxa" w:w="160"/>
              <w:bottom w:type="dxa" w:w="120"/>
              <w:right w:type="dxa" w:w="160"/>
            </w:tcMar>
          </w:tcPr>
          <w:p>
            <w:pPr>
              <w:spacing w:after="80" w:before="0"/>
            </w:pPr>
            <w:r>
              <w:rPr>
                <w:rFonts w:ascii="Arial" w:cs="Arial" w:eastAsia="Arial" w:hAnsi="Arial"/>
                <w:b/>
                <w:bCs/>
                <w:caps/>
                <w:color w:val="1B2A4A"/>
                <w:sz w:val="20"/>
                <w:szCs w:val="20"/>
              </w:rPr>
              <w:t xml:space="preserve">SYNTHESIS VERBS — Your Analytic Judgment</w:t>
            </w:r>
          </w:p>
          <w:p>
            <w:pPr>
              <w:spacing w:after="40" w:before="40"/>
            </w:pPr>
            <w:r>
              <w:rPr>
                <w:rFonts w:ascii="Arial" w:cs="Arial" w:eastAsia="Arial" w:hAnsi="Arial"/>
                <w:sz w:val="20"/>
                <w:szCs w:val="20"/>
              </w:rPr>
              <w:t xml:space="preserve">suggests · supports the judgment that</w:t>
            </w:r>
          </w:p>
          <w:p>
            <w:pPr>
              <w:spacing w:after="40" w:before="40"/>
            </w:pPr>
            <w:r>
              <w:rPr>
                <w:rFonts w:ascii="Arial" w:cs="Arial" w:eastAsia="Arial" w:hAnsi="Arial"/>
                <w:sz w:val="20"/>
                <w:szCs w:val="20"/>
              </w:rPr>
              <w:t xml:space="preserve">is consistent with · appears to indicate</w:t>
            </w:r>
          </w:p>
          <w:p>
            <w:pPr>
              <w:spacing w:after="40" w:before="40"/>
            </w:pPr>
            <w:r>
              <w:rPr>
                <w:rFonts w:ascii="Arial" w:cs="Arial" w:eastAsia="Arial" w:hAnsi="Arial"/>
                <w:sz w:val="20"/>
                <w:szCs w:val="20"/>
              </w:rPr>
              <w:t xml:space="preserve">points to · is best understood as</w:t>
            </w:r>
          </w:p>
          <w:p>
            <w:pPr>
              <w:spacing w:after="40" w:before="40"/>
            </w:pPr>
            <w:r>
              <w:rPr>
                <w:rFonts w:ascii="Arial" w:cs="Arial" w:eastAsia="Arial" w:hAnsi="Arial"/>
                <w:sz w:val="20"/>
                <w:szCs w:val="20"/>
              </w:rPr>
              <w:t xml:space="preserve">warrants concern · supports a [confidence] judgment that</w:t>
            </w:r>
          </w:p>
          <w:p>
            <w:pPr>
              <w:spacing w:after="40" w:before="40"/>
            </w:pPr>
            <w:r>
              <w:rPr>
                <w:rFonts w:ascii="Arial" w:cs="Arial" w:eastAsia="Arial" w:hAnsi="Arial"/>
                <w:sz w:val="20"/>
                <w:szCs w:val="20"/>
              </w:rPr>
              <w:t xml:space="preserve">raises the inference that · is assessed as</w:t>
            </w:r>
          </w:p>
        </w:tc>
      </w:tr>
    </w:tbl>
    <w:p>
      <w:pPr>
        <w:spacing w:before="100"/>
      </w:pPr>
    </w:p>
    <w:p>
      <w:pPr>
        <w:pStyle w:val="Heading1"/>
        <w:spacing w:after="160" w:before="480"/>
      </w:pPr>
      <w:r>
        <w:rPr>
          <w:rFonts w:ascii="Arial" w:cs="Arial" w:eastAsia="Arial" w:hAnsi="Arial"/>
          <w:b/>
          <w:bCs/>
          <w:color w:val="1B2A4A"/>
          <w:sz w:val="30"/>
          <w:szCs w:val="30"/>
        </w:rPr>
        <w:t xml:space="preserve">6. Approved Analytic Phrases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E3" w:sz="1"/>
              <w:left w:val="single" w:color="D0D7E3" w:sz="1"/>
              <w:bottom w:val="single" w:color="D0D7E3" w:sz="1"/>
              <w:right w:val="single" w:color="D0D7E3" w:sz="1"/>
            </w:tcBorders>
            <w:shd w:fill="E8EDF5" w:val="clear"/>
            <w:tcMar>
              <w:top w:type="dxa" w:w="120"/>
              <w:left w:type="dxa" w:w="160"/>
              <w:bottom w:type="dxa" w:w="120"/>
              <w:right w:type="dxa" w:w="160"/>
            </w:tcMar>
          </w:tcPr>
          <w:p>
            <w:pPr>
              <w:spacing w:after="80" w:before="0"/>
            </w:pPr>
            <w:r>
              <w:rPr>
                <w:rFonts w:ascii="Arial" w:cs="Arial" w:eastAsia="Arial" w:hAnsi="Arial"/>
                <w:b/>
                <w:bCs/>
                <w:caps/>
                <w:color w:val="1B2A4A"/>
                <w:sz w:val="20"/>
                <w:szCs w:val="20"/>
              </w:rPr>
              <w:t xml:space="preserve">FOR ESTABLISHING THE EVIDENCE BASE</w:t>
            </w:r>
          </w:p>
          <w:p>
            <w:pPr>
              <w:spacing w:after="40" w:before="40"/>
            </w:pPr>
            <w:r>
              <w:rPr>
                <w:rFonts w:ascii="Arial" w:cs="Arial" w:eastAsia="Arial" w:hAnsi="Arial"/>
                <w:sz w:val="20"/>
                <w:szCs w:val="20"/>
              </w:rPr>
              <w:t xml:space="preserve">the public record supports</w:t>
            </w:r>
          </w:p>
          <w:p>
            <w:pPr>
              <w:spacing w:after="40" w:before="40"/>
            </w:pPr>
            <w:r>
              <w:rPr>
                <w:rFonts w:ascii="Arial" w:cs="Arial" w:eastAsia="Arial" w:hAnsi="Arial"/>
                <w:sz w:val="20"/>
                <w:szCs w:val="20"/>
              </w:rPr>
              <w:t xml:space="preserve">official reporting indicates</w:t>
            </w:r>
          </w:p>
          <w:p>
            <w:pPr>
              <w:spacing w:after="40" w:before="40"/>
            </w:pPr>
            <w:r>
              <w:rPr>
                <w:rFonts w:ascii="Arial" w:cs="Arial" w:eastAsia="Arial" w:hAnsi="Arial"/>
                <w:sz w:val="20"/>
                <w:szCs w:val="20"/>
              </w:rPr>
              <w:t xml:space="preserve">the available evidence suggests</w:t>
            </w:r>
          </w:p>
          <w:p>
            <w:pPr>
              <w:spacing w:after="40" w:before="40"/>
            </w:pPr>
            <w:r>
              <w:rPr>
                <w:rFonts w:ascii="Arial" w:cs="Arial" w:eastAsia="Arial" w:hAnsi="Arial"/>
                <w:sz w:val="20"/>
                <w:szCs w:val="20"/>
              </w:rPr>
              <w:t xml:space="preserve">for defensive planning purposes</w:t>
            </w:r>
          </w:p>
          <w:p>
            <w:pPr>
              <w:spacing w:after="40" w:before="40"/>
            </w:pPr>
            <w:r>
              <w:rPr>
                <w:rFonts w:ascii="Arial" w:cs="Arial" w:eastAsia="Arial" w:hAnsi="Arial"/>
                <w:sz w:val="20"/>
                <w:szCs w:val="20"/>
              </w:rPr>
              <w:t xml:space="preserve">the strongest defensible judgment is</w:t>
            </w:r>
          </w:p>
          <w:p>
            <w:pPr>
              <w:spacing w:after="40" w:before="40"/>
            </w:pPr>
            <w:r>
              <w:rPr>
                <w:rFonts w:ascii="Arial" w:cs="Arial" w:eastAsia="Arial" w:hAnsi="Arial"/>
                <w:sz w:val="20"/>
                <w:szCs w:val="20"/>
              </w:rPr>
              <w:t xml:space="preserve">on balance · in aggregate</w:t>
            </w:r>
          </w:p>
          <w:p>
            <w:pPr>
              <w:spacing w:after="40" w:before="40"/>
            </w:pPr>
            <w:r>
              <w:rPr>
                <w:rFonts w:ascii="Arial" w:cs="Arial" w:eastAsia="Arial" w:hAnsi="Arial"/>
                <w:sz w:val="20"/>
                <w:szCs w:val="20"/>
              </w:rPr>
              <w:t xml:space="preserve">the most policy-relevant implication is</w:t>
            </w:r>
          </w:p>
          <w:p>
            <w:pPr>
              <w:spacing w:after="40" w:before="40"/>
            </w:pPr>
            <w:r>
              <w:rPr>
                <w:rFonts w:ascii="Arial" w:cs="Arial" w:eastAsia="Arial" w:hAnsi="Arial"/>
                <w:sz w:val="20"/>
                <w:szCs w:val="20"/>
              </w:rPr>
              <w:t xml:space="preserve">documented open-source reporting indicates</w:t>
            </w:r>
          </w:p>
          <w:p>
            <w:pPr>
              <w:spacing w:after="40" w:before="40"/>
            </w:pPr>
            <w:r>
              <w:rPr>
                <w:rFonts w:ascii="Arial" w:cs="Arial" w:eastAsia="Arial" w:hAnsi="Arial"/>
                <w:sz w:val="20"/>
                <w:szCs w:val="20"/>
              </w:rPr>
              <w:t xml:space="preserve">the available evidence is consistent with</w:t>
            </w:r>
          </w:p>
        </w:tc>
        <w:tc>
          <w:tcPr>
            <w:tcW w:type="dxa" w:w="4680"/>
            <w:tcBorders>
              <w:top w:val="single" w:color="D0D7E3" w:sz="1"/>
              <w:left w:val="single" w:color="D0D7E3" w:sz="1"/>
              <w:bottom w:val="single" w:color="D0D7E3" w:sz="1"/>
              <w:right w:val="single" w:color="D0D7E3" w:sz="1"/>
            </w:tcBorders>
            <w:shd w:fill="FEF3E2" w:val="clear"/>
            <w:tcMar>
              <w:top w:type="dxa" w:w="120"/>
              <w:left w:type="dxa" w:w="160"/>
              <w:bottom w:type="dxa" w:w="120"/>
              <w:right w:type="dxa" w:w="160"/>
            </w:tcMar>
          </w:tcPr>
          <w:p>
            <w:pPr>
              <w:spacing w:after="80" w:before="0"/>
            </w:pPr>
            <w:r>
              <w:rPr>
                <w:rFonts w:ascii="Arial" w:cs="Arial" w:eastAsia="Arial" w:hAnsi="Arial"/>
                <w:b/>
                <w:bCs/>
                <w:caps/>
                <w:color w:val="1B2A4A"/>
                <w:sz w:val="20"/>
                <w:szCs w:val="20"/>
              </w:rPr>
              <w:t xml:space="preserve">FOR NAMING GAPS AND LIMITS</w:t>
            </w:r>
          </w:p>
          <w:p>
            <w:pPr>
              <w:spacing w:after="40" w:before="40"/>
            </w:pPr>
            <w:r>
              <w:rPr>
                <w:rFonts w:ascii="Arial" w:cs="Arial" w:eastAsia="Arial" w:hAnsi="Arial"/>
                <w:sz w:val="20"/>
                <w:szCs w:val="20"/>
              </w:rPr>
              <w:t xml:space="preserve">the open-source picture remains incomplete</w:t>
            </w:r>
          </w:p>
          <w:p>
            <w:pPr>
              <w:spacing w:after="40" w:before="40"/>
            </w:pPr>
            <w:r>
              <w:rPr>
                <w:rFonts w:ascii="Arial" w:cs="Arial" w:eastAsia="Arial" w:hAnsi="Arial"/>
                <w:sz w:val="20"/>
                <w:szCs w:val="20"/>
              </w:rPr>
              <w:t xml:space="preserve">this assessment does not establish</w:t>
            </w:r>
          </w:p>
          <w:p>
            <w:pPr>
              <w:spacing w:after="40" w:before="40"/>
            </w:pPr>
            <w:r>
              <w:rPr>
                <w:rFonts w:ascii="Arial" w:cs="Arial" w:eastAsia="Arial" w:hAnsi="Arial"/>
                <w:sz w:val="20"/>
                <w:szCs w:val="20"/>
              </w:rPr>
              <w:t xml:space="preserve">the evidentiary basis varies by subject</w:t>
            </w:r>
          </w:p>
          <w:p>
            <w:pPr>
              <w:spacing w:after="40" w:before="40"/>
            </w:pPr>
            <w:r>
              <w:rPr>
                <w:rFonts w:ascii="Arial" w:cs="Arial" w:eastAsia="Arial" w:hAnsi="Arial"/>
                <w:sz w:val="20"/>
                <w:szCs w:val="20"/>
              </w:rPr>
              <w:t xml:space="preserve">the available reporting does not permit a firm conclusion</w:t>
            </w:r>
          </w:p>
          <w:p>
            <w:pPr>
              <w:spacing w:after="40" w:before="40"/>
            </w:pPr>
            <w:r>
              <w:rPr>
                <w:rFonts w:ascii="Arial" w:cs="Arial" w:eastAsia="Arial" w:hAnsi="Arial"/>
                <w:sz w:val="20"/>
                <w:szCs w:val="20"/>
              </w:rPr>
              <w:t xml:space="preserve">intelligence gaps remain</w:t>
            </w:r>
          </w:p>
          <w:p>
            <w:pPr>
              <w:spacing w:after="40" w:before="40"/>
            </w:pPr>
            <w:r>
              <w:rPr>
                <w:rFonts w:ascii="Arial" w:cs="Arial" w:eastAsia="Arial" w:hAnsi="Arial"/>
                <w:sz w:val="20"/>
                <w:szCs w:val="20"/>
              </w:rPr>
              <w:t xml:space="preserve">the principal uncertainty concerns</w:t>
            </w:r>
          </w:p>
          <w:p>
            <w:pPr>
              <w:spacing w:after="40" w:before="40"/>
            </w:pPr>
            <w:r>
              <w:rPr>
                <w:rFonts w:ascii="Arial" w:cs="Arial" w:eastAsia="Arial" w:hAnsi="Arial"/>
                <w:sz w:val="20"/>
                <w:szCs w:val="20"/>
              </w:rPr>
              <w:t xml:space="preserve">in the public record</w:t>
            </w:r>
          </w:p>
          <w:p>
            <w:pPr>
              <w:spacing w:after="40" w:before="40"/>
            </w:pPr>
            <w:r>
              <w:rPr>
                <w:rFonts w:ascii="Arial" w:cs="Arial" w:eastAsia="Arial" w:hAnsi="Arial"/>
                <w:sz w:val="20"/>
                <w:szCs w:val="20"/>
              </w:rPr>
              <w:t xml:space="preserve">the public record does not permit</w:t>
            </w:r>
          </w:p>
          <w:p>
            <w:pPr>
              <w:spacing w:after="40" w:before="40"/>
            </w:pPr>
            <w:r>
              <w:rPr>
                <w:rFonts w:ascii="Arial" w:cs="Arial" w:eastAsia="Arial" w:hAnsi="Arial"/>
                <w:sz w:val="20"/>
                <w:szCs w:val="20"/>
              </w:rPr>
              <w:t xml:space="preserve">this paper does not assess beyond</w:t>
            </w:r>
          </w:p>
        </w:tc>
      </w:tr>
    </w:tbl>
    <w:p>
      <w:pPr>
        <w:spacing w:before="100"/>
      </w:pPr>
    </w:p>
    <w:p>
      <w:pPr>
        <w:pStyle w:val="Heading1"/>
        <w:spacing w:after="160" w:before="480"/>
      </w:pPr>
      <w:r>
        <w:rPr>
          <w:rFonts w:ascii="Arial" w:cs="Arial" w:eastAsia="Arial" w:hAnsi="Arial"/>
          <w:b/>
          <w:bCs/>
          <w:color w:val="1B2A4A"/>
          <w:sz w:val="30"/>
          <w:szCs w:val="30"/>
        </w:rPr>
        <w:t xml:space="preserve">7. Weak-to-Strong Conversion Table</w:t>
      </w:r>
    </w:p>
    <w:p>
      <w:pPr>
        <w:spacing w:after="100" w:before="80"/>
      </w:pPr>
      <w:r>
        <w:rPr>
          <w:rFonts w:ascii="Arial" w:cs="Arial" w:eastAsia="Arial" w:hAnsi="Arial"/>
          <w:color w:val="000000"/>
          <w:sz w:val="22"/>
          <w:szCs w:val="22"/>
        </w:rPr>
        <w:t xml:space="preserve">Apply this table during revision. For every claim that appears in a weaker form, substitute the stronger form. The stronger form states the same analytical content with appropriate attribution and explicit limits.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WEAKER PHRASING — Avoid</w:t>
            </w:r>
          </w:p>
        </w:tc>
        <w:tc>
          <w:tcPr>
            <w:tcW w:type="dxa" w:w="468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STRONGER PHRASING — Use</w:t>
            </w:r>
          </w:p>
        </w:tc>
      </w:tr>
      <w:tr>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China is clearly running a covert biological program.</w:t>
            </w:r>
          </w:p>
        </w:tc>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Public reporting raises compliance and capability concerns regarding China; the open-source record does not establish the scope of any current prohibited program.</w:t>
            </w:r>
          </w:p>
        </w:tc>
      </w:tr>
      <w:tr>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Russia definitely intends to use these capabilities.</w:t>
            </w:r>
          </w:p>
        </w:tc>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Official U.S. reporting identifies an expanding Russian CBW threat; the public record does not permit a firm conclusion about specific employment thresholds.</w:t>
            </w:r>
          </w:p>
        </w:tc>
      </w:tr>
      <w:tr>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Iran is secretly preparing biological attacks.</w:t>
            </w:r>
          </w:p>
        </w:tc>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ODNI reporting indicates offensive-purpose concern related to Iranian CBW R&amp;D; the public record remains limited on operational scope.</w:t>
            </w:r>
          </w:p>
        </w:tc>
      </w:tr>
      <w:tr>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North Korea is an apocalyptic biological threat.</w:t>
            </w:r>
          </w:p>
        </w:tc>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North Korea presents a persistent unconventional WMD risk, including biological-warfare-related concern in official U.S. reporting.</w:t>
            </w:r>
          </w:p>
        </w:tc>
      </w:tr>
      <w:tr>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China and Russia are winning the trade war.</w:t>
            </w:r>
          </w:p>
        </w:tc>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Official reporting and commercial data indicate expanding China-Russia energy and mineral trade volumes; assessed impact on US enforcement effectiveness remains a principal uncertainty.</w:t>
            </w:r>
          </w:p>
        </w:tc>
      </w:tr>
      <w:tr>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The corridor is clearly under US control.</w:t>
            </w:r>
          </w:p>
        </w:tc>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Under the scenario premise, the US-led coalition has established contested maritime security operations in the Hormuz corridor; sustained control is scenario-conditioned and not assessed as achieved.</w:t>
            </w:r>
          </w:p>
        </w:tc>
      </w:tr>
      <w:tr>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This proves that Iran violated the BWC.</w:t>
            </w:r>
          </w:p>
        </w:tc>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Available reporting is consistent with treaty non-compliance concerns; the public record does not establish the evidentiary standard required for a formal treaty violation determination.</w:t>
            </w:r>
          </w:p>
        </w:tc>
      </w:tr>
      <w:tr>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The BRI is a debt trap designed to seize assets.</w:t>
            </w:r>
          </w:p>
        </w:tc>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Chinese state lending structures in BRI agreements have created contingent coercive leverage over sovereign infrastructure in documented cases; whether this reflects deliberate design intent is analytically contested.</w:t>
            </w:r>
          </w:p>
        </w:tc>
      </w:tr>
    </w:tbl>
    <w:p>
      <w:pPr>
        <w:spacing w:before="100"/>
      </w:pPr>
    </w:p>
    <w:p>
      <w:pPr>
        <w:pStyle w:val="Heading1"/>
        <w:spacing w:after="160" w:before="480"/>
      </w:pPr>
      <w:r>
        <w:rPr>
          <w:rFonts w:ascii="Arial" w:cs="Arial" w:eastAsia="Arial" w:hAnsi="Arial"/>
          <w:b/>
          <w:bCs/>
          <w:color w:val="1B2A4A"/>
          <w:sz w:val="30"/>
          <w:szCs w:val="30"/>
        </w:rPr>
        <w:t xml:space="preserve">8. Prohibited Language: Three Categories</w:t>
      </w:r>
    </w:p>
    <w:p>
      <w:pPr>
        <w:spacing w:after="100" w:before="80"/>
      </w:pPr>
      <w:r>
        <w:rPr>
          <w:rFonts w:ascii="Arial" w:cs="Arial" w:eastAsia="Arial" w:hAnsi="Arial"/>
          <w:color w:val="000000"/>
          <w:sz w:val="22"/>
          <w:szCs w:val="22"/>
        </w:rPr>
        <w:t xml:space="preserve">All three categories are prohibited in every paper. They signal different failures: prosecutorial certainty signals advocacy, emotive inflation signals poor discipline, and advocacy language signals the analysis has a conclusion it is trying to produce rather than derive.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PROSECUTORIAL CERTAINTY</w:t>
            </w:r>
          </w:p>
        </w:tc>
        <w:tc>
          <w:tcPr>
            <w:tcW w:type="dxa" w:w="312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EMOTIVE INFLATION</w:t>
            </w:r>
          </w:p>
        </w:tc>
        <w:tc>
          <w:tcPr>
            <w:tcW w:type="dxa" w:w="312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ADVOCACY LANGUAGE</w:t>
            </w:r>
          </w:p>
        </w:tc>
      </w:tr>
      <w:tr>
        <w:tc>
          <w:tcPr>
            <w:tcW w:type="dxa" w:w="3120"/>
            <w:tcBorders>
              <w:top w:val="single" w:color="D0D7E3" w:sz="1"/>
              <w:left w:val="single" w:color="D0D7E3" w:sz="1"/>
              <w:bottom w:val="single" w:color="D0D7E3" w:sz="1"/>
              <w:right w:val="single" w:color="D0D7E3" w:sz="1"/>
            </w:tcBorders>
            <w:shd w:fill="FDECEC" w:val="clear"/>
            <w:tcMar>
              <w:top w:type="dxa" w:w="100"/>
              <w:left w:type="dxa" w:w="120"/>
              <w:bottom w:type="dxa" w:w="100"/>
              <w:right w:type="dxa" w:w="120"/>
            </w:tcMar>
          </w:tcPr>
          <w:p>
            <w:pPr>
              <w:spacing w:after="40" w:before="0"/>
            </w:pPr>
            <w:r>
              <w:rPr>
                <w:rFonts w:ascii="Arial" w:cs="Arial" w:eastAsia="Arial" w:hAnsi="Arial"/>
                <w:sz w:val="20"/>
                <w:szCs w:val="20"/>
              </w:rPr>
              <w:t xml:space="preserve">proves · demonstrates conclusively</w:t>
            </w:r>
          </w:p>
          <w:p>
            <w:pPr>
              <w:spacing w:after="40" w:before="0"/>
            </w:pPr>
            <w:r>
              <w:rPr>
                <w:rFonts w:ascii="Arial" w:cs="Arial" w:eastAsia="Arial" w:hAnsi="Arial"/>
                <w:sz w:val="20"/>
                <w:szCs w:val="20"/>
              </w:rPr>
              <w:t xml:space="preserve">confirms beyond doubt · exposes</w:t>
            </w:r>
          </w:p>
          <w:p>
            <w:pPr>
              <w:spacing w:after="40" w:before="0"/>
            </w:pPr>
            <w:r>
              <w:rPr>
                <w:rFonts w:ascii="Arial" w:cs="Arial" w:eastAsia="Arial" w:hAnsi="Arial"/>
                <w:sz w:val="20"/>
                <w:szCs w:val="20"/>
              </w:rPr>
              <w:t xml:space="preserve">reveals the truth · undeniably</w:t>
            </w:r>
          </w:p>
          <w:p>
            <w:pPr>
              <w:spacing w:after="40" w:before="0"/>
            </w:pPr>
            <w:r>
              <w:rPr>
                <w:rFonts w:ascii="Arial" w:cs="Arial" w:eastAsia="Arial" w:hAnsi="Arial"/>
                <w:sz w:val="20"/>
                <w:szCs w:val="20"/>
              </w:rPr>
              <w:t xml:space="preserve">clearly · without question</w:t>
            </w:r>
          </w:p>
          <w:p>
            <w:pPr>
              <w:spacing w:after="0" w:before="0"/>
            </w:pPr>
            <w:r>
              <w:rPr>
                <w:rFonts w:ascii="Arial" w:cs="Arial" w:eastAsia="Arial" w:hAnsi="Arial"/>
                <w:sz w:val="20"/>
                <w:szCs w:val="20"/>
              </w:rPr>
              <w:t xml:space="preserve">definitively establishes</w:t>
            </w:r>
          </w:p>
        </w:tc>
        <w:tc>
          <w:tcPr>
            <w:tcW w:type="dxa" w:w="3120"/>
            <w:tcBorders>
              <w:top w:val="single" w:color="D0D7E3" w:sz="1"/>
              <w:left w:val="single" w:color="D0D7E3" w:sz="1"/>
              <w:bottom w:val="single" w:color="D0D7E3" w:sz="1"/>
              <w:right w:val="single" w:color="D0D7E3" w:sz="1"/>
            </w:tcBorders>
            <w:shd w:fill="FDECEC" w:val="clear"/>
            <w:tcMar>
              <w:top w:type="dxa" w:w="100"/>
              <w:left w:type="dxa" w:w="120"/>
              <w:bottom w:type="dxa" w:w="100"/>
              <w:right w:type="dxa" w:w="120"/>
            </w:tcMar>
          </w:tcPr>
          <w:p>
            <w:pPr>
              <w:spacing w:after="40" w:before="0"/>
            </w:pPr>
            <w:r>
              <w:rPr>
                <w:rFonts w:ascii="Arial" w:cs="Arial" w:eastAsia="Arial" w:hAnsi="Arial"/>
                <w:sz w:val="20"/>
                <w:szCs w:val="20"/>
              </w:rPr>
              <w:t xml:space="preserve">terrifying · horrific · sinister</w:t>
            </w:r>
          </w:p>
          <w:p>
            <w:pPr>
              <w:spacing w:after="40" w:before="0"/>
            </w:pPr>
            <w:r>
              <w:rPr>
                <w:rFonts w:ascii="Arial" w:cs="Arial" w:eastAsia="Arial" w:hAnsi="Arial"/>
                <w:sz w:val="20"/>
                <w:szCs w:val="20"/>
              </w:rPr>
              <w:t xml:space="preserve">apocalyptic · nightmare scenario</w:t>
            </w:r>
          </w:p>
          <w:p>
            <w:pPr>
              <w:spacing w:after="40" w:before="0"/>
            </w:pPr>
            <w:r>
              <w:rPr>
                <w:rFonts w:ascii="Arial" w:cs="Arial" w:eastAsia="Arial" w:hAnsi="Arial"/>
                <w:sz w:val="20"/>
                <w:szCs w:val="20"/>
              </w:rPr>
              <w:t xml:space="preserve">catastrophic (undefined consequence)</w:t>
            </w:r>
          </w:p>
          <w:p>
            <w:pPr>
              <w:spacing w:after="40" w:before="0"/>
            </w:pPr>
            <w:r>
              <w:rPr>
                <w:rFonts w:ascii="Arial" w:cs="Arial" w:eastAsia="Arial" w:hAnsi="Arial"/>
                <w:sz w:val="20"/>
                <w:szCs w:val="20"/>
              </w:rPr>
              <w:t xml:space="preserve">evil · evil regime · rogue state</w:t>
            </w:r>
          </w:p>
          <w:p>
            <w:pPr>
              <w:spacing w:after="0" w:before="0"/>
            </w:pPr>
            <w:r>
              <w:rPr>
                <w:rFonts w:ascii="Arial" w:cs="Arial" w:eastAsia="Arial" w:hAnsi="Arial"/>
                <w:sz w:val="20"/>
                <w:szCs w:val="20"/>
              </w:rPr>
              <w:t xml:space="preserve">unprecedented threat</w:t>
            </w:r>
          </w:p>
        </w:tc>
        <w:tc>
          <w:tcPr>
            <w:tcW w:type="dxa" w:w="3120"/>
            <w:tcBorders>
              <w:top w:val="single" w:color="D0D7E3" w:sz="1"/>
              <w:left w:val="single" w:color="D0D7E3" w:sz="1"/>
              <w:bottom w:val="single" w:color="D0D7E3" w:sz="1"/>
              <w:right w:val="single" w:color="D0D7E3" w:sz="1"/>
            </w:tcBorders>
            <w:shd w:fill="FDECEC" w:val="clear"/>
            <w:tcMar>
              <w:top w:type="dxa" w:w="100"/>
              <w:left w:type="dxa" w:w="120"/>
              <w:bottom w:type="dxa" w:w="100"/>
              <w:right w:type="dxa" w:w="120"/>
            </w:tcMar>
          </w:tcPr>
          <w:p>
            <w:pPr>
              <w:spacing w:after="40" w:before="0"/>
            </w:pPr>
            <w:r>
              <w:rPr>
                <w:rFonts w:ascii="Arial" w:cs="Arial" w:eastAsia="Arial" w:hAnsi="Arial"/>
                <w:sz w:val="20"/>
                <w:szCs w:val="20"/>
              </w:rPr>
              <w:t xml:space="preserve">the world must · no choice but</w:t>
            </w:r>
          </w:p>
          <w:p>
            <w:pPr>
              <w:spacing w:after="40" w:before="0"/>
            </w:pPr>
            <w:r>
              <w:rPr>
                <w:rFonts w:ascii="Arial" w:cs="Arial" w:eastAsia="Arial" w:hAnsi="Arial"/>
                <w:sz w:val="20"/>
                <w:szCs w:val="20"/>
              </w:rPr>
              <w:t xml:space="preserve">urgent moral necessity</w:t>
            </w:r>
          </w:p>
          <w:p>
            <w:pPr>
              <w:spacing w:after="40" w:before="0"/>
            </w:pPr>
            <w:r>
              <w:rPr>
                <w:rFonts w:ascii="Arial" w:cs="Arial" w:eastAsia="Arial" w:hAnsi="Arial"/>
                <w:sz w:val="20"/>
                <w:szCs w:val="20"/>
              </w:rPr>
              <w:t xml:space="preserve">immediate decisive action required</w:t>
            </w:r>
          </w:p>
          <w:p>
            <w:pPr>
              <w:spacing w:after="40" w:before="0"/>
            </w:pPr>
            <w:r>
              <w:rPr>
                <w:rFonts w:ascii="Arial" w:cs="Arial" w:eastAsia="Arial" w:hAnsi="Arial"/>
                <w:sz w:val="20"/>
                <w:szCs w:val="20"/>
              </w:rPr>
              <w:t xml:space="preserve">everyone knows · it is obvious</w:t>
            </w:r>
          </w:p>
          <w:p>
            <w:pPr>
              <w:spacing w:after="0" w:before="0"/>
            </w:pPr>
            <w:r>
              <w:rPr>
                <w:rFonts w:ascii="Arial" w:cs="Arial" w:eastAsia="Arial" w:hAnsi="Arial"/>
                <w:sz w:val="20"/>
                <w:szCs w:val="20"/>
              </w:rPr>
              <w:t xml:space="preserve">must act now · cannot wait</w:t>
            </w:r>
          </w:p>
        </w:tc>
      </w:tr>
    </w:tbl>
    <w:p>
      <w:pPr>
        <w:spacing w:before="80"/>
      </w:pPr>
    </w:p>
    <w:p>
      <w:pPr>
        <w:spacing w:after="100" w:before="80"/>
      </w:pPr>
      <w:r>
        <w:rPr>
          <w:rFonts w:ascii="Arial" w:cs="Arial" w:eastAsia="Arial" w:hAnsi="Arial"/>
          <w:color w:val="4A5568"/>
          <w:sz w:val="22"/>
          <w:szCs w:val="22"/>
        </w:rPr>
        <w:t xml:space="preserve">Extended prohibited pattern list — applies across all papers:</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PROHIBITED PATTERN</w:t>
            </w:r>
          </w:p>
        </w:tc>
        <w:tc>
          <w:tcPr>
            <w:tcW w:type="dxa" w:w="468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REPLACE WITH</w:t>
            </w:r>
          </w:p>
        </w:tc>
      </w:tr>
      <w:tr>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It should be noted that...</w:t>
            </w:r>
          </w:p>
        </w:tc>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State the point directly. Delete the frame.</w:t>
            </w:r>
          </w:p>
        </w:tc>
      </w:tr>
      <w:tr>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This paper argues that... / This section will...</w:t>
            </w:r>
          </w:p>
        </w:tc>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State the argument. The structure announces it.</w:t>
            </w:r>
          </w:p>
        </w:tc>
      </w:tr>
      <w:tr>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Clearly / Obviously / Of course</w:t>
            </w:r>
          </w:p>
        </w:tc>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If it requires saying, say it without the modifier.</w:t>
            </w:r>
          </w:p>
        </w:tc>
      </w:tr>
      <w:tr>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It is important to... / It is worth noting...</w:t>
            </w:r>
          </w:p>
        </w:tc>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The structure demonstrates importance. Do not assert it.</w:t>
            </w:r>
          </w:p>
        </w:tc>
      </w:tr>
      <w:tr>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May suggest / Could indicate / Seems to imply</w:t>
            </w:r>
          </w:p>
        </w:tc>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ASSESSED WITH [CONFIDENCE]: [declarative claim]</w:t>
            </w:r>
          </w:p>
        </w:tc>
      </w:tr>
      <w:tr>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 significant / substantial / large share</w:t>
            </w:r>
          </w:p>
        </w:tc>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Specific figure with Tier 1/2 source citation, or omit.</w:t>
            </w:r>
          </w:p>
        </w:tc>
      </w:tr>
      <w:tr>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This analysis seeks to... / We attempt to...</w:t>
            </w:r>
          </w:p>
        </w:tc>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State what the analysis does, not what it seeks to do.</w:t>
            </w:r>
          </w:p>
        </w:tc>
      </w:tr>
      <w:tr>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X was designated (agent obscured)</w:t>
            </w:r>
          </w:p>
        </w:tc>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OFAC designated X under [authority] on [date].</w:t>
            </w:r>
          </w:p>
        </w:tc>
      </w:tr>
      <w:tr>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Going forward / Moving ahead</w:t>
            </w:r>
          </w:p>
        </w:tc>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On [timeline]: [specific projection with confidence label].</w:t>
            </w:r>
          </w:p>
        </w:tc>
      </w:tr>
      <w:tr>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Interestingly / Notably / Importantly</w:t>
            </w:r>
          </w:p>
        </w:tc>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Delete. The analysis makes it notable by including it.</w:t>
            </w:r>
          </w:p>
        </w:tc>
      </w:tr>
      <w:tr>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This is a complex issue / nuanced problem</w:t>
            </w:r>
          </w:p>
        </w:tc>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Complexity is shown through the analysis, not named.</w:t>
            </w:r>
          </w:p>
        </w:tc>
      </w:tr>
      <w:tr>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Many analysts believe / experts agree</w:t>
            </w:r>
          </w:p>
        </w:tc>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Cite specific analysts with institutional attribution.</w:t>
            </w:r>
          </w:p>
        </w:tc>
      </w:tr>
    </w:tbl>
    <w:p>
      <w:pPr>
        <w:pBdr>
          <w:bottom w:val="single" w:color="1B2A4A" w:sz="8" w:space="1"/>
        </w:pBdr>
        <w:spacing w:after="160" w:before="160"/>
      </w:pPr>
    </w:p>
    <w:p>
      <w:pPr>
        <w:pageBreakBefore/>
      </w:pPr>
    </w:p>
    <w:p>
      <w:pPr>
        <w:spacing w:after="80" w:before="0"/>
      </w:pPr>
      <w:r>
        <w:rPr>
          <w:rFonts w:ascii="Arial" w:cs="Arial" w:eastAsia="Arial" w:hAnsi="Arial"/>
          <w:b/>
          <w:bCs/>
          <w:caps/>
          <w:color w:val="1B2A4A"/>
          <w:sz w:val="34"/>
          <w:szCs w:val="34"/>
        </w:rPr>
        <w:t xml:space="preserve">PART 3: DOCUMENT ARCHITECTURE AND PRODUCTION STANDARDS</w:t>
      </w:r>
    </w:p>
    <w:p>
      <w:pPr>
        <w:pStyle w:val="Heading1"/>
        <w:spacing w:after="160" w:before="480"/>
      </w:pPr>
      <w:r>
        <w:rPr>
          <w:rFonts w:ascii="Arial" w:cs="Arial" w:eastAsia="Arial" w:hAnsi="Arial"/>
          <w:b/>
          <w:bCs/>
          <w:color w:val="1B2A4A"/>
          <w:sz w:val="30"/>
          <w:szCs w:val="30"/>
        </w:rPr>
        <w:t xml:space="preserve">9. Standard Document Architecture</w:t>
      </w:r>
    </w:p>
    <w:p>
      <w:pPr>
        <w:pStyle w:val="Heading2"/>
        <w:spacing w:after="100" w:before="320"/>
      </w:pPr>
      <w:r>
        <w:rPr>
          <w:rFonts w:ascii="Arial" w:cs="Arial" w:eastAsia="Arial" w:hAnsi="Arial"/>
          <w:b/>
          <w:bCs/>
          <w:color w:val="1B2A4A"/>
          <w:sz w:val="24"/>
          <w:szCs w:val="24"/>
        </w:rPr>
        <w:t xml:space="preserve">9.1 Mandatory Page Structure (in order)</w:t>
      </w:r>
    </w:p>
    <w:p>
      <w:pPr>
        <w:pStyle w:val="ListParagraph"/>
        <w:numPr>
          <w:ilvl w:val="0"/>
          <w:numId w:val="2"/>
        </w:numPr>
        <w:spacing w:after="50" w:before="50"/>
      </w:pPr>
      <w:r>
        <w:rPr>
          <w:rFonts w:ascii="Arial" w:cs="Arial" w:eastAsia="Arial" w:hAnsi="Arial"/>
          <w:sz w:val="22"/>
          <w:szCs w:val="22"/>
        </w:rPr>
        <w:t xml:space="preserve">Cover metadata table</w:t>
      </w:r>
    </w:p>
    <w:p>
      <w:pPr>
        <w:pStyle w:val="ListParagraph"/>
        <w:numPr>
          <w:ilvl w:val="0"/>
          <w:numId w:val="2"/>
        </w:numPr>
        <w:spacing w:after="50" w:before="50"/>
      </w:pPr>
      <w:r>
        <w:rPr>
          <w:rFonts w:ascii="Arial" w:cs="Arial" w:eastAsia="Arial" w:hAnsi="Arial"/>
          <w:sz w:val="22"/>
          <w:szCs w:val="22"/>
        </w:rPr>
        <w:t xml:space="preserve">Classification and NOTICE block</w:t>
      </w:r>
    </w:p>
    <w:p>
      <w:pPr>
        <w:pStyle w:val="ListParagraph"/>
        <w:numPr>
          <w:ilvl w:val="0"/>
          <w:numId w:val="2"/>
        </w:numPr>
        <w:spacing w:after="50" w:before="50"/>
      </w:pPr>
      <w:r>
        <w:rPr>
          <w:rFonts w:ascii="Arial" w:cs="Arial" w:eastAsia="Arial" w:hAnsi="Arial"/>
          <w:sz w:val="22"/>
          <w:szCs w:val="22"/>
        </w:rPr>
        <w:t xml:space="preserve">Methodological note (scenario premise, confidence lexicon, documented/modeled boundary convention)</w:t>
      </w:r>
    </w:p>
    <w:p>
      <w:pPr>
        <w:pStyle w:val="ListParagraph"/>
        <w:numPr>
          <w:ilvl w:val="0"/>
          <w:numId w:val="2"/>
        </w:numPr>
        <w:spacing w:after="50" w:before="50"/>
      </w:pPr>
      <w:r>
        <w:rPr>
          <w:rFonts w:ascii="Arial" w:cs="Arial" w:eastAsia="Arial" w:hAnsi="Arial"/>
          <w:sz w:val="22"/>
          <w:szCs w:val="22"/>
        </w:rPr>
        <w:t xml:space="preserve">Key Judgments (3–7 numbered declarative sentences with probability and confidence labels)</w:t>
      </w:r>
    </w:p>
    <w:p>
      <w:pPr>
        <w:pStyle w:val="ListParagraph"/>
        <w:numPr>
          <w:ilvl w:val="0"/>
          <w:numId w:val="2"/>
        </w:numPr>
        <w:spacing w:after="50" w:before="50"/>
      </w:pPr>
      <w:r>
        <w:rPr>
          <w:rFonts w:ascii="Arial" w:cs="Arial" w:eastAsia="Arial" w:hAnsi="Arial"/>
          <w:sz w:val="22"/>
          <w:szCs w:val="22"/>
        </w:rPr>
        <w:t xml:space="preserve">Numbered Parts with decimal-numbered sections</w:t>
      </w:r>
    </w:p>
    <w:p>
      <w:pPr>
        <w:pStyle w:val="ListParagraph"/>
        <w:numPr>
          <w:ilvl w:val="0"/>
          <w:numId w:val="2"/>
        </w:numPr>
        <w:spacing w:after="50" w:before="50"/>
      </w:pPr>
      <w:r>
        <w:rPr>
          <w:rFonts w:ascii="Arial" w:cs="Arial" w:eastAsia="Arial" w:hAnsi="Arial"/>
          <w:sz w:val="22"/>
          <w:szCs w:val="22"/>
        </w:rPr>
        <w:t xml:space="preserve">Sources and reference basis (tiered)</w:t>
      </w:r>
    </w:p>
    <w:p>
      <w:pPr>
        <w:pStyle w:val="ListParagraph"/>
        <w:numPr>
          <w:ilvl w:val="0"/>
          <w:numId w:val="2"/>
        </w:numPr>
        <w:spacing w:after="50" w:before="50"/>
      </w:pPr>
      <w:r>
        <w:rPr>
          <w:rFonts w:ascii="Arial" w:cs="Arial" w:eastAsia="Arial" w:hAnsi="Arial"/>
          <w:sz w:val="22"/>
          <w:szCs w:val="22"/>
        </w:rPr>
        <w:t xml:space="preserve">Footnotes</w:t>
      </w:r>
    </w:p>
    <w:p>
      <w:pPr>
        <w:pStyle w:val="ListParagraph"/>
        <w:numPr>
          <w:ilvl w:val="0"/>
          <w:numId w:val="2"/>
        </w:numPr>
        <w:spacing w:after="50" w:before="50"/>
      </w:pPr>
      <w:r>
        <w:rPr>
          <w:rFonts w:ascii="Arial" w:cs="Arial" w:eastAsia="Arial" w:hAnsi="Arial"/>
          <w:sz w:val="22"/>
          <w:szCs w:val="22"/>
        </w:rPr>
        <w:t xml:space="preserve">End of document line</w:t>
      </w:r>
    </w:p>
    <w:p>
      <w:pPr>
        <w:spacing w:before="80"/>
      </w:pPr>
    </w:p>
    <w:p>
      <w:pPr>
        <w:pStyle w:val="Heading2"/>
        <w:spacing w:after="100" w:before="320"/>
      </w:pPr>
      <w:r>
        <w:rPr>
          <w:rFonts w:ascii="Arial" w:cs="Arial" w:eastAsia="Arial" w:hAnsi="Arial"/>
          <w:b/>
          <w:bCs/>
          <w:color w:val="1B2A4A"/>
          <w:sz w:val="24"/>
          <w:szCs w:val="24"/>
        </w:rPr>
        <w:t xml:space="preserve">9.2 Key Judgments: Mandatory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2A4A" w:sz="16"/>
              <w:bottom w:val="none" w:color="FFFFFF" w:sz="0"/>
              <w:right w:val="none" w:color="FFFFFF" w:sz="0"/>
            </w:tcBorders>
            <w:shd w:fill="E8EDF5" w:val="clear"/>
            <w:tcMar>
              <w:top w:type="dxa" w:w="120"/>
              <w:left w:type="dxa" w:w="280"/>
              <w:bottom w:type="dxa" w:w="120"/>
              <w:right w:type="dxa" w:w="160"/>
            </w:tcMar>
          </w:tcPr>
          <w:p>
            <w:pPr>
              <w:spacing w:after="80" w:before="0"/>
            </w:pPr>
            <w:r>
              <w:rPr>
                <w:rFonts w:ascii="Arial" w:cs="Arial" w:eastAsia="Arial" w:hAnsi="Arial"/>
                <w:b/>
                <w:bCs/>
                <w:caps/>
                <w:color w:val="1B2A4A"/>
                <w:sz w:val="20"/>
                <w:szCs w:val="20"/>
              </w:rPr>
              <w:t xml:space="preserve">KEY JUDGMENTS FORMAT</w:t>
            </w:r>
          </w:p>
          <w:p>
            <w:pPr>
              <w:spacing w:after="60" w:before="0"/>
            </w:pPr>
            <w:r>
              <w:rPr>
                <w:rFonts w:ascii="Arial" w:cs="Arial" w:eastAsia="Arial" w:hAnsi="Arial"/>
                <w:sz w:val="20"/>
                <w:szCs w:val="20"/>
              </w:rPr>
              <w:t xml:space="preserve">•  3 to 7 judgments per paper.</w:t>
            </w:r>
          </w:p>
          <w:p>
            <w:pPr>
              <w:spacing w:after="60" w:before="0"/>
            </w:pPr>
            <w:r>
              <w:rPr>
                <w:rFonts w:ascii="Arial" w:cs="Arial" w:eastAsia="Arial" w:hAnsi="Arial"/>
                <w:sz w:val="20"/>
                <w:szCs w:val="20"/>
              </w:rPr>
              <w:t xml:space="preserve">•  Each judgment is one declarative sentence. No subordinate clauses introducing new analytical content.</w:t>
            </w:r>
          </w:p>
          <w:p>
            <w:pPr>
              <w:spacing w:after="60" w:before="0"/>
            </w:pPr>
            <w:r>
              <w:rPr>
                <w:rFonts w:ascii="Arial" w:cs="Arial" w:eastAsia="Arial" w:hAnsi="Arial"/>
                <w:sz w:val="20"/>
                <w:szCs w:val="20"/>
              </w:rPr>
              <w:t xml:space="preserve">•  Each judgment carries both a probability word (likely, very likely, almost certainly) AND a confidence tag (MODERATE CONFIDENCE, HIGH CONFIDENCE, etc.).</w:t>
            </w:r>
          </w:p>
          <w:p>
            <w:pPr>
              <w:spacing w:after="60" w:before="0"/>
            </w:pPr>
            <w:r>
              <w:rPr>
                <w:rFonts w:ascii="Arial" w:cs="Arial" w:eastAsia="Arial" w:hAnsi="Arial"/>
                <w:sz w:val="20"/>
                <w:szCs w:val="20"/>
              </w:rPr>
              <w:t xml:space="preserve">•  Judgments are numbered. The number signals priority ordering.</w:t>
            </w:r>
          </w:p>
          <w:p>
            <w:pPr>
              <w:spacing w:after="0" w:before="0"/>
            </w:pPr>
            <w:r>
              <w:rPr>
                <w:rFonts w:ascii="Arial" w:cs="Arial" w:eastAsia="Arial" w:hAnsi="Arial"/>
                <w:sz w:val="20"/>
                <w:szCs w:val="20"/>
              </w:rPr>
              <w:t xml:space="preserve">•  SCENARIO-CONDITIONED judgments carry that label in addition to their confidence level.</w:t>
            </w:r>
          </w:p>
        </w:tc>
      </w:tr>
    </w:tbl>
    <w:p>
      <w:pPr>
        <w:spacing w:before="80"/>
      </w:pPr>
    </w:p>
    <w:p>
      <w:pPr>
        <w:spacing w:after="100" w:before="80"/>
      </w:pPr>
      <w:r>
        <w:rPr>
          <w:rFonts w:ascii="Arial" w:cs="Arial" w:eastAsia="Arial" w:hAnsi="Arial"/>
          <w:color w:val="000000"/>
          <w:sz w:val="22"/>
          <w:szCs w:val="22"/>
        </w:rPr>
        <w:t xml:space="preserve">Example Key Judgment block format:</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B2A4A"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1</w:t>
            </w:r>
          </w:p>
        </w:tc>
        <w:tc>
          <w:tcPr>
            <w:tcW w:type="dxa" w:w="8800"/>
            <w:tcBorders>
              <w:top w:val="none" w:color="FFFFFF" w:sz="0"/>
              <w:left w:val="none" w:color="FFFFFF" w:sz="0"/>
              <w:bottom w:val="none" w:color="FFFFFF" w:sz="0"/>
              <w:right w:val="none" w:color="FFFFFF" w:sz="0"/>
            </w:tcBorders>
            <w:shd w:fill="E8EDF5" w:val="clear"/>
            <w:tcMar>
              <w:top w:type="dxa" w:w="100"/>
              <w:left w:type="dxa" w:w="200"/>
              <w:bottom w:type="dxa" w:w="100"/>
              <w:right w:type="dxa" w:w="160"/>
            </w:tcMar>
          </w:tcPr>
          <w:p>
            <w:pPr>
              <w:spacing w:after="60" w:before="0"/>
            </w:pPr>
            <w:r>
              <w:rPr>
                <w:rFonts w:ascii="Arial" w:cs="Arial" w:eastAsia="Arial" w:hAnsi="Arial"/>
                <w:b/>
                <w:bCs/>
                <w:caps/>
                <w:color w:val="8B6914"/>
                <w:sz w:val="18"/>
                <w:szCs w:val="18"/>
              </w:rPr>
              <w:t xml:space="preserve">Moderate Confidence · Scenario-Conditioned</w:t>
            </w:r>
          </w:p>
          <w:p>
            <w:r>
              <w:rPr>
                <w:rFonts w:ascii="Arial" w:cs="Arial" w:eastAsia="Arial" w:hAnsi="Arial"/>
                <w:color w:val="000000"/>
                <w:sz w:val="22"/>
                <w:szCs w:val="22"/>
              </w:rPr>
              <w:t xml:space="preserve">The March 2026 Hormuz crisis is assessed with moderate confidence to have opened a five-to-ten year window during which a US-led coalition can likely convert corridor control into durable structural advantage over China and Russia through concurrent execution of the four components analyzed in this paper.</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B2A4A" w:val="clear"/>
            <w:tcMar>
              <w:top w:type="dxa" w:w="100"/>
              <w:left w:type="dxa" w:w="100"/>
              <w:bottom w:type="dxa" w:w="100"/>
              <w:right w:type="dxa" w:w="100"/>
            </w:tcMar>
          </w:tcPr>
          <w:p>
            <w:pPr>
              <w:jc w:val="center"/>
            </w:pPr>
            <w:r>
              <w:rPr>
                <w:rFonts w:ascii="Arial" w:cs="Arial" w:eastAsia="Arial" w:hAnsi="Arial"/>
                <w:b/>
                <w:bCs/>
                <w:color w:val="FFFFFF"/>
                <w:sz w:val="28"/>
                <w:szCs w:val="28"/>
              </w:rPr>
              <w:t xml:space="preserve">2</w:t>
            </w:r>
          </w:p>
        </w:tc>
        <w:tc>
          <w:tcPr>
            <w:tcW w:type="dxa" w:w="8800"/>
            <w:tcBorders>
              <w:top w:val="none" w:color="FFFFFF" w:sz="0"/>
              <w:left w:val="none" w:color="FFFFFF" w:sz="0"/>
              <w:bottom w:val="none" w:color="FFFFFF" w:sz="0"/>
              <w:right w:val="none" w:color="FFFFFF" w:sz="0"/>
            </w:tcBorders>
            <w:shd w:fill="E8EDF5" w:val="clear"/>
            <w:tcMar>
              <w:top w:type="dxa" w:w="100"/>
              <w:left w:type="dxa" w:w="200"/>
              <w:bottom w:type="dxa" w:w="100"/>
              <w:right w:type="dxa" w:w="160"/>
            </w:tcMar>
          </w:tcPr>
          <w:p>
            <w:pPr>
              <w:spacing w:after="60" w:before="0"/>
            </w:pPr>
            <w:r>
              <w:rPr>
                <w:rFonts w:ascii="Arial" w:cs="Arial" w:eastAsia="Arial" w:hAnsi="Arial"/>
                <w:b/>
                <w:bCs/>
                <w:caps/>
                <w:color w:val="8B6914"/>
                <w:sz w:val="18"/>
                <w:szCs w:val="18"/>
              </w:rPr>
              <w:t xml:space="preserve">Moderate Confidence · Analytically Inferred</w:t>
            </w:r>
          </w:p>
          <w:p>
            <w:r>
              <w:rPr>
                <w:rFonts w:ascii="Arial" w:cs="Arial" w:eastAsia="Arial" w:hAnsi="Arial"/>
                <w:color w:val="000000"/>
                <w:sz w:val="22"/>
                <w:szCs w:val="22"/>
              </w:rPr>
              <w:t xml:space="preserve">China's Hormuz vulnerability is very likely declining structurally as electrification reduces fossil fuel's share of total energy consumption; the leverage window is assessed with moderate confidence to require institutional lock-in within the stated timeline before that structural shift reduces the coercive utility of corridor control.</w:t>
            </w:r>
          </w:p>
        </w:tc>
      </w:tr>
    </w:tbl>
    <w:p>
      <w:pPr>
        <w:spacing w:before="100"/>
      </w:pPr>
    </w:p>
    <w:p>
      <w:pPr>
        <w:pStyle w:val="Heading2"/>
        <w:spacing w:after="100" w:before="320"/>
      </w:pPr>
      <w:r>
        <w:rPr>
          <w:rFonts w:ascii="Arial" w:cs="Arial" w:eastAsia="Arial" w:hAnsi="Arial"/>
          <w:b/>
          <w:bCs/>
          <w:color w:val="1B2A4A"/>
          <w:sz w:val="24"/>
          <w:szCs w:val="24"/>
        </w:rPr>
        <w:t xml:space="preserve">9.3 Section Header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PROHIBITED — Argumentative</w:t>
            </w:r>
          </w:p>
        </w:tc>
        <w:tc>
          <w:tcPr>
            <w:tcW w:type="dxa" w:w="468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CORRECT — Descriptive / Functional</w:t>
            </w:r>
          </w:p>
        </w:tc>
      </w:tr>
      <w:tr>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Why This Crisis Is About More Than Iran</w:t>
            </w:r>
          </w:p>
        </w:tc>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Strategic Context and Assessment Scope</w:t>
            </w:r>
          </w:p>
        </w:tc>
      </w:tr>
      <w:tr>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The Corridor Architecture That Was Supposed to Be Permanent</w:t>
            </w:r>
          </w:p>
        </w:tc>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Pre-Crisis China-Russia Economic Architecture</w:t>
            </w:r>
          </w:p>
        </w:tc>
      </w:tr>
      <w:tr>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How the US and Partners Gain While Russia and China Lose</w:t>
            </w:r>
          </w:p>
        </w:tc>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Positive-Sum Coalition Architecture: Component Analysis</w:t>
            </w:r>
          </w:p>
        </w:tc>
      </w:tr>
      <w:tr>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India — The Swing Variable</w:t>
            </w:r>
          </w:p>
        </w:tc>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India: Strategic Posture and Coalition Design Implications</w:t>
            </w:r>
          </w:p>
        </w:tc>
      </w:tr>
      <w:tr>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The Honest Limits</w:t>
            </w:r>
          </w:p>
        </w:tc>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Structural Constraints and Confidence Boundaries</w:t>
            </w:r>
          </w:p>
        </w:tc>
      </w:tr>
      <w:tr>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What They're Really Doing</w:t>
            </w:r>
          </w:p>
        </w:tc>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Observed / Officially Reported</w:t>
            </w:r>
          </w:p>
        </w:tc>
      </w:tr>
      <w:tr>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How Dangerous They Really Are</w:t>
            </w:r>
          </w:p>
        </w:tc>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Strategic Significance</w:t>
            </w:r>
          </w:p>
        </w:tc>
      </w:tr>
      <w:tr>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What Must Be Done</w:t>
            </w:r>
          </w:p>
        </w:tc>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Implications for U.S. and Allied Policy</w:t>
            </w:r>
          </w:p>
        </w:tc>
      </w:tr>
    </w:tbl>
    <w:p>
      <w:pPr>
        <w:spacing w:before="80"/>
      </w:pPr>
    </w:p>
    <w:p>
      <w:pPr>
        <w:pStyle w:val="Heading2"/>
        <w:spacing w:after="100" w:before="320"/>
      </w:pPr>
      <w:r>
        <w:rPr>
          <w:rFonts w:ascii="Arial" w:cs="Arial" w:eastAsia="Arial" w:hAnsi="Arial"/>
          <w:b/>
          <w:bCs/>
          <w:color w:val="1B2A4A"/>
          <w:sz w:val="24"/>
          <w:szCs w:val="24"/>
        </w:rPr>
        <w:t xml:space="preserve">9.4 Preferred Section Labels for Assessment Papers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 — Institutional, Analytic</w:t>
            </w:r>
          </w:p>
        </w:tc>
        <w:tc>
          <w:tcPr>
            <w:tcW w:type="dxa" w:w="468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AVOID — Rhetorical</w:t>
            </w:r>
          </w:p>
        </w:tc>
      </w:tr>
      <w:tr>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Observed / Officially Reported</w:t>
            </w:r>
          </w:p>
        </w:tc>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What They're Really Doing</w:t>
            </w:r>
          </w:p>
        </w:tc>
      </w:tr>
      <w:tr>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Assessment</w:t>
            </w:r>
          </w:p>
        </w:tc>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The Truth</w:t>
            </w:r>
          </w:p>
        </w:tc>
      </w:tr>
      <w:tr>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Strategic Significance</w:t>
            </w:r>
          </w:p>
        </w:tc>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How Dangerous They Really Are</w:t>
            </w:r>
          </w:p>
        </w:tc>
      </w:tr>
      <w:tr>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Unknowns / Intelligence Gaps</w:t>
            </w:r>
          </w:p>
        </w:tc>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Hidden Program</w:t>
            </w:r>
          </w:p>
        </w:tc>
      </w:tr>
      <w:tr>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Implications for U.S. and Allied Policy</w:t>
            </w:r>
          </w:p>
        </w:tc>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What Must Be Done</w:t>
            </w:r>
          </w:p>
        </w:tc>
      </w:tr>
      <w:tr>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Limitations of the Public Record</w:t>
            </w:r>
          </w:p>
        </w:tc>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(No rhetorical counterpart — always include this section)</w:t>
            </w:r>
          </w:p>
        </w:tc>
      </w:tr>
      <w:tr>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Analytic Confidence and Evidentiary Basis</w:t>
            </w:r>
          </w:p>
        </w:tc>
        <w:tc>
          <w:tcPr>
            <w:tcW w:type="dxa" w:w="468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How Sure We Are</w:t>
            </w:r>
          </w:p>
        </w:tc>
      </w:tr>
      <w:tr>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Scenario Premise and Scope</w:t>
            </w:r>
          </w:p>
        </w:tc>
        <w:tc>
          <w:tcPr>
            <w:tcW w:type="dxa" w:w="468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What We're Assuming</w:t>
            </w:r>
          </w:p>
        </w:tc>
      </w:tr>
    </w:tbl>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10. Visual Design System</w:t>
      </w:r>
    </w:p>
    <w:p>
      <w:pPr>
        <w:spacing w:after="100" w:before="80"/>
      </w:pPr>
      <w:r>
        <w:rPr>
          <w:rFonts w:ascii="Arial" w:cs="Arial" w:eastAsia="Arial" w:hAnsi="Arial"/>
          <w:color w:val="000000"/>
          <w:sz w:val="22"/>
          <w:szCs w:val="22"/>
        </w:rPr>
        <w:t xml:space="preserve">Restraint is the design principle. Navy does the structural work. Everything else is neutral. No decorative color. No gradient. The document looks like a serious institution produced it because serious institutions do not decorate their analytical products.</w:t>
      </w:r>
    </w:p>
    <w:p>
      <w:pPr>
        <w:spacing w:before="80"/>
      </w:pPr>
    </w:p>
    <w:p>
      <w:pPr>
        <w:pStyle w:val="Heading2"/>
        <w:spacing w:after="100" w:before="320"/>
      </w:pPr>
      <w:r>
        <w:rPr>
          <w:rFonts w:ascii="Arial" w:cs="Arial" w:eastAsia="Arial" w:hAnsi="Arial"/>
          <w:b/>
          <w:bCs/>
          <w:color w:val="1B2A4A"/>
          <w:sz w:val="24"/>
          <w:szCs w:val="24"/>
        </w:rPr>
        <w:t xml:space="preserve">10.1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600"/>
        <w:gridCol w:w="5160"/>
      </w:tblGrid>
      <w:tr>
        <w:trPr>
          <w:tblHeader/>
        </w:trPr>
        <w:tc>
          <w:tcPr>
            <w:tcW w:type="dxa" w:w="14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2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16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16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14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Primary</w:t>
            </w:r>
          </w:p>
        </w:tc>
        <w:tc>
          <w:tcPr>
            <w:tcW w:type="dxa" w:w="12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1B2A4A</w:t>
            </w:r>
          </w:p>
        </w:tc>
        <w:tc>
          <w:tcPr>
            <w:tcW w:type="dxa" w:w="16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Deep Navy</w:t>
            </w:r>
          </w:p>
        </w:tc>
        <w:tc>
          <w:tcPr>
            <w:tcW w:type="dxa" w:w="51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All headings, table header fills, cover elements, divider lines, KJ number blocks</w:t>
            </w:r>
          </w:p>
        </w:tc>
      </w:tr>
      <w:tr>
        <w:tc>
          <w:tcPr>
            <w:tcW w:type="dxa" w:w="14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Secondary</w:t>
            </w:r>
          </w:p>
        </w:tc>
        <w:tc>
          <w:tcPr>
            <w:tcW w:type="dxa" w:w="12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2E4172</w:t>
            </w:r>
          </w:p>
        </w:tc>
        <w:tc>
          <w:tcPr>
            <w:tcW w:type="dxa" w:w="16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Navy Mid</w:t>
            </w:r>
          </w:p>
        </w:tc>
        <w:tc>
          <w:tcPr>
            <w:tcW w:type="dxa" w:w="51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Box label secondary accent — use sparingly</w:t>
            </w:r>
          </w:p>
        </w:tc>
      </w:tr>
      <w:tr>
        <w:tc>
          <w:tcPr>
            <w:tcW w:type="dxa" w:w="14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Body Secondary</w:t>
            </w:r>
          </w:p>
        </w:tc>
        <w:tc>
          <w:tcPr>
            <w:tcW w:type="dxa" w:w="12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4A5568</w:t>
            </w:r>
          </w:p>
        </w:tc>
        <w:tc>
          <w:tcPr>
            <w:tcW w:type="dxa" w:w="16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Slate Gray</w:t>
            </w:r>
          </w:p>
        </w:tc>
        <w:tc>
          <w:tcPr>
            <w:tcW w:type="dxa" w:w="51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Footnote text, captions, header/footer, secondary labels</w:t>
            </w:r>
          </w:p>
        </w:tc>
      </w:tr>
      <w:tr>
        <w:tc>
          <w:tcPr>
            <w:tcW w:type="dxa" w:w="14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Accent</w:t>
            </w:r>
          </w:p>
        </w:tc>
        <w:tc>
          <w:tcPr>
            <w:tcW w:type="dxa" w:w="12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8B6914</w:t>
            </w:r>
          </w:p>
        </w:tc>
        <w:tc>
          <w:tcPr>
            <w:tcW w:type="dxa" w:w="16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Antique Gold</w:t>
            </w:r>
          </w:p>
        </w:tc>
        <w:tc>
          <w:tcPr>
            <w:tcW w:type="dxa" w:w="51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Confidence labels in KJ blocks ONLY — nowhere else</w:t>
            </w:r>
          </w:p>
        </w:tc>
      </w:tr>
      <w:tr>
        <w:tc>
          <w:tcPr>
            <w:tcW w:type="dxa" w:w="14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Table Alt Row</w:t>
            </w:r>
          </w:p>
        </w:tc>
        <w:tc>
          <w:tcPr>
            <w:tcW w:type="dxa" w:w="12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E8EDF5</w:t>
            </w:r>
          </w:p>
        </w:tc>
        <w:tc>
          <w:tcPr>
            <w:tcW w:type="dxa" w:w="16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Light Navy</w:t>
            </w:r>
          </w:p>
        </w:tc>
        <w:tc>
          <w:tcPr>
            <w:tcW w:type="dxa" w:w="51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Alternating table rows, accent box fills, KJ background</w:t>
            </w:r>
          </w:p>
        </w:tc>
      </w:tr>
      <w:tr>
        <w:tc>
          <w:tcPr>
            <w:tcW w:type="dxa" w:w="14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Page Warm</w:t>
            </w:r>
          </w:p>
        </w:tc>
        <w:tc>
          <w:tcPr>
            <w:tcW w:type="dxa" w:w="12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FAFAFA</w:t>
            </w:r>
          </w:p>
        </w:tc>
        <w:tc>
          <w:tcPr>
            <w:tcW w:type="dxa" w:w="16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Warm White</w:t>
            </w:r>
          </w:p>
        </w:tc>
        <w:tc>
          <w:tcPr>
            <w:tcW w:type="dxa" w:w="51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Alternating table rows (light), default page background</w:t>
            </w:r>
          </w:p>
        </w:tc>
      </w:tr>
      <w:tr>
        <w:tc>
          <w:tcPr>
            <w:tcW w:type="dxa" w:w="14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Warning Fill</w:t>
            </w:r>
          </w:p>
        </w:tc>
        <w:tc>
          <w:tcPr>
            <w:tcW w:type="dxa" w:w="12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FEF3E2</w:t>
            </w:r>
          </w:p>
        </w:tc>
        <w:tc>
          <w:tcPr>
            <w:tcW w:type="dxa" w:w="16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Amber Warm</w:t>
            </w:r>
          </w:p>
        </w:tc>
        <w:tc>
          <w:tcPr>
            <w:tcW w:type="dxa" w:w="51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Implementation Friction boxes, caveat boxes, Limits step in 3-part structure</w:t>
            </w:r>
          </w:p>
        </w:tc>
      </w:tr>
      <w:tr>
        <w:tc>
          <w:tcPr>
            <w:tcW w:type="dxa" w:w="14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Confirmed Fill</w:t>
            </w:r>
          </w:p>
        </w:tc>
        <w:tc>
          <w:tcPr>
            <w:tcW w:type="dxa" w:w="12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EAF4EC</w:t>
            </w:r>
          </w:p>
        </w:tc>
        <w:tc>
          <w:tcPr>
            <w:tcW w:type="dxa" w:w="16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Sage Green</w:t>
            </w:r>
          </w:p>
        </w:tc>
        <w:tc>
          <w:tcPr>
            <w:tcW w:type="dxa" w:w="51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Documented Structural Constraint boxes only</w:t>
            </w:r>
          </w:p>
        </w:tc>
      </w:tr>
      <w:tr>
        <w:tc>
          <w:tcPr>
            <w:tcW w:type="dxa" w:w="14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Prohibited Fill</w:t>
            </w:r>
          </w:p>
        </w:tc>
        <w:tc>
          <w:tcPr>
            <w:tcW w:type="dxa" w:w="12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FDECEC</w:t>
            </w:r>
          </w:p>
        </w:tc>
        <w:tc>
          <w:tcPr>
            <w:tcW w:type="dxa" w:w="16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Muted Red</w:t>
            </w:r>
          </w:p>
        </w:tc>
        <w:tc>
          <w:tcPr>
            <w:tcW w:type="dxa" w:w="51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Prohibited language tables, critical failure indicators</w:t>
            </w:r>
          </w:p>
        </w:tc>
      </w:tr>
    </w:tbl>
    <w:p>
      <w:pPr>
        <w:spacing w:before="80"/>
      </w:pPr>
    </w:p>
    <w:p>
      <w:pPr>
        <w:pStyle w:val="Heading2"/>
        <w:spacing w:after="100" w:before="320"/>
      </w:pPr>
      <w:r>
        <w:rPr>
          <w:rFonts w:ascii="Arial" w:cs="Arial" w:eastAsia="Arial" w:hAnsi="Arial"/>
          <w:b/>
          <w:bCs/>
          <w:color w:val="1B2A4A"/>
          <w:sz w:val="24"/>
          <w:szCs w:val="24"/>
        </w:rPr>
        <w:t xml:space="preserve">10.2 Box Types and Left-Border Convention</w:t>
      </w:r>
    </w:p>
    <w:p>
      <w:pPr>
        <w:spacing w:after="100" w:before="80"/>
      </w:pPr>
      <w:r>
        <w:rPr>
          <w:rFonts w:ascii="Arial" w:cs="Arial" w:eastAsia="Arial" w:hAnsi="Arial"/>
          <w:color w:val="000000"/>
          <w:sz w:val="22"/>
          <w:szCs w:val="22"/>
        </w:rPr>
        <w:t xml:space="preserve">All analytical boxes use a left-border accent only — no full border frame. This signals a labeled analytical insert without the visual weight of a full box. Full-border tables are reserved for data tables only.</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rPr>
          <w:tblHeader/>
        </w:trPr>
        <w:tc>
          <w:tcPr>
            <w:tcW w:type="dxa" w:w="20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BOX TYPE</w:t>
            </w:r>
          </w:p>
        </w:tc>
        <w:tc>
          <w:tcPr>
            <w:tcW w:type="dxa" w:w="22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LEFT BORDER COLOR</w:t>
            </w:r>
          </w:p>
        </w:tc>
        <w:tc>
          <w:tcPr>
            <w:tcW w:type="dxa" w:w="22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FILL</w:t>
            </w:r>
          </w:p>
        </w:tc>
        <w:tc>
          <w:tcPr>
            <w:tcW w:type="dxa" w:w="296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 FOR</w:t>
            </w:r>
          </w:p>
        </w:tc>
      </w:tr>
      <w:tr>
        <w:tc>
          <w:tcPr>
            <w:tcW w:type="dxa" w:w="20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Accent Box (default)</w:t>
            </w:r>
          </w:p>
        </w:tc>
        <w:tc>
          <w:tcPr>
            <w:tcW w:type="dxa" w:w="22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Deep Navy 1B2A4A</w:t>
            </w:r>
          </w:p>
        </w:tc>
        <w:tc>
          <w:tcPr>
            <w:tcW w:type="dxa" w:w="22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Light Navy E8EDF5</w:t>
            </w:r>
          </w:p>
        </w:tc>
        <w:tc>
          <w:tcPr>
            <w:tcW w:type="dxa" w:w="29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Key Judgments, Scenario Premise, Analytic Posture, Core Judgment, Series Position, Principle statements</w:t>
            </w:r>
          </w:p>
        </w:tc>
      </w:tr>
      <w:tr>
        <w:tc>
          <w:tcPr>
            <w:tcW w:type="dxa" w:w="20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Warm Box</w:t>
            </w:r>
          </w:p>
        </w:tc>
        <w:tc>
          <w:tcPr>
            <w:tcW w:type="dxa" w:w="22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Amber 7A4000</w:t>
            </w:r>
          </w:p>
        </w:tc>
        <w:tc>
          <w:tcPr>
            <w:tcW w:type="dxa" w:w="22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Amber Warm FEF3E2</w:t>
            </w:r>
          </w:p>
        </w:tc>
        <w:tc>
          <w:tcPr>
            <w:tcW w:type="dxa" w:w="29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Implementation Friction, caveat, political constraint, execution risk, Limits step</w:t>
            </w:r>
          </w:p>
        </w:tc>
      </w:tr>
      <w:tr>
        <w:tc>
          <w:tcPr>
            <w:tcW w:type="dxa" w:w="20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Green Box</w:t>
            </w:r>
          </w:p>
        </w:tc>
        <w:tc>
          <w:tcPr>
            <w:tcW w:type="dxa" w:w="22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Dark Green 1A5C2E</w:t>
            </w:r>
          </w:p>
        </w:tc>
        <w:tc>
          <w:tcPr>
            <w:tcW w:type="dxa" w:w="22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Sage Green EAF4EC</w:t>
            </w:r>
          </w:p>
        </w:tc>
        <w:tc>
          <w:tcPr>
            <w:tcW w:type="dxa" w:w="29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Documented Structural Constraint — empirical anchor, NOT scenario-conditioned</w:t>
            </w:r>
          </w:p>
        </w:tc>
      </w:tr>
      <w:tr>
        <w:tc>
          <w:tcPr>
            <w:tcW w:type="dxa" w:w="20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Notice Box</w:t>
            </w:r>
          </w:p>
        </w:tc>
        <w:tc>
          <w:tcPr>
            <w:tcW w:type="dxa" w:w="22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Amber 7A4000</w:t>
            </w:r>
          </w:p>
        </w:tc>
        <w:tc>
          <w:tcPr>
            <w:tcW w:type="dxa" w:w="22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Amber Warm FEF3E2</w:t>
            </w:r>
          </w:p>
        </w:tc>
        <w:tc>
          <w:tcPr>
            <w:tcW w:type="dxa" w:w="29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Document-level notice block — cover page only</w:t>
            </w:r>
          </w:p>
        </w:tc>
      </w:tr>
    </w:tbl>
    <w:p>
      <w:pPr>
        <w:spacing w:before="80"/>
      </w:pPr>
    </w:p>
    <w:p>
      <w:pPr>
        <w:pStyle w:val="Heading2"/>
        <w:spacing w:after="100" w:before="320"/>
      </w:pPr>
      <w:r>
        <w:rPr>
          <w:rFonts w:ascii="Arial" w:cs="Arial" w:eastAsia="Arial" w:hAnsi="Arial"/>
          <w:b/>
          <w:bCs/>
          <w:color w:val="1B2A4A"/>
          <w:sz w:val="24"/>
          <w:szCs w:val="24"/>
        </w:rPr>
        <w:t xml:space="preserve">10.3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100"/>
        <w:gridCol w:w="1400"/>
        <w:gridCol w:w="3060"/>
      </w:tblGrid>
      <w:tr>
        <w:trPr>
          <w:tblHeader/>
        </w:trPr>
        <w:tc>
          <w:tcPr>
            <w:tcW w:type="dxa" w:w="26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12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1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SIZE (pt)</w:t>
            </w:r>
          </w:p>
        </w:tc>
        <w:tc>
          <w:tcPr>
            <w:tcW w:type="dxa" w:w="14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06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COLOR</w:t>
            </w:r>
          </w:p>
        </w:tc>
      </w:tr>
      <w:tr>
        <w:tc>
          <w:tcPr>
            <w:tcW w:type="dxa" w:w="26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Body text</w:t>
            </w:r>
          </w:p>
        </w:tc>
        <w:tc>
          <w:tcPr>
            <w:tcW w:type="dxa" w:w="12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Arial</w:t>
            </w:r>
          </w:p>
        </w:tc>
        <w:tc>
          <w:tcPr>
            <w:tcW w:type="dxa" w:w="11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11</w:t>
            </w:r>
          </w:p>
        </w:tc>
        <w:tc>
          <w:tcPr>
            <w:tcW w:type="dxa" w:w="14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Regular</w:t>
            </w:r>
          </w:p>
        </w:tc>
        <w:tc>
          <w:tcPr>
            <w:tcW w:type="dxa" w:w="30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Black #000000</w:t>
            </w:r>
          </w:p>
        </w:tc>
      </w:tr>
      <w:tr>
        <w:tc>
          <w:tcPr>
            <w:tcW w:type="dxa" w:w="26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H1 Part heading</w:t>
            </w:r>
          </w:p>
        </w:tc>
        <w:tc>
          <w:tcPr>
            <w:tcW w:type="dxa" w:w="12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Arial</w:t>
            </w:r>
          </w:p>
        </w:tc>
        <w:tc>
          <w:tcPr>
            <w:tcW w:type="dxa" w:w="11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15</w:t>
            </w:r>
          </w:p>
        </w:tc>
        <w:tc>
          <w:tcPr>
            <w:tcW w:type="dxa" w:w="14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Bold</w:t>
            </w:r>
          </w:p>
        </w:tc>
        <w:tc>
          <w:tcPr>
            <w:tcW w:type="dxa" w:w="30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Deep Navy 1B2A4A</w:t>
            </w:r>
          </w:p>
        </w:tc>
      </w:tr>
      <w:tr>
        <w:tc>
          <w:tcPr>
            <w:tcW w:type="dxa" w:w="26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H2 Section heading</w:t>
            </w:r>
          </w:p>
        </w:tc>
        <w:tc>
          <w:tcPr>
            <w:tcW w:type="dxa" w:w="12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Arial</w:t>
            </w:r>
          </w:p>
        </w:tc>
        <w:tc>
          <w:tcPr>
            <w:tcW w:type="dxa" w:w="11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12</w:t>
            </w:r>
          </w:p>
        </w:tc>
        <w:tc>
          <w:tcPr>
            <w:tcW w:type="dxa" w:w="14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Bold</w:t>
            </w:r>
          </w:p>
        </w:tc>
        <w:tc>
          <w:tcPr>
            <w:tcW w:type="dxa" w:w="30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Deep Navy 1B2A4A</w:t>
            </w:r>
          </w:p>
        </w:tc>
      </w:tr>
      <w:tr>
        <w:tc>
          <w:tcPr>
            <w:tcW w:type="dxa" w:w="26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H3 Subsection</w:t>
            </w:r>
          </w:p>
        </w:tc>
        <w:tc>
          <w:tcPr>
            <w:tcW w:type="dxa" w:w="12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Arial</w:t>
            </w:r>
          </w:p>
        </w:tc>
        <w:tc>
          <w:tcPr>
            <w:tcW w:type="dxa" w:w="11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11</w:t>
            </w:r>
          </w:p>
        </w:tc>
        <w:tc>
          <w:tcPr>
            <w:tcW w:type="dxa" w:w="14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Bold</w:t>
            </w:r>
          </w:p>
        </w:tc>
        <w:tc>
          <w:tcPr>
            <w:tcW w:type="dxa" w:w="30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Slate Gray 4A5568</w:t>
            </w:r>
          </w:p>
        </w:tc>
      </w:tr>
      <w:tr>
        <w:tc>
          <w:tcPr>
            <w:tcW w:type="dxa" w:w="26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Table header text</w:t>
            </w:r>
          </w:p>
        </w:tc>
        <w:tc>
          <w:tcPr>
            <w:tcW w:type="dxa" w:w="12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Arial</w:t>
            </w:r>
          </w:p>
        </w:tc>
        <w:tc>
          <w:tcPr>
            <w:tcW w:type="dxa" w:w="11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Bold</w:t>
            </w:r>
          </w:p>
        </w:tc>
        <w:tc>
          <w:tcPr>
            <w:tcW w:type="dxa" w:w="30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White on Navy fill</w:t>
            </w:r>
          </w:p>
        </w:tc>
      </w:tr>
      <w:tr>
        <w:tc>
          <w:tcPr>
            <w:tcW w:type="dxa" w:w="26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Table body text</w:t>
            </w:r>
          </w:p>
        </w:tc>
        <w:tc>
          <w:tcPr>
            <w:tcW w:type="dxa" w:w="12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Arial</w:t>
            </w:r>
          </w:p>
        </w:tc>
        <w:tc>
          <w:tcPr>
            <w:tcW w:type="dxa" w:w="11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Regular</w:t>
            </w:r>
          </w:p>
        </w:tc>
        <w:tc>
          <w:tcPr>
            <w:tcW w:type="dxa" w:w="30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Black #000000</w:t>
            </w:r>
          </w:p>
        </w:tc>
      </w:tr>
      <w:tr>
        <w:tc>
          <w:tcPr>
            <w:tcW w:type="dxa" w:w="26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Box label</w:t>
            </w:r>
          </w:p>
        </w:tc>
        <w:tc>
          <w:tcPr>
            <w:tcW w:type="dxa" w:w="12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Arial</w:t>
            </w:r>
          </w:p>
        </w:tc>
        <w:tc>
          <w:tcPr>
            <w:tcW w:type="dxa" w:w="11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Bold + AllCaps</w:t>
            </w:r>
          </w:p>
        </w:tc>
        <w:tc>
          <w:tcPr>
            <w:tcW w:type="dxa" w:w="30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Navy or contextual per box type</w:t>
            </w:r>
          </w:p>
        </w:tc>
      </w:tr>
      <w:tr>
        <w:tc>
          <w:tcPr>
            <w:tcW w:type="dxa" w:w="26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Box body text</w:t>
            </w:r>
          </w:p>
        </w:tc>
        <w:tc>
          <w:tcPr>
            <w:tcW w:type="dxa" w:w="12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Arial</w:t>
            </w:r>
          </w:p>
        </w:tc>
        <w:tc>
          <w:tcPr>
            <w:tcW w:type="dxa" w:w="11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Regular</w:t>
            </w:r>
          </w:p>
        </w:tc>
        <w:tc>
          <w:tcPr>
            <w:tcW w:type="dxa" w:w="30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Black #000000</w:t>
            </w:r>
          </w:p>
        </w:tc>
      </w:tr>
      <w:tr>
        <w:tc>
          <w:tcPr>
            <w:tcW w:type="dxa" w:w="26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Footnotes / captions</w:t>
            </w:r>
          </w:p>
        </w:tc>
        <w:tc>
          <w:tcPr>
            <w:tcW w:type="dxa" w:w="12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Arial</w:t>
            </w:r>
          </w:p>
        </w:tc>
        <w:tc>
          <w:tcPr>
            <w:tcW w:type="dxa" w:w="11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9</w:t>
            </w:r>
          </w:p>
        </w:tc>
        <w:tc>
          <w:tcPr>
            <w:tcW w:type="dxa" w:w="14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Regular + Italic</w:t>
            </w:r>
          </w:p>
        </w:tc>
        <w:tc>
          <w:tcPr>
            <w:tcW w:type="dxa" w:w="30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Slate Gray 4A5568</w:t>
            </w:r>
          </w:p>
        </w:tc>
      </w:tr>
      <w:tr>
        <w:tc>
          <w:tcPr>
            <w:tcW w:type="dxa" w:w="26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Header / Footer</w:t>
            </w:r>
          </w:p>
        </w:tc>
        <w:tc>
          <w:tcPr>
            <w:tcW w:type="dxa" w:w="12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Arial</w:t>
            </w:r>
          </w:p>
        </w:tc>
        <w:tc>
          <w:tcPr>
            <w:tcW w:type="dxa" w:w="11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8</w:t>
            </w:r>
          </w:p>
        </w:tc>
        <w:tc>
          <w:tcPr>
            <w:tcW w:type="dxa" w:w="14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Regular + AllCaps</w:t>
            </w:r>
          </w:p>
        </w:tc>
        <w:tc>
          <w:tcPr>
            <w:tcW w:type="dxa" w:w="30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Slate Gray 4A5568</w:t>
            </w:r>
          </w:p>
        </w:tc>
      </w:tr>
      <w:tr>
        <w:tc>
          <w:tcPr>
            <w:tcW w:type="dxa" w:w="26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KJ confidence label</w:t>
            </w:r>
          </w:p>
        </w:tc>
        <w:tc>
          <w:tcPr>
            <w:tcW w:type="dxa" w:w="12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Arial</w:t>
            </w:r>
          </w:p>
        </w:tc>
        <w:tc>
          <w:tcPr>
            <w:tcW w:type="dxa" w:w="11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9</w:t>
            </w:r>
          </w:p>
        </w:tc>
        <w:tc>
          <w:tcPr>
            <w:tcW w:type="dxa" w:w="14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Bold + AllCaps</w:t>
            </w:r>
          </w:p>
        </w:tc>
        <w:tc>
          <w:tcPr>
            <w:tcW w:type="dxa" w:w="30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Antique Gold 8B6914</w:t>
            </w:r>
          </w:p>
        </w:tc>
      </w:tr>
      <w:tr>
        <w:tc>
          <w:tcPr>
            <w:tcW w:type="dxa" w:w="26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KJ number</w:t>
            </w:r>
          </w:p>
        </w:tc>
        <w:tc>
          <w:tcPr>
            <w:tcW w:type="dxa" w:w="12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Arial</w:t>
            </w:r>
          </w:p>
        </w:tc>
        <w:tc>
          <w:tcPr>
            <w:tcW w:type="dxa" w:w="11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14</w:t>
            </w:r>
          </w:p>
        </w:tc>
        <w:tc>
          <w:tcPr>
            <w:tcW w:type="dxa" w:w="14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Bold</w:t>
            </w:r>
          </w:p>
        </w:tc>
        <w:tc>
          <w:tcPr>
            <w:tcW w:type="dxa" w:w="30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White on Navy block</w:t>
            </w:r>
          </w:p>
        </w:tc>
      </w:tr>
      <w:tr>
        <w:tc>
          <w:tcPr>
            <w:tcW w:type="dxa" w:w="26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Three-part step labels</w:t>
            </w:r>
          </w:p>
        </w:tc>
        <w:tc>
          <w:tcPr>
            <w:tcW w:type="dxa" w:w="12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Arial</w:t>
            </w:r>
          </w:p>
        </w:tc>
        <w:tc>
          <w:tcPr>
            <w:tcW w:type="dxa" w:w="11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9</w:t>
            </w:r>
          </w:p>
        </w:tc>
        <w:tc>
          <w:tcPr>
            <w:tcW w:type="dxa" w:w="14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Bold</w:t>
            </w:r>
          </w:p>
        </w:tc>
        <w:tc>
          <w:tcPr>
            <w:tcW w:type="dxa" w:w="30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White on Navy/Navy Mid/Slate</w:t>
            </w:r>
          </w:p>
        </w:tc>
      </w:tr>
    </w:tbl>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11. Source Tier System</w:t>
      </w:r>
    </w:p>
    <w:p>
      <w:pPr>
        <w:spacing w:after="100" w:before="80"/>
      </w:pPr>
      <w:r>
        <w:rPr>
          <w:rFonts w:ascii="Arial" w:cs="Arial" w:eastAsia="Arial" w:hAnsi="Arial"/>
          <w:color w:val="000000"/>
          <w:sz w:val="22"/>
          <w:szCs w:val="22"/>
        </w:rPr>
        <w:t xml:space="preserve">Source tier is cited at point of use, not only in the bibliography. Confidence labels are calibrated against the tier of supporting evidence. Never assert HIGH CONFIDENCE on a Tier 2 or Tier 3 source alone.</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60"/>
        <w:gridCol w:w="2000"/>
        <w:gridCol w:w="2900"/>
      </w:tblGrid>
      <w:tr>
        <w:trPr>
          <w:tblHeader/>
        </w:trPr>
        <w:tc>
          <w:tcPr>
            <w:tcW w:type="dxa" w:w="9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56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 TYPES</w:t>
            </w:r>
          </w:p>
        </w:tc>
        <w:tc>
          <w:tcPr>
            <w:tcW w:type="dxa" w:w="20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SUPPORTS</w:t>
            </w:r>
          </w:p>
        </w:tc>
        <w:tc>
          <w:tcPr>
            <w:tcW w:type="dxa" w:w="29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CITATION FORMAT</w:t>
            </w:r>
          </w:p>
        </w:tc>
      </w:tr>
      <w:tr>
        <w:tc>
          <w:tcPr>
            <w:tcW w:type="dxa" w:w="9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Tier 1</w:t>
            </w:r>
          </w:p>
        </w:tc>
        <w:tc>
          <w:tcPr>
            <w:tcW w:type="dxa" w:w="35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US Government (EIA, OFAC, DoD, CRS, ODNI ATA, State Dept compliance reports); UN bodies (IAEA, UNODA, UNSCR); primary legal texts; peer-reviewed journals</w:t>
            </w:r>
          </w:p>
        </w:tc>
        <w:tc>
          <w:tcPr>
            <w:tcW w:type="dxa" w:w="20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HIGH CONFIDENCE or MODERATE CONFIDENCE</w:t>
            </w:r>
          </w:p>
        </w:tc>
        <w:tc>
          <w:tcPr>
            <w:tcW w:type="dxa" w:w="29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[TIER 1 — ODNI ATA 2025, p. 14]</w:t>
            </w:r>
          </w:p>
        </w:tc>
      </w:tr>
      <w:tr>
        <w:tc>
          <w:tcPr>
            <w:tcW w:type="dxa" w:w="9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Tier 2</w:t>
            </w:r>
          </w:p>
        </w:tc>
        <w:tc>
          <w:tcPr>
            <w:tcW w:type="dxa" w:w="35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CSIS, RAND, Carnegie, Brookings, Atlantic Council, AidData, SIPRI; IEA WEO, BP Statistical Review, Vortexa, BNEF; Foreign Affairs, TNSR, Survival; congressional testimony with named attribution</w:t>
            </w:r>
          </w:p>
        </w:tc>
        <w:tc>
          <w:tcPr>
            <w:tcW w:type="dxa" w:w="20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MODERATE CONFIDENCE</w:t>
            </w:r>
          </w:p>
        </w:tc>
        <w:tc>
          <w:tcPr>
            <w:tcW w:type="dxa" w:w="29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[TIER 2 — Vortexa, March 2026]</w:t>
            </w:r>
          </w:p>
        </w:tc>
      </w:tr>
      <w:tr>
        <w:tc>
          <w:tcPr>
            <w:tcW w:type="dxa" w:w="9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Tier 3</w:t>
            </w:r>
          </w:p>
        </w:tc>
        <w:tc>
          <w:tcPr>
            <w:tcW w:type="dxa" w:w="35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Major news media with named institutional sources; trade publications with specific data; think tank blogs</w:t>
            </w:r>
          </w:p>
        </w:tc>
        <w:tc>
          <w:tcPr>
            <w:tcW w:type="dxa" w:w="20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LOW CONFIDENCE / Contextual only</w:t>
            </w:r>
          </w:p>
        </w:tc>
        <w:tc>
          <w:tcPr>
            <w:tcW w:type="dxa" w:w="29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[TIER 3 — Reuters, March 5, 2026 — contextual only]</w:t>
            </w:r>
          </w:p>
        </w:tc>
      </w:tr>
      <w:tr>
        <w:tc>
          <w:tcPr>
            <w:tcW w:type="dxa" w:w="9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PROHIBITED</w:t>
            </w:r>
          </w:p>
        </w:tc>
        <w:tc>
          <w:tcPr>
            <w:tcW w:type="dxa" w:w="35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Wikipedia; scenario-constructed entries; anonymous sources; circular sourcing; sources that are products of the same analytical exercise</w:t>
            </w:r>
          </w:p>
        </w:tc>
        <w:tc>
          <w:tcPr>
            <w:tcW w:type="dxa" w:w="20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Never cite</w:t>
            </w:r>
          </w:p>
        </w:tc>
        <w:tc>
          <w:tcPr>
            <w:tcW w:type="dxa" w:w="29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Remove without replacement</w:t>
            </w:r>
          </w:p>
        </w:tc>
      </w:tr>
    </w:tbl>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12. Confidence Lexicon (Full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456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4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PAIRED WITH PROBABILITY</w:t>
            </w:r>
          </w:p>
        </w:tc>
      </w:tr>
      <w:tr>
        <w:tc>
          <w:tcPr>
            <w:tcW w:type="dxa" w:w="24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HIGH CONFIDENCE</w:t>
            </w:r>
          </w:p>
        </w:tc>
        <w:tc>
          <w:tcPr>
            <w:tcW w:type="dxa" w:w="45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Claim directly supported by multiple independent Tier 1 sources with consistent findings. Analytic inference minimal. Reserve for empirically grounded factual claims only.</w:t>
            </w:r>
          </w:p>
        </w:tc>
        <w:tc>
          <w:tcPr>
            <w:tcW w:type="dxa" w:w="24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almost certainly · very likely</w:t>
            </w:r>
          </w:p>
        </w:tc>
      </w:tr>
      <w:tr>
        <w:tc>
          <w:tcPr>
            <w:tcW w:type="dxa" w:w="24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MODERATE-HIGH CONFIDENCE</w:t>
            </w:r>
          </w:p>
        </w:tc>
        <w:tc>
          <w:tcPr>
            <w:tcW w:type="dxa" w:w="45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Strong Tier 1/2 sourcing with limited but acknowledged inference.</w:t>
            </w:r>
          </w:p>
        </w:tc>
        <w:tc>
          <w:tcPr>
            <w:tcW w:type="dxa" w:w="24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very likely · likely</w:t>
            </w:r>
          </w:p>
        </w:tc>
      </w:tr>
      <w:tr>
        <w:tc>
          <w:tcPr>
            <w:tcW w:type="dxa" w:w="24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MODERATE CONFIDENCE</w:t>
            </w:r>
          </w:p>
        </w:tc>
        <w:tc>
          <w:tcPr>
            <w:tcW w:type="dxa" w:w="45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Credible Tier 1/2 sourcing with meaningful analytic inference or a significant unresolved variable.</w:t>
            </w:r>
          </w:p>
        </w:tc>
        <w:tc>
          <w:tcPr>
            <w:tcW w:type="dxa" w:w="24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likely · probably · roughly even odds</w:t>
            </w:r>
          </w:p>
        </w:tc>
      </w:tr>
      <w:tr>
        <w:tc>
          <w:tcPr>
            <w:tcW w:type="dxa" w:w="24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LOW-MODERATE CONFIDENCE</w:t>
            </w:r>
          </w:p>
        </w:tc>
        <w:tc>
          <w:tcPr>
            <w:tcW w:type="dxa" w:w="45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Thin but structurally sound inference from indirect evidence.</w:t>
            </w:r>
          </w:p>
        </w:tc>
        <w:tc>
          <w:tcPr>
            <w:tcW w:type="dxa" w:w="24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unlikely · roughly even odds</w:t>
            </w:r>
          </w:p>
        </w:tc>
      </w:tr>
      <w:tr>
        <w:tc>
          <w:tcPr>
            <w:tcW w:type="dxa" w:w="24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LOW CONFIDENCE</w:t>
            </w:r>
          </w:p>
        </w:tc>
        <w:tc>
          <w:tcPr>
            <w:tcW w:type="dxa" w:w="45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Primarily analytic inference from limited or indirect evidence. Reasonable alternative conclusions exist. Does not mean the claim is wrong.</w:t>
            </w:r>
          </w:p>
        </w:tc>
        <w:tc>
          <w:tcPr>
            <w:tcW w:type="dxa" w:w="24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unlikely · very unlikely</w:t>
            </w:r>
          </w:p>
        </w:tc>
      </w:tr>
      <w:tr>
        <w:tc>
          <w:tcPr>
            <w:tcW w:type="dxa" w:w="24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SCENARIO-CONDITIONED</w:t>
            </w:r>
          </w:p>
        </w:tc>
        <w:tc>
          <w:tcPr>
            <w:tcW w:type="dxa" w:w="45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Claim valid only under stated scenario premises. Not a prediction.</w:t>
            </w:r>
          </w:p>
        </w:tc>
        <w:tc>
          <w:tcPr>
            <w:tcW w:type="dxa" w:w="24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any probability label — add to confidence label</w:t>
            </w:r>
          </w:p>
        </w:tc>
      </w:tr>
      <w:tr>
        <w:tc>
          <w:tcPr>
            <w:tcW w:type="dxa" w:w="24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ANALYTICALLY INFERRED</w:t>
            </w:r>
          </w:p>
        </w:tc>
        <w:tc>
          <w:tcPr>
            <w:tcW w:type="dxa" w:w="45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Derived by logical extension from documented premises. Not directly observed.</w:t>
            </w:r>
          </w:p>
        </w:tc>
        <w:tc>
          <w:tcPr>
            <w:tcW w:type="dxa" w:w="24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any probability label — add to confidence label</w:t>
            </w:r>
          </w:p>
        </w:tc>
      </w:tr>
    </w:tbl>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13. Series Architecture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360"/>
      </w:tblGrid>
      <w:tr>
        <w:trPr>
          <w:tblHeader/>
        </w:trPr>
        <w:tc>
          <w:tcPr>
            <w:tcW w:type="dxa" w:w="20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PAPER</w:t>
            </w:r>
          </w:p>
        </w:tc>
        <w:tc>
          <w:tcPr>
            <w:tcW w:type="dxa" w:w="28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20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UPSTREAM</w:t>
            </w:r>
          </w:p>
        </w:tc>
        <w:tc>
          <w:tcPr>
            <w:tcW w:type="dxa" w:w="2360"/>
            <w:tcBorders>
              <w:top w:val="single" w:color="D0D7E3" w:sz="1"/>
              <w:left w:val="single" w:color="D0D7E3" w:sz="1"/>
              <w:bottom w:val="single" w:color="D0D7E3" w:sz="1"/>
              <w:right w:val="single" w:color="D0D7E3"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READS INTO</w:t>
            </w:r>
          </w:p>
        </w:tc>
      </w:tr>
      <w:tr>
        <w:tc>
          <w:tcPr>
            <w:tcW w:type="dxa" w:w="20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ATTRIBUTION-01</w:t>
            </w:r>
          </w:p>
        </w:tc>
        <w:tc>
          <w:tcPr>
            <w:tcW w:type="dxa" w:w="28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Methodology foundation — 4-level nexus framework</w:t>
            </w:r>
          </w:p>
        </w:tc>
        <w:tc>
          <w:tcPr>
            <w:tcW w:type="dxa" w:w="22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None</w:t>
            </w:r>
          </w:p>
        </w:tc>
        <w:tc>
          <w:tcPr>
            <w:tcW w:type="dxa" w:w="23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All papers</w:t>
            </w:r>
          </w:p>
        </w:tc>
      </w:tr>
      <w:tr>
        <w:tc>
          <w:tcPr>
            <w:tcW w:type="dxa" w:w="20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CSE-01 / NEXUS-01</w:t>
            </w:r>
          </w:p>
        </w:tc>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PRC nexus extension — 5-rung ladder</w:t>
            </w:r>
          </w:p>
        </w:tc>
        <w:tc>
          <w:tcPr>
            <w:tcW w:type="dxa" w:w="22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ATTRIBUTION-01</w:t>
            </w:r>
          </w:p>
        </w:tc>
        <w:tc>
          <w:tcPr>
            <w:tcW w:type="dxa" w:w="23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SHIELD-01, PERSIST-01, BRI-01/02</w:t>
            </w:r>
          </w:p>
        </w:tc>
      </w:tr>
      <w:tr>
        <w:tc>
          <w:tcPr>
            <w:tcW w:type="dxa" w:w="20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PERSIST-01</w:t>
            </w:r>
          </w:p>
        </w:tc>
        <w:tc>
          <w:tcPr>
            <w:tcW w:type="dxa" w:w="28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Strategic architecture — 5-pillar framework</w:t>
            </w:r>
          </w:p>
        </w:tc>
        <w:tc>
          <w:tcPr>
            <w:tcW w:type="dxa" w:w="22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ATTRIBUTION-01, CSE-01</w:t>
            </w:r>
          </w:p>
        </w:tc>
        <w:tc>
          <w:tcPr>
            <w:tcW w:type="dxa" w:w="23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ANCHOR, CONTAIN-01, MAXPRESS-01</w:t>
            </w:r>
          </w:p>
        </w:tc>
      </w:tr>
      <w:tr>
        <w:tc>
          <w:tcPr>
            <w:tcW w:type="dxa" w:w="20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TARIFF-01 / ANCHOR</w:t>
            </w:r>
          </w:p>
        </w:tc>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Litigation-resilient tariff enforcement</w:t>
            </w:r>
          </w:p>
        </w:tc>
        <w:tc>
          <w:tcPr>
            <w:tcW w:type="dxa" w:w="22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PERSIST-01</w:t>
            </w:r>
          </w:p>
        </w:tc>
        <w:tc>
          <w:tcPr>
            <w:tcW w:type="dxa" w:w="23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CONTAIN-01, MAXPRESS-01</w:t>
            </w:r>
          </w:p>
        </w:tc>
      </w:tr>
      <w:tr>
        <w:tc>
          <w:tcPr>
            <w:tcW w:type="dxa" w:w="20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CONTAIN-01</w:t>
            </w:r>
          </w:p>
        </w:tc>
        <w:tc>
          <w:tcPr>
            <w:tcW w:type="dxa" w:w="28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Long-term sanctions containment doctrine</w:t>
            </w:r>
          </w:p>
        </w:tc>
        <w:tc>
          <w:tcPr>
            <w:tcW w:type="dxa" w:w="22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PERSIST-01, ANCHOR</w:t>
            </w:r>
          </w:p>
        </w:tc>
        <w:tc>
          <w:tcPr>
            <w:tcW w:type="dxa" w:w="23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MAXPRESS-01</w:t>
            </w:r>
          </w:p>
        </w:tc>
      </w:tr>
      <w:tr>
        <w:tc>
          <w:tcPr>
            <w:tcW w:type="dxa" w:w="20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MAXPRESS-01</w:t>
            </w:r>
          </w:p>
        </w:tc>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Execution layer — practitioner-ready</w:t>
            </w:r>
          </w:p>
        </w:tc>
        <w:tc>
          <w:tcPr>
            <w:tcW w:type="dxa" w:w="22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CONTAIN-01, PERSIST-01</w:t>
            </w:r>
          </w:p>
        </w:tc>
        <w:tc>
          <w:tcPr>
            <w:tcW w:type="dxa" w:w="23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All enforcement papers</w:t>
            </w:r>
          </w:p>
        </w:tc>
      </w:tr>
      <w:tr>
        <w:tc>
          <w:tcPr>
            <w:tcW w:type="dxa" w:w="20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SHIELD-01</w:t>
            </w:r>
          </w:p>
        </w:tc>
        <w:tc>
          <w:tcPr>
            <w:tcW w:type="dxa" w:w="28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PRC-facilitated enforcement + CCRP</w:t>
            </w:r>
          </w:p>
        </w:tc>
        <w:tc>
          <w:tcPr>
            <w:tcW w:type="dxa" w:w="22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CSE-01, PERSIST-01</w:t>
            </w:r>
          </w:p>
        </w:tc>
        <w:tc>
          <w:tcPr>
            <w:tcW w:type="dxa" w:w="23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SENI-01, MAXPRESS-01</w:t>
            </w:r>
          </w:p>
        </w:tc>
      </w:tr>
      <w:tr>
        <w:tc>
          <w:tcPr>
            <w:tcW w:type="dxa" w:w="20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SENI-01 (Master Index)</w:t>
            </w:r>
          </w:p>
        </w:tc>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327-node targeting matrix</w:t>
            </w:r>
          </w:p>
        </w:tc>
        <w:tc>
          <w:tcPr>
            <w:tcW w:type="dxa" w:w="22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SHIELD-01, MAXPRESS-01</w:t>
            </w:r>
          </w:p>
        </w:tc>
        <w:tc>
          <w:tcPr>
            <w:tcW w:type="dxa" w:w="23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BRI-01, all enforcement</w:t>
            </w:r>
          </w:p>
        </w:tc>
      </w:tr>
      <w:tr>
        <w:tc>
          <w:tcPr>
            <w:tcW w:type="dxa" w:w="20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INFRA-01</w:t>
            </w:r>
          </w:p>
        </w:tc>
        <w:tc>
          <w:tcPr>
            <w:tcW w:type="dxa" w:w="28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Infrastructure enforcement framework</w:t>
            </w:r>
          </w:p>
        </w:tc>
        <w:tc>
          <w:tcPr>
            <w:tcW w:type="dxa" w:w="22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MAXPRESS-01</w:t>
            </w:r>
          </w:p>
        </w:tc>
        <w:tc>
          <w:tcPr>
            <w:tcW w:type="dxa" w:w="23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BRI-01, BRI-02</w:t>
            </w:r>
          </w:p>
        </w:tc>
      </w:tr>
      <w:tr>
        <w:tc>
          <w:tcPr>
            <w:tcW w:type="dxa" w:w="20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HORMUZ-01</w:t>
            </w:r>
          </w:p>
        </w:tc>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Regional posture assessment</w:t>
            </w:r>
          </w:p>
        </w:tc>
        <w:tc>
          <w:tcPr>
            <w:tcW w:type="dxa" w:w="22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MAXPRESS-01</w:t>
            </w:r>
          </w:p>
        </w:tc>
        <w:tc>
          <w:tcPr>
            <w:tcW w:type="dxa" w:w="23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HORMUZ-02</w:t>
            </w:r>
          </w:p>
        </w:tc>
      </w:tr>
      <w:tr>
        <w:tc>
          <w:tcPr>
            <w:tcW w:type="dxa" w:w="20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HORMUZ-02</w:t>
            </w:r>
          </w:p>
        </w:tc>
        <w:tc>
          <w:tcPr>
            <w:tcW w:type="dxa" w:w="28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Integrated campaign architecture</w:t>
            </w:r>
          </w:p>
        </w:tc>
        <w:tc>
          <w:tcPr>
            <w:tcW w:type="dxa" w:w="22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HORMUZ-01, MAXPRESS-01</w:t>
            </w:r>
          </w:p>
        </w:tc>
        <w:tc>
          <w:tcPr>
            <w:tcW w:type="dxa" w:w="23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BRI-01</w:t>
            </w:r>
          </w:p>
        </w:tc>
      </w:tr>
      <w:tr>
        <w:tc>
          <w:tcPr>
            <w:tcW w:type="dxa" w:w="20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BRI-01</w:t>
            </w:r>
          </w:p>
        </w:tc>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Grand strategy capstone</w:t>
            </w:r>
          </w:p>
        </w:tc>
        <w:tc>
          <w:tcPr>
            <w:tcW w:type="dxa" w:w="22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SENI-01, HORMUZ-02, PERSIST-01</w:t>
            </w:r>
          </w:p>
        </w:tc>
        <w:tc>
          <w:tcPr>
            <w:tcW w:type="dxa" w:w="23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BRI-02</w:t>
            </w:r>
          </w:p>
        </w:tc>
      </w:tr>
      <w:tr>
        <w:tc>
          <w:tcPr>
            <w:tcW w:type="dxa" w:w="20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BRI-02 (forthcoming)</w:t>
            </w:r>
          </w:p>
        </w:tc>
        <w:tc>
          <w:tcPr>
            <w:tcW w:type="dxa" w:w="28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NEXUS-01 applied to BRI port concessions</w:t>
            </w:r>
          </w:p>
        </w:tc>
        <w:tc>
          <w:tcPr>
            <w:tcW w:type="dxa" w:w="22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CSE-01, SENI-01, INFRA-01</w:t>
            </w:r>
          </w:p>
        </w:tc>
        <w:tc>
          <w:tcPr>
            <w:tcW w:type="dxa" w:w="23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BRI-01</w:t>
            </w:r>
          </w:p>
        </w:tc>
      </w:tr>
      <w:tr>
        <w:tc>
          <w:tcPr>
            <w:tcW w:type="dxa" w:w="20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IRAN NUCLEAR</w:t>
            </w:r>
          </w:p>
        </w:tc>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Post-strike nuclear assessment</w:t>
            </w:r>
          </w:p>
        </w:tc>
        <w:tc>
          <w:tcPr>
            <w:tcW w:type="dxa" w:w="22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HORMUZ-01</w:t>
            </w:r>
          </w:p>
        </w:tc>
        <w:tc>
          <w:tcPr>
            <w:tcW w:type="dxa" w:w="23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HORMUZ-02, CPF-02</w:t>
            </w:r>
          </w:p>
        </w:tc>
      </w:tr>
      <w:tr>
        <w:tc>
          <w:tcPr>
            <w:tcW w:type="dxa" w:w="20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BW ASSESSMENT</w:t>
            </w:r>
          </w:p>
        </w:tc>
        <w:tc>
          <w:tcPr>
            <w:tcW w:type="dxa" w:w="28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State BW threat assessment</w:t>
            </w:r>
          </w:p>
        </w:tc>
        <w:tc>
          <w:tcPr>
            <w:tcW w:type="dxa" w:w="220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IRAN NUCLEAR</w:t>
            </w:r>
          </w:p>
        </w:tc>
        <w:tc>
          <w:tcPr>
            <w:tcW w:type="dxa" w:w="2360"/>
            <w:tcBorders>
              <w:top w:val="single" w:color="D0D7E3" w:sz="1"/>
              <w:left w:val="single" w:color="D0D7E3" w:sz="1"/>
              <w:bottom w:val="single" w:color="D0D7E3" w:sz="1"/>
              <w:right w:val="single" w:color="D0D7E3" w:sz="1"/>
            </w:tcBorders>
            <w:shd w:fill="E8EDF5" w:val="clear"/>
            <w:tcMar>
              <w:top w:type="dxa" w:w="80"/>
              <w:left w:type="dxa" w:w="120"/>
              <w:bottom w:type="dxa" w:w="80"/>
              <w:right w:type="dxa" w:w="120"/>
            </w:tcMar>
          </w:tcPr>
          <w:p>
            <w:r>
              <w:rPr>
                <w:rFonts w:ascii="Arial" w:cs="Arial" w:eastAsia="Arial" w:hAnsi="Arial"/>
                <w:sz w:val="20"/>
                <w:szCs w:val="20"/>
              </w:rPr>
              <w:t xml:space="preserve">CPF-02</w:t>
            </w:r>
          </w:p>
        </w:tc>
      </w:tr>
      <w:tr>
        <w:tc>
          <w:tcPr>
            <w:tcW w:type="dxa" w:w="20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CI ASSESSMENT</w:t>
            </w:r>
          </w:p>
        </w:tc>
        <w:tc>
          <w:tcPr>
            <w:tcW w:type="dxa" w:w="28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Counterintelligence exposure review</w:t>
            </w:r>
          </w:p>
        </w:tc>
        <w:tc>
          <w:tcPr>
            <w:tcW w:type="dxa" w:w="220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All papers</w:t>
            </w:r>
          </w:p>
        </w:tc>
        <w:tc>
          <w:tcPr>
            <w:tcW w:type="dxa" w:w="2360"/>
            <w:tcBorders>
              <w:top w:val="single" w:color="D0D7E3" w:sz="1"/>
              <w:left w:val="single" w:color="D0D7E3" w:sz="1"/>
              <w:bottom w:val="single" w:color="D0D7E3" w:sz="1"/>
              <w:right w:val="single" w:color="D0D7E3" w:sz="1"/>
            </w:tcBorders>
            <w:shd w:fill="FAFAFA" w:val="clear"/>
            <w:tcMar>
              <w:top w:type="dxa" w:w="80"/>
              <w:left w:type="dxa" w:w="120"/>
              <w:bottom w:type="dxa" w:w="80"/>
              <w:right w:type="dxa" w:w="120"/>
            </w:tcMar>
          </w:tcPr>
          <w:p>
            <w:r>
              <w:rPr>
                <w:rFonts w:ascii="Arial" w:cs="Arial" w:eastAsia="Arial" w:hAnsi="Arial"/>
                <w:sz w:val="20"/>
                <w:szCs w:val="20"/>
              </w:rPr>
              <w:t xml:space="preserve">Repository management</w:t>
            </w:r>
          </w:p>
        </w:tc>
      </w:tr>
    </w:tbl>
    <w:p>
      <w:pPr>
        <w:pBdr>
          <w:bottom w:val="single" w:color="1B2A4A" w:sz="8" w:space="1"/>
        </w:pBdr>
        <w:spacing w:after="160" w:before="160"/>
      </w:pPr>
    </w:p>
    <w:p>
      <w:pPr>
        <w:pageBreakBefore/>
      </w:pPr>
    </w:p>
    <w:p>
      <w:pPr>
        <w:pStyle w:val="Heading1"/>
        <w:spacing w:after="160" w:before="480"/>
      </w:pPr>
      <w:r>
        <w:rPr>
          <w:rFonts w:ascii="Arial" w:cs="Arial" w:eastAsia="Arial" w:hAnsi="Arial"/>
          <w:b/>
          <w:bCs/>
          <w:color w:val="1B2A4A"/>
          <w:sz w:val="30"/>
          <w:szCs w:val="30"/>
        </w:rPr>
        <w:t xml:space="preserve">14. Pre-Publication Revision Checklist</w:t>
      </w:r>
    </w:p>
    <w:p>
      <w:pPr>
        <w:spacing w:after="100" w:before="80"/>
      </w:pPr>
      <w:r>
        <w:rPr>
          <w:rFonts w:ascii="Arial" w:cs="Arial" w:eastAsia="Arial" w:hAnsi="Arial"/>
          <w:color w:val="000000"/>
          <w:sz w:val="22"/>
          <w:szCs w:val="22"/>
        </w:rPr>
        <w:t xml:space="preserve">Apply in order before any submission. Steps 1–8 are required for SSRN. All steps required for peer-reviewed journal or think tank submission.</w:t>
      </w:r>
    </w:p>
    <w:p>
      <w:pPr>
        <w:spacing w:before="60"/>
      </w:pPr>
    </w:p>
    <w:p>
      <w:pPr>
        <w:pStyle w:val="ListParagraph"/>
        <w:numPr>
          <w:ilvl w:val="0"/>
          <w:numId w:val="2"/>
        </w:numPr>
        <w:spacing w:after="50" w:before="50"/>
      </w:pPr>
      <w:r>
        <w:rPr>
          <w:rFonts w:ascii="Arial" w:cs="Arial" w:eastAsia="Arial" w:hAnsi="Arial"/>
          <w:sz w:val="22"/>
          <w:szCs w:val="22"/>
        </w:rPr>
        <w:t xml:space="preserve">Cover metadata table complete — all mandatory fields present</w:t>
      </w:r>
    </w:p>
    <w:p>
      <w:pPr>
        <w:pStyle w:val="ListParagraph"/>
        <w:numPr>
          <w:ilvl w:val="0"/>
          <w:numId w:val="2"/>
        </w:numPr>
        <w:spacing w:after="50" w:before="50"/>
      </w:pPr>
      <w:r>
        <w:rPr>
          <w:rFonts w:ascii="Arial" w:cs="Arial" w:eastAsia="Arial" w:hAnsi="Arial"/>
          <w:sz w:val="22"/>
          <w:szCs w:val="22"/>
        </w:rPr>
        <w:t xml:space="preserve">Classification and NOTICE block present with standard text</w:t>
      </w:r>
    </w:p>
    <w:p>
      <w:pPr>
        <w:pStyle w:val="ListParagraph"/>
        <w:numPr>
          <w:ilvl w:val="0"/>
          <w:numId w:val="2"/>
        </w:numPr>
        <w:spacing w:after="50" w:before="50"/>
      </w:pPr>
      <w:r>
        <w:rPr>
          <w:rFonts w:ascii="Arial" w:cs="Arial" w:eastAsia="Arial" w:hAnsi="Arial"/>
          <w:sz w:val="22"/>
          <w:szCs w:val="22"/>
        </w:rPr>
        <w:t xml:space="preserve">SCENARIO PREMISE block present if paper uses constructed events — positioned at top of Part I before Section 1.1</w:t>
      </w:r>
    </w:p>
    <w:p>
      <w:pPr>
        <w:pStyle w:val="ListParagraph"/>
        <w:numPr>
          <w:ilvl w:val="0"/>
          <w:numId w:val="2"/>
        </w:numPr>
        <w:spacing w:after="50" w:before="50"/>
      </w:pPr>
      <w:r>
        <w:rPr>
          <w:rFonts w:ascii="Arial" w:cs="Arial" w:eastAsia="Arial" w:hAnsi="Arial"/>
          <w:sz w:val="22"/>
          <w:szCs w:val="22"/>
        </w:rPr>
        <w:t xml:space="preserve">Key Judgments block present — 3–7 numbered judgments, each with probability word AND confidence tag</w:t>
      </w:r>
    </w:p>
    <w:p>
      <w:pPr>
        <w:pStyle w:val="ListParagraph"/>
        <w:numPr>
          <w:ilvl w:val="0"/>
          <w:numId w:val="2"/>
        </w:numPr>
        <w:spacing w:after="50" w:before="50"/>
      </w:pPr>
      <w:r>
        <w:rPr>
          <w:rFonts w:ascii="Arial" w:cs="Arial" w:eastAsia="Arial" w:hAnsi="Arial"/>
          <w:sz w:val="22"/>
          <w:szCs w:val="22"/>
        </w:rPr>
        <w:t xml:space="preserve">All section headers descriptive/functional — no argumentative headers</w:t>
      </w:r>
    </w:p>
    <w:p>
      <w:pPr>
        <w:pStyle w:val="ListParagraph"/>
        <w:numPr>
          <w:ilvl w:val="0"/>
          <w:numId w:val="2"/>
        </w:numPr>
        <w:spacing w:after="50" w:before="50"/>
      </w:pPr>
      <w:r>
        <w:rPr>
          <w:rFonts w:ascii="Arial" w:cs="Arial" w:eastAsia="Arial" w:hAnsi="Arial"/>
          <w:sz w:val="22"/>
          <w:szCs w:val="22"/>
        </w:rPr>
        <w:t xml:space="preserve">Confidence lexicon defined in Methodological Note</w:t>
      </w:r>
    </w:p>
    <w:p>
      <w:pPr>
        <w:pStyle w:val="ListParagraph"/>
        <w:numPr>
          <w:ilvl w:val="0"/>
          <w:numId w:val="2"/>
        </w:numPr>
        <w:spacing w:after="50" w:before="50"/>
      </w:pPr>
      <w:r>
        <w:rPr>
          <w:rFonts w:ascii="Arial" w:cs="Arial" w:eastAsia="Arial" w:hAnsi="Arial"/>
          <w:sz w:val="22"/>
          <w:szCs w:val="22"/>
        </w:rPr>
        <w:t xml:space="preserve">All forward-looking claims labeled SCENARIO-CONDITIONED or ANALYTICALLY INFERRED</w:t>
      </w:r>
    </w:p>
    <w:p>
      <w:pPr>
        <w:pStyle w:val="ListParagraph"/>
        <w:numPr>
          <w:ilvl w:val="0"/>
          <w:numId w:val="2"/>
        </w:numPr>
        <w:spacing w:after="50" w:before="50"/>
      </w:pPr>
      <w:r>
        <w:rPr>
          <w:rFonts w:ascii="Arial" w:cs="Arial" w:eastAsia="Arial" w:hAnsi="Arial"/>
          <w:sz w:val="22"/>
          <w:szCs w:val="22"/>
        </w:rPr>
        <w:t xml:space="preserve">Three-part sentence structure applied to all substantive analytic claims (Attribution → Judgment → Limits)</w:t>
      </w:r>
    </w:p>
    <w:p>
      <w:pPr>
        <w:pStyle w:val="ListParagraph"/>
        <w:numPr>
          <w:ilvl w:val="0"/>
          <w:numId w:val="2"/>
        </w:numPr>
        <w:spacing w:after="50" w:before="50"/>
      </w:pPr>
      <w:r>
        <w:rPr>
          <w:rFonts w:ascii="Arial" w:cs="Arial" w:eastAsia="Arial" w:hAnsi="Arial"/>
          <w:sz w:val="22"/>
          <w:szCs w:val="22"/>
        </w:rPr>
        <w:t xml:space="preserve">No Wikipedia citations</w:t>
      </w:r>
    </w:p>
    <w:p>
      <w:pPr>
        <w:pStyle w:val="ListParagraph"/>
        <w:numPr>
          <w:ilvl w:val="0"/>
          <w:numId w:val="2"/>
        </w:numPr>
        <w:spacing w:after="50" w:before="50"/>
      </w:pPr>
      <w:r>
        <w:rPr>
          <w:rFonts w:ascii="Arial" w:cs="Arial" w:eastAsia="Arial" w:hAnsi="Arial"/>
          <w:sz w:val="22"/>
          <w:szCs w:val="22"/>
        </w:rPr>
        <w:t xml:space="preserve">No trade publications as primary source for consequential quantitative claims</w:t>
      </w:r>
    </w:p>
    <w:p>
      <w:pPr>
        <w:pStyle w:val="ListParagraph"/>
        <w:numPr>
          <w:ilvl w:val="0"/>
          <w:numId w:val="2"/>
        </w:numPr>
        <w:spacing w:after="50" w:before="50"/>
      </w:pPr>
      <w:r>
        <w:rPr>
          <w:rFonts w:ascii="Arial" w:cs="Arial" w:eastAsia="Arial" w:hAnsi="Arial"/>
          <w:sz w:val="22"/>
          <w:szCs w:val="22"/>
        </w:rPr>
        <w:t xml:space="preserve">All quantitative claims footnoted — specific Tier 1/2 source, date, page or section</w:t>
      </w:r>
    </w:p>
    <w:p>
      <w:pPr>
        <w:pStyle w:val="ListParagraph"/>
        <w:numPr>
          <w:ilvl w:val="0"/>
          <w:numId w:val="2"/>
        </w:numPr>
        <w:spacing w:after="50" w:before="50"/>
      </w:pPr>
      <w:r>
        <w:rPr>
          <w:rFonts w:ascii="Arial" w:cs="Arial" w:eastAsia="Arial" w:hAnsi="Arial"/>
          <w:sz w:val="22"/>
          <w:szCs w:val="22"/>
        </w:rPr>
        <w:t xml:space="preserve">No prohibited language patterns (see Section 8 tables)</w:t>
      </w:r>
    </w:p>
    <w:p>
      <w:pPr>
        <w:pStyle w:val="ListParagraph"/>
        <w:numPr>
          <w:ilvl w:val="0"/>
          <w:numId w:val="2"/>
        </w:numPr>
        <w:spacing w:after="50" w:before="50"/>
      </w:pPr>
      <w:r>
        <w:rPr>
          <w:rFonts w:ascii="Arial" w:cs="Arial" w:eastAsia="Arial" w:hAnsi="Arial"/>
          <w:sz w:val="22"/>
          <w:szCs w:val="22"/>
        </w:rPr>
        <w:t xml:space="preserve">No emotive inflation, prosecutorial certainty, or advocacy language</w:t>
      </w:r>
    </w:p>
    <w:p>
      <w:pPr>
        <w:pStyle w:val="ListParagraph"/>
        <w:numPr>
          <w:ilvl w:val="0"/>
          <w:numId w:val="2"/>
        </w:numPr>
        <w:spacing w:after="50" w:before="50"/>
      </w:pPr>
      <w:r>
        <w:rPr>
          <w:rFonts w:ascii="Arial" w:cs="Arial" w:eastAsia="Arial" w:hAnsi="Arial"/>
          <w:sz w:val="22"/>
          <w:szCs w:val="22"/>
        </w:rPr>
        <w:t xml:space="preserve">Agent-specific construction throughout — every action has an agent, authority, and date</w:t>
      </w:r>
    </w:p>
    <w:p>
      <w:pPr>
        <w:pStyle w:val="ListParagraph"/>
        <w:numPr>
          <w:ilvl w:val="0"/>
          <w:numId w:val="2"/>
        </w:numPr>
        <w:spacing w:after="50" w:before="50"/>
      </w:pPr>
      <w:r>
        <w:rPr>
          <w:rFonts w:ascii="Arial" w:cs="Arial" w:eastAsia="Arial" w:hAnsi="Arial"/>
          <w:sz w:val="22"/>
          <w:szCs w:val="22"/>
        </w:rPr>
        <w:t xml:space="preserve">IMPLEMENTATION FRICTION box present for every mechanism with a hard execution constraint</w:t>
      </w:r>
    </w:p>
    <w:p>
      <w:pPr>
        <w:pStyle w:val="ListParagraph"/>
        <w:numPr>
          <w:ilvl w:val="0"/>
          <w:numId w:val="2"/>
        </w:numPr>
        <w:spacing w:after="50" w:before="50"/>
      </w:pPr>
      <w:r>
        <w:rPr>
          <w:rFonts w:ascii="Arial" w:cs="Arial" w:eastAsia="Arial" w:hAnsi="Arial"/>
          <w:sz w:val="22"/>
          <w:szCs w:val="22"/>
        </w:rPr>
        <w:t xml:space="preserve">Limitations of the Public Record section present in all assessment papers</w:t>
      </w:r>
    </w:p>
    <w:p>
      <w:pPr>
        <w:pStyle w:val="ListParagraph"/>
        <w:numPr>
          <w:ilvl w:val="0"/>
          <w:numId w:val="2"/>
        </w:numPr>
        <w:spacing w:after="50" w:before="50"/>
      </w:pPr>
      <w:r>
        <w:rPr>
          <w:rFonts w:ascii="Arial" w:cs="Arial" w:eastAsia="Arial" w:hAnsi="Arial"/>
          <w:sz w:val="22"/>
          <w:szCs w:val="22"/>
        </w:rPr>
        <w:t xml:space="preserve">BRI-02 cross-reference present in series position metadata where tier classifications used</w:t>
      </w:r>
    </w:p>
    <w:p>
      <w:pPr>
        <w:pStyle w:val="ListParagraph"/>
        <w:numPr>
          <w:ilvl w:val="0"/>
          <w:numId w:val="2"/>
        </w:numPr>
        <w:spacing w:after="50" w:before="50"/>
      </w:pPr>
      <w:r>
        <w:rPr>
          <w:rFonts w:ascii="Arial" w:cs="Arial" w:eastAsia="Arial" w:hAnsi="Arial"/>
          <w:sz w:val="22"/>
          <w:szCs w:val="22"/>
        </w:rPr>
        <w:t xml:space="preserve">Literature footnotes present for all major analytical claims</w:t>
      </w:r>
    </w:p>
    <w:p>
      <w:pPr>
        <w:pStyle w:val="ListParagraph"/>
        <w:numPr>
          <w:ilvl w:val="0"/>
          <w:numId w:val="2"/>
        </w:numPr>
        <w:spacing w:after="50" w:before="50"/>
      </w:pPr>
      <w:r>
        <w:rPr>
          <w:rFonts w:ascii="Arial" w:cs="Arial" w:eastAsia="Arial" w:hAnsi="Arial"/>
          <w:sz w:val="22"/>
          <w:szCs w:val="22"/>
        </w:rPr>
        <w:t xml:space="preserve">END OF DOCUMENT line present</w:t>
      </w:r>
    </w:p>
    <w:p>
      <w:pPr>
        <w:pStyle w:val="ListParagraph"/>
        <w:numPr>
          <w:ilvl w:val="0"/>
          <w:numId w:val="2"/>
        </w:numPr>
        <w:spacing w:after="50" w:before="50"/>
      </w:pPr>
      <w:r>
        <w:rPr>
          <w:rFonts w:ascii="Arial" w:cs="Arial" w:eastAsia="Arial" w:hAnsi="Arial"/>
          <w:sz w:val="22"/>
          <w:szCs w:val="22"/>
        </w:rPr>
        <w:t xml:space="preserve">Page size explicitly US Letter (12240 x 15840 DXA) in production script</w:t>
      </w:r>
    </w:p>
    <w:p>
      <w:pPr>
        <w:pStyle w:val="ListParagraph"/>
        <w:numPr>
          <w:ilvl w:val="0"/>
          <w:numId w:val="2"/>
        </w:numPr>
        <w:spacing w:after="50" w:before="50"/>
      </w:pPr>
      <w:r>
        <w:rPr>
          <w:rFonts w:ascii="Arial" w:cs="Arial" w:eastAsia="Arial" w:hAnsi="Arial"/>
          <w:sz w:val="22"/>
          <w:szCs w:val="22"/>
        </w:rPr>
        <w:t xml:space="preserve">All table columnWidths sum exactly to table width</w:t>
      </w:r>
    </w:p>
    <w:p>
      <w:pPr>
        <w:pStyle w:val="ListParagraph"/>
        <w:numPr>
          <w:ilvl w:val="0"/>
          <w:numId w:val="2"/>
        </w:numPr>
        <w:spacing w:after="50" w:before="50"/>
      </w:pPr>
      <w:r>
        <w:rPr>
          <w:rFonts w:ascii="Arial" w:cs="Arial" w:eastAsia="Arial" w:hAnsi="Arial"/>
          <w:sz w:val="22"/>
          <w:szCs w:val="22"/>
        </w:rPr>
        <w:t xml:space="preserve">No ShadingType.SOLID — always ShadingType.CLEAR</w:t>
      </w:r>
    </w:p>
    <w:p>
      <w:pPr>
        <w:pStyle w:val="ListParagraph"/>
        <w:numPr>
          <w:ilvl w:val="0"/>
          <w:numId w:val="2"/>
        </w:numPr>
        <w:spacing w:after="50" w:before="50"/>
      </w:pPr>
      <w:r>
        <w:rPr>
          <w:rFonts w:ascii="Arial" w:cs="Arial" w:eastAsia="Arial" w:hAnsi="Arial"/>
          <w:sz w:val="22"/>
          <w:szCs w:val="22"/>
        </w:rPr>
        <w:t xml:space="preserve">No Unicode bullet characters in TextRun — always LevelFormat.BULLET</w:t>
      </w:r>
    </w:p>
    <w:p>
      <w:pPr>
        <w:spacing w:before="120"/>
      </w:pPr>
    </w:p>
    <w:p>
      <w:pPr>
        <w:pBdr>
          <w:bottom w:val="single" w:color="1B2A4A" w:sz="8"/>
        </w:pBdr>
      </w:pPr>
      <w:r>
        <w:rPr>
          <w:rFonts w:ascii="Arial" w:cs="Arial" w:eastAsia="Arial" w:hAnsi="Arial"/>
          <w:b/>
          <w:bCs/>
          <w:color w:val="1B2A4A"/>
          <w:sz w:val="20"/>
          <w:szCs w:val="20"/>
        </w:rPr>
        <w:t xml:space="preserve">END OF DOCUMENT  —  WP-2026 STYLE AND VERBIAGE GUIDE v3.0  —  MARCH 2026  —  UNCLASSIFIED // OPEN SOURCE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2" w:space="1"/>
      </w:pBdr>
      <w:spacing w:before="80"/>
      <w:jc w:val="center"/>
    </w:pPr>
    <w:r>
      <w:rPr>
        <w:rFonts w:ascii="Arial" w:cs="Arial" w:eastAsia="Arial" w:hAnsi="Arial"/>
        <w:color w:val="4A5568"/>
        <w:sz w:val="18"/>
        <w:szCs w:val="18"/>
      </w:rPr>
      <w:t xml:space="preserve">Style and Verbiage Guide v3.0  •  March 2026     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spacing w:after="120" w:before="0"/>
    </w:pPr>
    <w:r>
      <w:rPr>
        <w:rFonts w:ascii="Arial" w:cs="Arial" w:eastAsia="Arial" w:hAnsi="Arial"/>
        <w:caps/>
        <w:color w:val="4A5568"/>
        <w:sz w:val="16"/>
        <w:szCs w:val="16"/>
      </w:rPr>
      <w:t xml:space="preserve">WP-2026 SERIES STYLE AND VERBIAGE GUIDE v3.0  •  UNCLASSIFIED // OPEN SOURCE  •  CENTER FOR COMPETITIVE STATECRAFT AND STRATEGIC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2A4A"/>
      <w:sz w:val="30"/>
      <w:szCs w:val="30"/>
    </w:rPr>
  </w:style>
  <w:style w:type="paragraph" w:styleId="Heading2">
    <w:name w:val="Heading 2"/>
    <w:basedOn w:val="Normal"/>
    <w:next w:val="Normal"/>
    <w:qFormat/>
    <w:pPr>
      <w:spacing w:after="100" w:before="32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2026-03-16T14:24:03.366Z</dcterms:created>
  <dcterms:modified xsi:type="dcterms:W3CDTF">2026-03-16T14:24:03.366Z</dcterms:modified>
</cp:coreProperties>
</file>

<file path=docProps/custom.xml><?xml version="1.0" encoding="utf-8"?>
<Properties xmlns="http://schemas.openxmlformats.org/officeDocument/2006/custom-properties" xmlns:vt="http://schemas.openxmlformats.org/officeDocument/2006/docPropsVTypes"/>
</file>