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2"/>
          <w:szCs w:val="22"/>
        </w:rPr>
        <w:t xml:space="preserve"/>
      </w:r>
    </w:p>
    <w:p>
      <w:pPr>
        <w:spacing w:before="0" w:after="80"/>
        <w:jc w:val="center"/>
      </w:pPr>
      <w:r>
        <w:rPr>
          <w:rFonts w:ascii="Arial" w:cs="Arial" w:eastAsia="Arial" w:hAnsi="Arial"/>
          <w:b/>
          <w:bCs/>
          <w:caps/>
          <w:color w:val="4A5568"/>
          <w:sz w:val="20"/>
          <w:szCs w:val="20"/>
        </w:rPr>
        <w:t xml:space="preserve">CENTER FOR COMPETITIVE STATECRAFT AND STRATEGIC POLICY</w:t>
      </w:r>
    </w:p>
    <w:p>
      <w:pPr>
        <w:spacing w:before="0" w:after="120"/>
        <w:jc w:val="center"/>
      </w:pPr>
      <w:r>
        <w:rPr>
          <w:rFonts w:ascii="Arial" w:cs="Arial" w:eastAsia="Arial" w:hAnsi="Arial"/>
          <w:b/>
          <w:bCs/>
          <w:color w:val="1B2A4A"/>
          <w:sz w:val="20"/>
          <w:szCs w:val="20"/>
        </w:rPr>
        <w:t xml:space="preserve">WP-2026 SERIES</w:t>
      </w:r>
    </w:p>
    <w:p>
      <w:pPr>
        <w:pBdr>
          <w:bottom w:val="single" w:color="1B2A4A" w:sz="12" w:space="8"/>
        </w:pBdr>
        <w:spacing w:before="0" w:after="80"/>
        <w:jc w:val="center"/>
      </w:pPr>
      <w:r>
        <w:rPr>
          <w:rFonts w:ascii="Arial" w:cs="Arial" w:eastAsia="Arial" w:hAnsi="Arial"/>
          <w:b/>
          <w:bCs/>
          <w:color w:val="1B2A4A"/>
          <w:sz w:val="40"/>
          <w:szCs w:val="40"/>
        </w:rPr>
        <w:t xml:space="preserve">COUNTERINTELLIGENCE EXPOSURE ASSESSMENT</w:t>
      </w:r>
    </w:p>
    <w:p>
      <w:pPr>
        <w:spacing w:before="160" w:after="360"/>
        <w:jc w:val="center"/>
      </w:pPr>
      <w:r>
        <w:rPr>
          <w:rFonts w:ascii="Arial" w:cs="Arial" w:eastAsia="Arial" w:hAnsi="Arial"/>
          <w:i/>
          <w:iCs/>
          <w:color w:val="4A5568"/>
          <w:sz w:val="26"/>
          <w:szCs w:val="26"/>
        </w:rPr>
        <w:t xml:space="preserve">WP-2026 Integrated Platform: MDO-01 Analytic Console, WP-2026 Site, and Combined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Working Paper</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WP-2026-CI-PLATFORM-01</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Title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Counterintelligence Exposure Assessment: WP-2026 Integrated Platform (MDO-01 Analytic Console, WP-2026 Site, and Combined System Architecture)</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Assessment Date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March 2026 (v1.0 — Initial Assessment)</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Unclassified // Open Source Analytic Product</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Series Reference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 Series (github.com/collingeorge/WP-2026) — companion to CI-Assessment v3.0, CI-Assessment-02, and WP-2026-MAP-CI-01</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Prepared By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Collin George — Center for Competitive Statecraft and Strategic Policy</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Methodology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Open-source CI exposure methodology applied to public repository content. System-level analysis applied to the integrated three-layer platform. No classified information used or referenced. Adversary utility assessments are analytically inferred, not intelligence reporting.</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MDO-01 Analytic Console (MDO-01-console-v2.html); WP-2026 site index (index.html); combined system architecture as a three-layer integrated platform. This assessment addresses system-level exposure vectors distinct from the document-level (CI-Assessment v3.0; CI-Assessment-02) and map-level (WP-2026-MAP-CI-01) assessments.</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FINAL — Style Guide v3.0 and Verbiage Guide v2.1 Compliant. Cleared for public repository publication.</w:t>
            </w:r>
          </w:p>
        </w:tc>
      </w:tr>
    </w:tbl>
    <w:p>
      <w:pPr>
        <w:spacing w:before="20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NOTICE AND PUBLIC REPOSITORY STATEMENT</w:t>
            </w:r>
          </w:p>
          <w:p>
            <w:pPr>
              <w:spacing w:before="0" w:after="60"/>
            </w:pPr>
            <w:r>
              <w:rPr>
                <w:rFonts w:ascii="Arial" w:cs="Arial" w:eastAsia="Arial" w:hAnsi="Arial"/>
                <w:b w:val="false"/>
                <w:bCs w:val="false"/>
                <w:i w:val="false"/>
                <w:iCs w:val="false"/>
                <w:caps w:val="false"/>
                <w:color w:val="000000"/>
                <w:sz w:val="20"/>
                <w:szCs w:val="20"/>
              </w:rPr>
              <w:t xml:space="preserve">This document is an open-source counterintelligence exposure assessment produced solely for the author's academic risk management and professional transparency purposes. It contains no classified information. All analysis is derived entirely from the public repository at github.com/collingeorge/WP-2026 and established open-source CI methodology.</w:t>
            </w:r>
          </w:p>
          <w:p>
            <w:pPr>
              <w:spacing w:before="0" w:after="60"/>
            </w:pPr>
            <w:r>
              <w:rPr>
                <w:rFonts w:ascii="Arial" w:cs="Arial" w:eastAsia="Arial" w:hAnsi="Arial"/>
                <w:b w:val="false"/>
                <w:bCs w:val="false"/>
                <w:i w:val="false"/>
                <w:iCs w:val="false"/>
                <w:caps w:val="false"/>
                <w:color w:val="000000"/>
                <w:sz w:val="20"/>
                <w:szCs w:val="20"/>
              </w:rPr>
              <w:t xml:space="preserve">This assessment is published as an act of professional transparency, not as an operational document. Adversary utility ratings are analytically inferred assessments of what a sophisticated foreign OSINT collection unit could derive from the combined public platform. They do not reflect classified intelligence reporting, operational threat data, or any government assessment of actual adversary collection activity.</w:t>
            </w:r>
          </w:p>
          <w:p>
            <w:pPr>
              <w:spacing w:before="0" w:after="60"/>
            </w:pPr>
            <w:r>
              <w:rPr>
                <w:rFonts w:ascii="Arial" w:cs="Arial" w:eastAsia="Arial" w:hAnsi="Arial"/>
                <w:b w:val="false"/>
                <w:bCs w:val="false"/>
                <w:i w:val="false"/>
                <w:iCs w:val="false"/>
                <w:caps w:val="false"/>
                <w:color w:val="000000"/>
                <w:sz w:val="20"/>
                <w:szCs w:val="20"/>
              </w:rPr>
              <w:t xml:space="preserve">The WP-2026 integrated platform is assessed separately from the document-level CI assessments in CI-Assessment v3.0 and CI-Assessment-02 and from the map-level assessment in WP-2026-MAP-CI-01. The aggregation risk findings in those documents apply with full force to the integrated platform. This assessment specifically addresses the emergent system-level exposure created by the interaction of the analytic console, the site architecture, and the combined delivery layer — exposure that is distinct from and cumulative to the component-level assessments.</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 KEY JUDGMENTS</w:t>
      </w:r>
    </w:p>
    <w:p>
      <w:pPr>
        <w:spacing w:before="80" w:after="140" w:line="288"/>
        <w:jc w:val="left"/>
      </w:pPr>
      <w:r>
        <w:rPr>
          <w:rFonts w:ascii="Arial" w:cs="Arial" w:eastAsia="Arial" w:hAnsi="Arial"/>
          <w:b w:val="false"/>
          <w:bCs w:val="false"/>
          <w:i w:val="false"/>
          <w:iCs w:val="false"/>
          <w:caps w:val="false"/>
          <w:color w:val="000000"/>
          <w:sz w:val="22"/>
          <w:szCs w:val="22"/>
        </w:rPr>
        <w:t xml:space="preserve">The following judgments govern this assessment. Supporting analysis for each appears in the numbered parts below. All judgments are analytically inferred from the product architecture and known adversary OSINT methodology — not intelligence reporting. Confidence labels follow WP-2026 Verbiage Guide v2.1.</w:t>
      </w:r>
    </w:p>
    <w:p>
      <w:pPr>
        <w:spacing w:before="8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WP-2026 integrated platform constitutes an analytic acceleration environment — not an operational system — assessed as likely to reduce the analytical labor required to move from strategic framework to scenario-conditioned assessment to structured brief in ways that the individual components do not separately produce. The platform's three-layer architecture (analytic framework, intelligence representation, dissemination interface) is internally consistent and operationally coherent in ways that create emergent system-level CI exposure beyond the sum of its component assessments. [MODERATE CONFIDENCE — the system-level interaction effect is inferred from the architecture; the public record does not establish that any adversary service has specifically targeted the integrated platform as a collection priority.]</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MDO-01 Analytic Console is assessed as the platform's primary system-level CI exposure vector because it is the only component that embeds structured analytic logic — scenario outputs, track viability assessments, adversary friction mappings, and confidence architecture — in machine-readable single-file HTML that is directly parseable without specialized tools. Unlike the SENI map (which embeds geospatial data and enforcement theory) the console embeds a reasoning architecture: the conditions under which tracks are assessed as viable, the factors that degrade viability, and the structured friction points that constrain each track under named adversary conditions. This is a qualitatively different CI exposure profile than either the map or the papers.</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platform's principal CI exposure is not novel substantive disclosure — it is analytic efficiency delivery. The console does not disclose information that cannot be derived from MDO-01 v3.0. What it discloses is the analytical structure that converts that information into scenario-conditioned outputs in minutes rather than hours. Available evidence supports the judgment that this efficiency delivery is more operationally significant for adversary analytical programs than the underlying substantive content, which is already publicly accessible in the paper series.</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Moderate-High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explicit governance architecture embedded in the platform — identity band, scenario-conditioned badge, no-synthesis statement, module separation declarations, and methodological limit blocks — is assessed as the most significant CI-mitigation feature in the system. These elements are not decorative; they constitute a documented, publicly visible record that the author understood the system's implications and governed them at the architectural level. This posture is assessed with moderate-high confidence as favorable for adjudicative purposes and as a meaningful mitigation of the overreach risk that platform-level analytic systems create.</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brief generation capability in the console's Export Brief module is assessed as the highest single-capability CI exposure vector within the console itself, because it converts multi-module scenario logic into a structured, portable, formatted output that requires no further analytical processing. The brief includes scenario assessment, track viability, authorities and friction, confidence and uncertainty, and analytic watchpoints — the complete analytical product of a structured scenario assessment — in a form ready for operational consumption. The public record does not establish that adversary programs have specifically targeted the export function; the assessment is inferred from the capability's accessibility and design.</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Legal exposure for the integrated platform is assessed as very low across all applicable U.S. frameworks. The console and site are derived entirely from the paper series, which has been assessed at very low legal exposure in CI-Assessment v3.0 and CI-Assessment-02. The console's analytic logic constitutes the author's own analytical synthesis of publicly documented doctrine, statutory authorities, and open-source analysis — constitutionally protected commentary at the highest First Amendment level. The system architecture, governance language, and module separation design reduce rather than increase any cognizable legal exposure by demonstrating the author's awareness of and discipline over the system's implications.</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II: ANALYTIC POSTURE AND ASSESSMENT SCOPE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ANALYTIC POSTURE STATEMENT</w:t>
            </w:r>
          </w:p>
          <w:p>
            <w:pPr>
              <w:spacing w:before="0" w:after="60"/>
            </w:pPr>
            <w:r>
              <w:rPr>
                <w:rFonts w:ascii="Arial" w:cs="Arial" w:eastAsia="Arial" w:hAnsi="Arial"/>
                <w:b w:val="false"/>
                <w:bCs w:val="false"/>
                <w:i w:val="false"/>
                <w:iCs w:val="false"/>
                <w:caps w:val="false"/>
                <w:color w:val="000000"/>
                <w:sz w:val="20"/>
                <w:szCs w:val="20"/>
              </w:rPr>
              <w:t xml:space="preserve">This assessment applies an adapted version of the six-dimension CI exposure framework from CI-Assessment v3.0 to the integrated WP-2026 platform. The six dimensions are modified for system-level analysis: (1) Emergent Capability Risk — what the system enables that the components do not separately; (2) Analytic Efficiency Delivery — how much the system reduces the analytical labor of adversary programs; (3) Machine-Readable Logic Exposure — what the console's embedded data and reasoning architecture discloses; (4) Brief Generation Capability — what the export function produces and how it could be used; (5) Aggregation and Synthesis Risk — how the three-layer architecture combines to produce system-level exposure; (6) Legal Exposure — whether the system creates cognizable legal risk beyond the component assessments.</w:t>
            </w:r>
          </w:p>
          <w:p>
            <w:pPr>
              <w:spacing w:before="0" w:after="60"/>
            </w:pPr>
            <w:r>
              <w:rPr>
                <w:rFonts w:ascii="Arial" w:cs="Arial" w:eastAsia="Arial" w:hAnsi="Arial"/>
                <w:b w:val="false"/>
                <w:bCs w:val="false"/>
                <w:i w:val="false"/>
                <w:iCs w:val="false"/>
                <w:caps w:val="false"/>
                <w:color w:val="000000"/>
                <w:sz w:val="20"/>
                <w:szCs w:val="20"/>
              </w:rPr>
              <w:t xml:space="preserve">Ratings do not reflect confirmed adversary collection activity, classified threat reporting, or any government assessment. The platform is treated as already indexed and accessible to adversary OSINT programs from the moment of public deployment. Retraction is assessed as carrying no CI benefit and significant academic cost. All confidence labels follow WP-2026 Series Verbiage Guide v2.1.</w:t>
            </w:r>
          </w:p>
        </w:tc>
      </w:tr>
    </w:tbl>
    <w:p>
      <w:pPr>
        <w:spacing w:before="8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2.1  Platform Architecture — What This Assessment Covers</w:t>
      </w:r>
    </w:p>
    <w:p>
      <w:pPr>
        <w:spacing w:before="80" w:after="140" w:line="288"/>
        <w:jc w:val="left"/>
      </w:pPr>
      <w:r>
        <w:rPr>
          <w:rFonts w:ascii="Arial" w:cs="Arial" w:eastAsia="Arial" w:hAnsi="Arial"/>
          <w:b w:val="false"/>
          <w:bCs w:val="false"/>
          <w:i w:val="false"/>
          <w:iCs w:val="false"/>
          <w:caps w:val="false"/>
          <w:color w:val="000000"/>
          <w:sz w:val="22"/>
          <w:szCs w:val="22"/>
        </w:rPr>
        <w:t xml:space="preserve">The WP-2026 integrated platform comprises three publicly accessible layers deployed on GitHub Pages at collingeorge.github.io/WP-2026/. Layer 1 (Analytic Framework) consists of the MDO-01 v3.0 paper series and the MDO-01 Analytic Console (MDO-01-console-v2.html). Layer 2 (Intelligence Representation) consists of the SENI v4 Global Intelligence Map (addressed in WP-2026-MAP-CI-01). Layer 3 (Dissemination Interface) consists of the WP-2026 site index (index.html), which provides structured access to both interactive tools and the document archive. This assessment addresses Layer 1 (console only — the paper is addressed in CI-Assessment v3.0 and CI-Assessment-02) and the system-level interaction effects created by the three-layer architecture. Layer 2 is assessed in WP-2026-MAP-CI-01. This document reads in conjunction with both prior assessments.</w:t>
      </w:r>
    </w:p>
    <w:p>
      <w:pPr>
        <w:spacing w:before="80" w:after="140" w:line="288"/>
        <w:jc w:val="left"/>
      </w:pPr>
      <w:r>
        <w:rPr>
          <w:rFonts w:ascii="Arial" w:cs="Arial" w:eastAsia="Arial" w:hAnsi="Arial"/>
          <w:b w:val="false"/>
          <w:bCs w:val="false"/>
          <w:i w:val="false"/>
          <w:iCs w:val="false"/>
          <w:caps w:val="false"/>
          <w:color w:val="000000"/>
          <w:sz w:val="22"/>
          <w:szCs w:val="22"/>
        </w:rPr>
        <w:t xml:space="preserve">The MDO-01 Analytic Console is a single-file HTML application of approximately 124 KB deployed on GitHub Pages. It embeds ten interactive modules: overview with six key judgments, three-track comparator, authorities and friction map, adversary stress test (PRC/Russia/DPRK), campaign workflow viewer, confidence matrix, F2T2EA targeting sequence, sanctions case validation, scenario builder with condition checkboxes, and export brief generator. The complete analytic logic — including scenario data, adversary profiles, friction points, viability assessment rules, and brief generation templates — is embedded in the JavaScript source of a single publicly accessible HTML file.</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III: SYSTEM-LEVEL EXPOSURE VECTORS</w:t>
      </w:r>
    </w:p>
    <w:p>
      <w:pPr>
        <w:pStyle w:val="Heading2"/>
        <w:spacing w:before="280" w:after="120"/>
      </w:pPr>
      <w:r>
        <w:rPr>
          <w:rFonts w:ascii="Arial" w:cs="Arial" w:eastAsia="Arial" w:hAnsi="Arial"/>
          <w:b/>
          <w:bCs/>
          <w:color w:val="1B2A4A"/>
          <w:sz w:val="24"/>
          <w:szCs w:val="24"/>
        </w:rPr>
        <w:t xml:space="preserve">3.1  Vector 1 — Emergent Capability: Analytic Acceleration</w:t>
      </w:r>
    </w:p>
    <w:p>
      <w:pPr>
        <w:spacing w:before="80" w:after="140" w:line="288"/>
        <w:jc w:val="left"/>
      </w:pPr>
      <w:r>
        <w:rPr>
          <w:rFonts w:ascii="Arial" w:cs="Arial" w:eastAsia="Arial" w:hAnsi="Arial"/>
          <w:b w:val="false"/>
          <w:bCs w:val="false"/>
          <w:i w:val="false"/>
          <w:iCs w:val="false"/>
          <w:caps w:val="false"/>
          <w:color w:val="000000"/>
          <w:sz w:val="22"/>
          <w:szCs w:val="22"/>
        </w:rPr>
        <w:t xml:space="preserve">The most significant system-level CI vector is not any single component but the interaction between them. Individually, the MDO-01 paper is a disciplined open-source policy document; the console is a structured decision-support interface; the SENI map is an enforcement intelligence database; the site is a dissemination portal. Together, they constitute a structured analytic workflow in which a user can move from strategic framework (paper) to scenario-conditioned assessment (console) to structured brief (export function) to enforcement intelligence database (map) without leaving the platform and without performing analytical synthesis work. [MODERATE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workflow compression is the system's principal CI exposure at the platform level. The public record does not establish that adversary OSINT programs specifically target integrated policy-analytic platforms of this type. Available reporting on adversary OSINT methodology is consistent with the judgment that structured analytic workflows of this accessibility and coherence are systematically collected when identified, because they reduce the analytical labor required to understand and counter the enforcement architecture they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C2E"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AF4EC" w:val="clear"/>
            <w:tcMar>
              <w:top w:type="dxa" w:w="80"/>
              <w:left w:type="dxa" w:w="120"/>
              <w:bottom w:type="dxa" w:w="80"/>
              <w:right w:type="dxa" w:w="120"/>
            </w:tcMar>
            <w:vAlign w:val="top"/>
          </w:tcPr>
          <w:p>
            <w:pPr>
              <w:spacing w:before="80" w:after="60"/>
            </w:pPr>
            <w:r>
              <w:rPr>
                <w:rFonts w:ascii="Arial" w:cs="Arial" w:eastAsia="Arial" w:hAnsi="Arial"/>
                <w:b/>
                <w:bCs/>
                <w:caps/>
                <w:color w:val="1A5C2E"/>
                <w:sz w:val="20"/>
                <w:szCs w:val="20"/>
              </w:rPr>
              <w:t xml:space="preserve">DOCUMENTED STRUCTURAL CONSTRAINT</w:t>
            </w:r>
          </w:p>
          <w:p>
            <w:pPr>
              <w:spacing w:before="0" w:after="60"/>
            </w:pPr>
            <w:r>
              <w:rPr>
                <w:rFonts w:ascii="Arial" w:cs="Arial" w:eastAsia="Arial" w:hAnsi="Arial"/>
                <w:b w:val="false"/>
                <w:bCs w:val="false"/>
                <w:i w:val="false"/>
                <w:iCs w:val="false"/>
                <w:caps w:val="false"/>
                <w:color w:val="000000"/>
                <w:sz w:val="20"/>
                <w:szCs w:val="20"/>
              </w:rPr>
              <w:t xml:space="preserve">The analytic acceleration capability is a feature, not a defect. The platform's academic and demonstration value — showing an IC or think tank audience a live, integrated, institutionally coherent analytic environment — requires the components to be accessible and functional together. The CI tradeoff was accepted at the design stage and is consistent with the open-source publication posture of the WP-2026 series. The governance architecture (module separation statements, no-synthesis declarations, scenario-conditioned labeling) mitigates the overreach risk but does not and cannot eliminate the efficiency delivery that the platform provides to any sophisticated user.</w:t>
            </w:r>
          </w:p>
        </w:tc>
      </w:tr>
    </w:tbl>
    <w:p>
      <w:pPr>
        <w:spacing w:before="8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3.2  Vector 2 — Machine-Readable Reasoning Architecture (Console)</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console embeds structured analytic logic in machine-readable JavaScript objects that are directly parseable from the HTML source. This is qualitatively different from the SENI map's embedded database. The map embeds data — node objects with fields for name, coordinates, enforcement theory, and tier classification. The console embeds reasoning — scenario logic objects that specify, for each adversary and each phase, the base viability labels for each track, the friction points that constrain each track, and the uncertainties that bound each assessment. [MODERATE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A sophisticated adversary analyst who extracts the console's JavaScript source receives not only the substantive content of MDO-01 v3.0 (which is available in the paper) but the author's structured analytical model of how that content translates into scenario-conditioned assessments under specific condition parameters. This includes: (a) the SCENARIO_LOGIC object specifying viability labels for PRC, Russia, and DPRK across four phases with friction and uncertainty arrays; (b) the ADVERSARY_DATA object specifying doctrine assessments, stress analysis items by type, and track modification notes for each adversary; (c) the PHASE_DATA array specifying T1/T2/T3 activities, sanctions integration, escalation triggers, and off-ramps for each campaign phase; (d) the CONF_MATRIX array specifying the confidence basis, principal counterargument, and reassessment conditions for ten analytic claims; and (e) the CASE_DATA objects specifying the structured evidentiary basis and limits for three sanctions enforcement cases.</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represents a complete extraction of the author's structured analytical model in a directly parseable format. The CI exposure is bounded by two factors: first, all content is derived from MDO-01 v3.0 and the series papers, which are themselves public; second, the categorical viability system (no numeric weighting, no algorithmic scoring) means the extracted logic does not reveal a precise measurement model — it reveals structured qualitative judgments that a competent analyst could reproduce from the paper independently. The efficiency value to adversary programs is the structure, not the content.</w:t>
      </w:r>
    </w:p>
    <w:p>
      <w:pPr>
        <w:pStyle w:val="Heading2"/>
        <w:spacing w:before="280" w:after="120"/>
      </w:pPr>
      <w:r>
        <w:rPr>
          <w:rFonts w:ascii="Arial" w:cs="Arial" w:eastAsia="Arial" w:hAnsi="Arial"/>
          <w:b/>
          <w:bCs/>
          <w:color w:val="1B2A4A"/>
          <w:sz w:val="24"/>
          <w:szCs w:val="24"/>
        </w:rPr>
        <w:t xml:space="preserve">3.3  Vector 3 — Brief Generation Capability</w:t>
      </w:r>
    </w:p>
    <w:p>
      <w:pPr>
        <w:spacing w:before="80" w:after="140" w:line="288"/>
        <w:jc w:val="left"/>
      </w:pPr>
      <w:r>
        <w:rPr>
          <w:rFonts w:ascii="Arial" w:cs="Arial" w:eastAsia="Arial" w:hAnsi="Arial"/>
          <w:b w:val="false"/>
          <w:bCs w:val="false"/>
          <w:i w:val="false"/>
          <w:iCs w:val="false"/>
          <w:caps w:val="false"/>
          <w:color w:val="000000"/>
          <w:sz w:val="22"/>
          <w:szCs w:val="22"/>
        </w:rPr>
        <w:t xml:space="preserve">The Export Brief module generates a structured formatted output containing scenario assessment summary, track viability conditional comparison, authorities and friction note, confidence and uncertainty, and analytic watchpoints — with a methodological limit block appended to every output. The brief is generated client-side from the embedded analytic logic and requires no server interaction; it is produced in approximately two seconds from scenario parameter selection to formatted output. [LOW-MODERATE CONFIDENCE on adversary operational utility,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CI significance of this capability is that it converts the console's multi-module analytical structure into a portable, formatted product without requiring the user to perform any synthesis work. The product is explicitly labeled scenario-conditioned, bounded by the public record, not operational guidance, and carries the methodological limit block identifying it as derived from open-source analysis. These governance elements reduce the risk of the output being interpreted as directive or predictive. The principal residual risk is that a brief generated for a specific adversary under specific scenario conditions could function as a structured analytical summary of U.S. analytic posture on that adversary — an output that, while grounded entirely in public sources, presents that posture in a concise and organized form that is immediately consumable without the discipline overhead of the full paper.</w:t>
      </w:r>
    </w:p>
    <w:p>
      <w:pPr>
        <w:pStyle w:val="Heading2"/>
        <w:spacing w:before="280" w:after="120"/>
      </w:pPr>
      <w:r>
        <w:rPr>
          <w:rFonts w:ascii="Arial" w:cs="Arial" w:eastAsia="Arial" w:hAnsi="Arial"/>
          <w:b/>
          <w:bCs/>
          <w:color w:val="1B2A4A"/>
          <w:sz w:val="24"/>
          <w:szCs w:val="24"/>
        </w:rPr>
        <w:t xml:space="preserve">3.4  Vector 4 — Adversary Profile Aggregation (Console Adversary Module)</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console's Adversary Context module provides structured assessments for PRC, Russia, and DPRK that are organized across four analytical dimensions: Documented Doctrine, Analytic Assessment, Stress Analysis (categorized as risk/friction/constraint), and Track Modification notes. The stress analysis for each adversary contains six items organized by type, with a total of 18 adversary-specific analytical judgments across the three adversary tabs. [MODERATE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aggregation is more operationally organized than the equivalent content in the MDO-01 paper. The paper presents adversary analysis in flowing paragraphs within Part VI; the console presents it as structured, categorized, and filterable. The PRC adversary profile specifically — which includes six stress items covering Track 1/3 seam exposure, alliance fragmentation exposure, systems confrontation targeting, space/cyber enabling exposure, ASW improvement trajectory, and OCO reliability — constitutes a structured analytical summary of the author's PRC-specific analytical posture across all six dimensions in a single filterable view. The Russia profile's explicit identification of decision-window compression as a documented constraint and the DPRK profile's nuclear proportionality exposure analysis follow the same pattern.</w:t>
      </w:r>
    </w:p>
    <w:p>
      <w:pPr>
        <w:spacing w:before="80" w:after="140" w:line="288"/>
        <w:jc w:val="left"/>
      </w:pPr>
      <w:r>
        <w:rPr>
          <w:rFonts w:ascii="Arial" w:cs="Arial" w:eastAsia="Arial" w:hAnsi="Arial"/>
          <w:b w:val="false"/>
          <w:bCs w:val="false"/>
          <w:i w:val="false"/>
          <w:iCs w:val="false"/>
          <w:caps w:val="false"/>
          <w:color w:val="000000"/>
          <w:sz w:val="22"/>
          <w:szCs w:val="22"/>
        </w:rPr>
        <w:t xml:space="preserve">The adversary aggregation risk is bounded by the module's explicit limiting language — 'The available evidence does not resolve how each adversary's doctrine translates into operational execution in any specific contingency' — and by the governance statement that these are framing considerations, not predictions. The public record does not establish that adversary services have specifically identified the console's adversary module as a collection target distinct from the MDO-01 paper.</w:t>
      </w:r>
    </w:p>
    <w:p>
      <w:pPr>
        <w:pStyle w:val="Heading2"/>
        <w:spacing w:before="280" w:after="120"/>
      </w:pPr>
      <w:r>
        <w:rPr>
          <w:rFonts w:ascii="Arial" w:cs="Arial" w:eastAsia="Arial" w:hAnsi="Arial"/>
          <w:b/>
          <w:bCs/>
          <w:color w:val="1B2A4A"/>
          <w:sz w:val="24"/>
          <w:szCs w:val="24"/>
        </w:rPr>
        <w:t xml:space="preserve">3.5  Vector 5 — Site Architecture and Cross-Layer Navigation</w:t>
      </w:r>
    </w:p>
    <w:p>
      <w:pPr>
        <w:spacing w:before="80" w:after="140" w:line="288"/>
        <w:jc w:val="left"/>
      </w:pPr>
      <w:r>
        <w:rPr>
          <w:rFonts w:ascii="Arial" w:cs="Arial" w:eastAsia="Arial" w:hAnsi="Arial"/>
          <w:b w:val="false"/>
          <w:bCs w:val="false"/>
          <w:i w:val="false"/>
          <w:iCs w:val="false"/>
          <w:caps w:val="false"/>
          <w:color w:val="000000"/>
          <w:sz w:val="22"/>
          <w:szCs w:val="22"/>
        </w:rPr>
        <w:t xml:space="preserve">The WP-2026 site index provides a single entry point that links to the console, the SENI map, the document archive, and the series architecture table — presenting the complete WP-2026 analytical platform as a navigable integrated system. The site's System Architecture and Module Separation section explicitly describes the three-layer architecture, which provides a map of the system's components and their relationships that reduces the analytical labor required for a sophisticated adversary to understand the platform's design and exploitation surface. [MODERATE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The site's series architecture table maps every paper's role, upstream dependencies, and downstream reads — effectively providing a dependency graph of the entire analytical corpus. A foreign analyst reading the series architecture table can identify which papers are most upstream (ATTRIBUTION-01, CSE-01, PERSIST-01) and which are most downstream (BRI-01, HORMUZ-02) in the series logic, enabling targeted collection priority determination without reading the full document archive. This is the same dependency graph exposure identified in CI-Assessment-02 Section 1.1 for the ESCALATE-01 aggregation contribution; the site makes that graph explicitly visual and navigable.</w:t>
      </w:r>
    </w:p>
    <w:p>
      <w:pPr>
        <w:pStyle w:val="Heading2"/>
        <w:spacing w:before="280" w:after="120"/>
      </w:pPr>
      <w:r>
        <w:rPr>
          <w:rFonts w:ascii="Arial" w:cs="Arial" w:eastAsia="Arial" w:hAnsi="Arial"/>
          <w:b/>
          <w:bCs/>
          <w:color w:val="1B2A4A"/>
          <w:sz w:val="24"/>
          <w:szCs w:val="24"/>
        </w:rPr>
        <w:t xml:space="preserve">3.6  Vector 6 — GitHub Deployment and Indexing</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console and site are deployed on GitHub Pages and indexed by major search engines. The CI exposure vectors from GitHub deployment are identical to those identified for the SENI map in WP-2026-MAP-CI-01 Part I Vector 5: (1) search engine discovery via keyword search on WP-2026-related terms; (2) raw GitHub URL access bypassing the interactive interface and delivering the full HTML source; (3) commit history as a development timeline and methodological confidence map. For the console specifically, the commit history discloses iterative refinement passes (v1 → v2 → v3) with associated commit messages, which discloses when specific analytical refinements — confidence recalibration, categorical viability system, governance language additions — were incorporated. [HIGH CONFIDENCE — documented structural property of GitHub Pages deployment]</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IV: ADVERSARY-SPECIFIC UTILITY ASSESSMENT</w:t>
      </w:r>
    </w:p>
    <w:p>
      <w:pPr>
        <w:pStyle w:val="Heading2"/>
        <w:spacing w:before="280" w:after="120"/>
      </w:pPr>
      <w:r>
        <w:rPr>
          <w:rFonts w:ascii="Arial" w:cs="Arial" w:eastAsia="Arial" w:hAnsi="Arial"/>
          <w:b/>
          <w:bCs/>
          <w:color w:val="1B2A4A"/>
          <w:sz w:val="24"/>
          <w:szCs w:val="24"/>
        </w:rPr>
        <w:t xml:space="preserve">4.1  People's Republic of China — MSS / MID</w:t>
      </w:r>
    </w:p>
    <w:p>
      <w:pPr>
        <w:spacing w:before="80" w:after="140" w:line="288"/>
        <w:jc w:val="left"/>
      </w:pPr>
      <w:r>
        <w:rPr>
          <w:rFonts w:ascii="Arial" w:cs="Arial" w:eastAsia="Arial" w:hAnsi="Arial"/>
          <w:b w:val="false"/>
          <w:bCs w:val="false"/>
          <w:i w:val="false"/>
          <w:iCs w:val="false"/>
          <w:caps w:val="false"/>
          <w:color w:val="000000"/>
          <w:sz w:val="22"/>
          <w:szCs w:val="22"/>
        </w:rPr>
        <w:t xml:space="preserve">[MODERATE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PRC adversary utility from the integrated platform is assessed as concentrated in two vectors. First, the console's PRC adversary profile provides a structured, organized summary of the author's analytical posture on PRC Three Warfares doctrine and its assessed effects on track viability — including specific identification of Track 1/3 seam exploitation as the primary PRC strategic mechanism. The stress analysis items for PRC (systems confrontation targeting, space/cyber enabling exposure, ASW improvement trajectory, OCO reliability) organize the author's uncertainty disclosures about U.S. capability limitations in a format optimized for rapid analytical consumption. A PRC MSS analyst reading the console's adversary module receives a structured summary of what the WP-2026 framework assesses as U.S. operational vulnerabilities against PRC without navigating the full MDO-01 paper.</w:t>
      </w:r>
    </w:p>
    <w:p>
      <w:pPr>
        <w:spacing w:before="80" w:after="140" w:line="288"/>
        <w:jc w:val="left"/>
      </w:pPr>
      <w:r>
        <w:rPr>
          <w:rFonts w:ascii="Arial" w:cs="Arial" w:eastAsia="Arial" w:hAnsi="Arial"/>
          <w:b w:val="false"/>
          <w:bCs w:val="false"/>
          <w:i w:val="false"/>
          <w:iCs w:val="false"/>
          <w:caps w:val="false"/>
          <w:color w:val="000000"/>
          <w:sz w:val="22"/>
          <w:szCs w:val="22"/>
        </w:rPr>
        <w:t xml:space="preserve">Second, the brief generation capability for a PRC/Crisis scenario produces a formatted document that includes Track 2 viability as 'Conditional,' Track 3 viability as 'Constrained,' and the full set of PRC-specific friction points in a portable format. The brief's explicit identification of OCO pre-positioning reliability as a principal uncertainty and PRC enabling architecture denial as a principal constraint constitutes a structured U.S. self-assessment of operational limitations that is immediately consumable without analytical synthesis. The public record does not establish PRC MSS collection of the console specifically; the assessment is inferred from product accessibility and documented PRC OSINT methodology.</w:t>
      </w:r>
    </w:p>
    <w:p>
      <w:pPr>
        <w:pStyle w:val="Heading2"/>
        <w:spacing w:before="280" w:after="120"/>
      </w:pPr>
      <w:r>
        <w:rPr>
          <w:rFonts w:ascii="Arial" w:cs="Arial" w:eastAsia="Arial" w:hAnsi="Arial"/>
          <w:b/>
          <w:bCs/>
          <w:color w:val="1B2A4A"/>
          <w:sz w:val="24"/>
          <w:szCs w:val="24"/>
        </w:rPr>
        <w:t xml:space="preserve">4.2  Russia — SVR / GRU</w:t>
      </w:r>
    </w:p>
    <w:p>
      <w:pPr>
        <w:spacing w:before="80" w:after="140" w:line="288"/>
        <w:jc w:val="left"/>
      </w:pPr>
      <w:r>
        <w:rPr>
          <w:rFonts w:ascii="Arial" w:cs="Arial" w:eastAsia="Arial" w:hAnsi="Arial"/>
          <w:b w:val="false"/>
          <w:bCs w:val="false"/>
          <w:i w:val="false"/>
          <w:iCs w:val="false"/>
          <w:caps w:val="false"/>
          <w:color w:val="000000"/>
          <w:sz w:val="22"/>
          <w:szCs w:val="22"/>
        </w:rPr>
        <w:t xml:space="preserve">[MODERATE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Russian adversary utility is assessed as concentrated in the scenario builder's Russia adversary profiles, particularly the crisis and competition phases, which identify decision-window compression as a principal Track 2 constraint and explicitly note that 'Russian doctrine appears to account for this institutional lag.' The track modification notes for Russia — identifying that 'Track 2 political authorization delay appears to be a specific Russian exploitation target' — constitute the most operationally specific disclosure in the Russia adversary module. A Russian intelligence analyst using the scenario builder with Russia selected and the crisis phase active receives a structured U.S. assessment that identifies the specific institutional mechanism Russia is assessed as exploiting, labeled with the appropriate confidence level. The Russia 2022 sanctions counter-case in the Cases module additionally provides a structured summary of the U.S. analytical assessment that comprehensive sanctions did not produce behavioral change — a finding that Russian strategic planners can use to calibrate the durability of the current sanctions environment.</w:t>
      </w:r>
    </w:p>
    <w:p>
      <w:pPr>
        <w:pStyle w:val="Heading2"/>
        <w:spacing w:before="280" w:after="120"/>
      </w:pPr>
      <w:r>
        <w:rPr>
          <w:rFonts w:ascii="Arial" w:cs="Arial" w:eastAsia="Arial" w:hAnsi="Arial"/>
          <w:b/>
          <w:bCs/>
          <w:color w:val="1B2A4A"/>
          <w:sz w:val="24"/>
          <w:szCs w:val="24"/>
        </w:rPr>
        <w:t xml:space="preserve">4.3  DPRK — RGB / Reconnaissance General Bureau</w:t>
      </w:r>
    </w:p>
    <w:p>
      <w:pPr>
        <w:spacing w:before="80" w:after="140" w:line="288"/>
        <w:jc w:val="left"/>
      </w:pPr>
      <w:r>
        <w:rPr>
          <w:rFonts w:ascii="Arial" w:cs="Arial" w:eastAsia="Arial" w:hAnsi="Arial"/>
          <w:b w:val="false"/>
          <w:bCs w:val="false"/>
          <w:i w:val="false"/>
          <w:iCs w:val="false"/>
          <w:caps w:val="false"/>
          <w:color w:val="000000"/>
          <w:sz w:val="22"/>
          <w:szCs w:val="22"/>
        </w:rPr>
        <w:t xml:space="preserve">[LOW-MODERATE CONFIDENCE, ANALYTICALLY INFERRED]</w:t>
      </w:r>
    </w:p>
    <w:p>
      <w:pPr>
        <w:spacing w:before="80" w:after="140" w:line="288"/>
        <w:jc w:val="left"/>
      </w:pPr>
      <w:r>
        <w:rPr>
          <w:rFonts w:ascii="Arial" w:cs="Arial" w:eastAsia="Arial" w:hAnsi="Arial"/>
          <w:b w:val="false"/>
          <w:bCs w:val="false"/>
          <w:i w:val="false"/>
          <w:iCs w:val="false"/>
          <w:caps w:val="false"/>
          <w:color w:val="000000"/>
          <w:sz w:val="22"/>
          <w:szCs w:val="22"/>
        </w:rPr>
        <w:t xml:space="preserve">DPRK utility from the integrated platform is assessed as lower than PRC or Russia, consistent with the pattern in WP-2026-MAP-CI-01 Section 2.4. The console's DPRK adversary profile is analytically thinner than PRC or Russia profiles as a class — fewer Tier 1 sources, more LOW-MODERATE confidence labels, and shorter stress analysis items reflecting the genuine OSINT limitation across the DPRK domain. The nuclear proportionality exposure item — identifying that demonstrated ICBM capability 'may affect the LOAC proportionality calculus for any Track 2 response' — is the most analytically specific DPRK disclosure in the console. The public record does not establish DPRK collection of the console distinct from the MDO-01 paper, and the thin evidentiary basis reduces operational utility for DPRK audiences relative to PRC and Russia.</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 ANALYTIC MISUSE MODES</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section documents the primary ways in which the integrated platform could be analytically misread or misused — either by adversary programs seeking to exploit it, or by legitimate users who mistake the system's categorical structure for something more authoritative than it is. Documenting misuse modes is itself a governance act: it demonstrates second-order awareness of how the system could be misinterpreted and constitutes a documented record of the author's understanding of the system's limitations.</w:t>
      </w:r>
    </w:p>
    <w:p>
      <w:pPr>
        <w:spacing w:before="8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MISUSE MODE 1 — MISINTERPRETING CATEGORICAL VIABILITY AS RANKING</w:t>
            </w:r>
          </w:p>
          <w:p>
            <w:pPr>
              <w:spacing w:before="0" w:after="60"/>
            </w:pPr>
            <w:r>
              <w:rPr>
                <w:rFonts w:ascii="Arial" w:cs="Arial" w:eastAsia="Arial" w:hAnsi="Arial"/>
                <w:b w:val="false"/>
                <w:bCs w:val="false"/>
                <w:i w:val="false"/>
                <w:iCs w:val="false"/>
                <w:caps w:val="false"/>
                <w:color w:val="000000"/>
                <w:sz w:val="20"/>
                <w:szCs w:val="20"/>
              </w:rPr>
              <w:t xml:space="preserve">The console's scenario builder produces categorical viability labels (Relatively Higher, Conditional, Constrained, Significantly Constrained) that are explicitly not rankings and do not carry numeric precision. An adversary analyst or legitimate user who treats these labels as a rank-ordering of track effectiveness — concluding that 'Track 1 is better than Track 2 in the PRC crisis scenario' — misreads the system. The labels indicate analytical standing under stated conditions; they do not imply that Track 1 is preferred, more effective, or more likely to be selected. The governance language explicitly states this, but the visual presentation of three labeled indicators in sequence creates a mild ranking perception that sophisticated users should recognize as a categorical display, not an ordered preference list.</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MISUSE MODE 2 — TREATING THE THREE-TRACK FRAMEWORK AS OFFICIAL DOCTRINE</w:t>
            </w:r>
          </w:p>
          <w:p>
            <w:pPr>
              <w:spacing w:before="0" w:after="60"/>
            </w:pPr>
            <w:r>
              <w:rPr>
                <w:rFonts w:ascii="Arial" w:cs="Arial" w:eastAsia="Arial" w:hAnsi="Arial"/>
                <w:b w:val="false"/>
                <w:bCs w:val="false"/>
                <w:i w:val="false"/>
                <w:iCs w:val="false"/>
                <w:caps w:val="false"/>
                <w:color w:val="000000"/>
                <w:sz w:val="20"/>
                <w:szCs w:val="20"/>
              </w:rPr>
              <w:t xml:space="preserve">The three-track framework is explicitly and repeatedly identified as an analytic organizing construct derived from publicly documented authorities and observed practice — not a formally codified U.S. decision architecture. A user who treats the console's track viability outputs as reflecting official U.S. government decision criteria — concluding that a 'Constrained' Track 3 rating reflects actual U.S. policy posture on covert options — fundamentally misreads the system. The framework reflects the author's synthesis; actual U.S. decision processes operate under classified operational orders and policy frameworks that the public record does not establish. The console cannot and does not replicate those processes.</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MISUSE MODE 3 — INFERRING OPERATIONAL SEQUENCING FROM WORKFLOW OUTPUTS</w:t>
            </w:r>
          </w:p>
          <w:p>
            <w:pPr>
              <w:spacing w:before="0" w:after="60"/>
            </w:pPr>
            <w:r>
              <w:rPr>
                <w:rFonts w:ascii="Arial" w:cs="Arial" w:eastAsia="Arial" w:hAnsi="Arial"/>
                <w:b w:val="false"/>
                <w:bCs w:val="false"/>
                <w:i w:val="false"/>
                <w:iCs w:val="false"/>
                <w:caps w:val="false"/>
                <w:color w:val="000000"/>
                <w:sz w:val="20"/>
                <w:szCs w:val="20"/>
              </w:rPr>
              <w:t xml:space="preserve">The campaign workflow viewer provides Track 1, 2, and 3 activities by phase with escalation triggers and off-ramps. A user who treats these as an operational decision tree — concluding that the presence of 'CCMD force flow; dispersed basing activation' in the Crisis phase implies that U.S. forces would take these specific actions in a named contingency — misreads the system. The workflow reflects publicly documented doctrinal activities from FM 3-0, JP 3-0, and related sources. It does not reflect classified operational plans or current U.S. military posture for any specific contingency. The public record explicitly does not establish the conditions under which any specific phase transition occurs in actual U.S. planning.</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MISUSE MODE 4 — ASSUMING CROSS-MODULE SYNTHESIS</w:t>
            </w:r>
          </w:p>
          <w:p>
            <w:pPr>
              <w:spacing w:before="0" w:after="60"/>
            </w:pPr>
            <w:r>
              <w:rPr>
                <w:rFonts w:ascii="Arial" w:cs="Arial" w:eastAsia="Arial" w:hAnsi="Arial"/>
                <w:b w:val="false"/>
                <w:bCs w:val="false"/>
                <w:i w:val="false"/>
                <w:iCs w:val="false"/>
                <w:caps w:val="false"/>
                <w:color w:val="000000"/>
                <w:sz w:val="20"/>
                <w:szCs w:val="20"/>
              </w:rPr>
              <w:t xml:space="preserve">The platform explicitly states that it does not integrate modules into a unified analytic output and that cross-module synthesis remains the responsibility of the user. A user who navigates from the scenario builder to the SENI map and treats the outputs as a combined targeting assessment — inferring that a 'Constrained' Track 3 viability rating implies that SENI map nodes are the appropriate alternative enforcement instrument — performs cross-module synthesis that the platform explicitly does not perform and does not sanction. The console and map are analytically independent; no inference flows between them except what the user constructs independently.</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MISUSE MODE 5 — TREATING BRIEF OUTPUTS AS POLICY PRODUCTS</w:t>
            </w:r>
          </w:p>
          <w:p>
            <w:pPr>
              <w:spacing w:before="0" w:after="60"/>
            </w:pPr>
            <w:r>
              <w:rPr>
                <w:rFonts w:ascii="Arial" w:cs="Arial" w:eastAsia="Arial" w:hAnsi="Arial"/>
                <w:b w:val="false"/>
                <w:bCs w:val="false"/>
                <w:i w:val="false"/>
                <w:iCs w:val="false"/>
                <w:caps w:val="false"/>
                <w:color w:val="000000"/>
                <w:sz w:val="20"/>
                <w:szCs w:val="20"/>
              </w:rPr>
              <w:t xml:space="preserve">The Export Brief module generates formatted structured outputs that carry explicit labels identifying them as scenario-conditioned analytic snapshots bounded by the public record and not operational guidance. A user who presents a generated brief as a policy recommendation, official assessment, or operational directive — stripping or ignoring the methodological limit block — misuses the product. The brief is the author's structured analytical synthesis of publicly documented doctrine; it is not a government product, does not reflect any agency's analytical posture, and carries the author's confidence constraints, not any institutional authority.</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 LEGAL EXPOSURE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LEGAL ASSESSMENT SCOPE</w:t>
            </w:r>
          </w:p>
          <w:p>
            <w:pPr>
              <w:spacing w:before="0" w:after="60"/>
            </w:pPr>
            <w:r>
              <w:rPr>
                <w:rFonts w:ascii="Arial" w:cs="Arial" w:eastAsia="Arial" w:hAnsi="Arial"/>
                <w:b w:val="false"/>
                <w:bCs w:val="false"/>
                <w:i w:val="false"/>
                <w:iCs w:val="false"/>
                <w:caps w:val="false"/>
                <w:color w:val="000000"/>
                <w:sz w:val="20"/>
                <w:szCs w:val="20"/>
              </w:rPr>
              <w:t xml:space="preserve">This legal analysis is produced for the author's awareness and does not constitute legal advice. All assessed legal frameworks are applied to publicly available content only. The analysis does not assess classified information implications because no classified information is present in either the console or the site.</w:t>
            </w:r>
          </w:p>
          <w:p>
            <w:pPr>
              <w:spacing w:before="0" w:after="60"/>
            </w:pPr>
            <w:r>
              <w:rPr>
                <w:rFonts w:ascii="Arial" w:cs="Arial" w:eastAsia="Arial" w:hAnsi="Arial"/>
                <w:b w:val="false"/>
                <w:bCs w:val="false"/>
                <w:i w:val="false"/>
                <w:iCs w:val="false"/>
                <w:caps w:val="false"/>
                <w:color w:val="000000"/>
                <w:sz w:val="20"/>
                <w:szCs w:val="20"/>
              </w:rPr>
              <w:t xml:space="preserve">Overall Platform Legal Exposure Assessment: VERY LOW across all applicable frameworks. [MODERATE CONFIDENCE, ANALYTICALLY INFERRED] The platform inherits the legal determinations from CI-Assessment v3.0 and CI-Assessment-02, both of which assessed the underlying paper series at very low legal exposure. The console and site add no new substantive content beyond what those assessments already cover.</w:t>
            </w:r>
          </w:p>
        </w:tc>
      </w:tr>
    </w:tbl>
    <w:p>
      <w:pPr>
        <w:spacing w:before="8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6.1  Espionage Act — 18 U.S.C. §§ 791–799</w:t>
      </w:r>
    </w:p>
    <w:p>
      <w:pPr>
        <w:spacing w:before="80" w:after="140" w:line="288"/>
        <w:jc w:val="left"/>
      </w:pPr>
      <w:r>
        <w:rPr>
          <w:rFonts w:ascii="Arial" w:cs="Arial" w:eastAsia="Arial" w:hAnsi="Arial"/>
          <w:b w:val="false"/>
          <w:bCs w:val="false"/>
          <w:i w:val="false"/>
          <w:iCs w:val="false"/>
          <w:caps w:val="false"/>
          <w:color w:val="000000"/>
          <w:sz w:val="22"/>
          <w:szCs w:val="22"/>
        </w:rPr>
        <w:t xml:space="preserve">Available legal authority is consistent with the judgment that neither the MDO-01 Analytic Console nor the WP-2026 site satisfies the required elements of the Espionage Act. Both products are derived entirely from public sources — the MDO-01 v3.0 paper, which draws from FM 3-0, JP 3-0, ODNI ATA 2025, Title 10 and Title 50 USC, and open-source academic analysis. No national defense information — defined by reference to closely held information whose disclosure could damage national defense — is present. The console's analytic logic constitutes the author's own structured synthesis of publicly available doctrine and is the author's intellectual work product; it does not replicate or derive from any classified analytical product. The system-level interaction of console, map, and site does not create NDI through aggregation under United States v. Morison, 844 F.2d 1057 (4th Cir. 1988), because the aggregation of public-source analytical frameworks and public-source enforcement data does not satisfy the closely-held element regardless of the sophistication of the synthesis.</w:t>
      </w:r>
    </w:p>
    <w:p>
      <w:pPr>
        <w:pStyle w:val="Heading2"/>
        <w:spacing w:before="280" w:after="120"/>
      </w:pPr>
      <w:r>
        <w:rPr>
          <w:rFonts w:ascii="Arial" w:cs="Arial" w:eastAsia="Arial" w:hAnsi="Arial"/>
          <w:b/>
          <w:bCs/>
          <w:color w:val="1B2A4A"/>
          <w:sz w:val="24"/>
          <w:szCs w:val="24"/>
        </w:rPr>
        <w:t xml:space="preserve">6.2  Analytic Logic as Protected Intellectual Work Product</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console's JavaScript data objects — SCENARIO_LOGIC, ADVERSARY_DATA, PHASE_DATA, CONF_MATRIX, CASE_DATA — represent the author's structured analytical model derived from the MDO-01 v3.0 paper. Available constitutional authority is consistent with the judgment that this analytic synthesis constitutes protected expression at the highest First Amendment level per Snyder v. Phelps, 562 U.S. 443 (2011). Academic and policy commentary on military doctrine, legal authorities, and strategic competition is squarely within the core of protected political and academic speech. The fact that the commentary is presented in structured JavaScript objects rather than prose does not alter its constitutional character; the medium of expression does not affect the First Amendment analysis.</w:t>
      </w:r>
    </w:p>
    <w:p>
      <w:pPr>
        <w:pStyle w:val="Heading2"/>
        <w:spacing w:before="280" w:after="120"/>
      </w:pPr>
      <w:r>
        <w:rPr>
          <w:rFonts w:ascii="Arial" w:cs="Arial" w:eastAsia="Arial" w:hAnsi="Arial"/>
          <w:b/>
          <w:bCs/>
          <w:color w:val="1B2A4A"/>
          <w:sz w:val="24"/>
          <w:szCs w:val="24"/>
        </w:rPr>
        <w:t xml:space="preserve">6.3  Legal Risk Summary —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Legal Theory / Risk Vector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Applicable Framework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Assessed Likelihood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Analysis and Limits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Espionage Act (18 U.S.C. § 793)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NDI element; unauthorized transmission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 — Not Applicable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All console and site content derived from public sources and MDO-01 v3.0 (itself assessed at very low exposure in CI-Assessment v3.0). NDI element not satisfied. System-level aggregation of public-source analytical frameworks does not satisfy closely-held element per Morison.</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AECA / ITAR (22 C.F.R. Parts 120–130)</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USML technical data; defense article export</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 — Not Applicable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Console and site address doctrine, legal authorities, and strategic analysis. No USML-controlled technical data present. Analytic logic concerning military doctrine is not on USML.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EAR (15 C.F.R. Parts 730–774)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CCL technology; dual-use item export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 — Not Applicable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Policy analysis of military and enforcement frameworks is not EAR-controlled 'technology' under § 772.1 definition. Confidence architecture, scenario logic, and brief generation templates do not implicate CCL.</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CFAA (18 U.S.C. § 1030)</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Unauthorized computer access</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 — Not Applicable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All sources accessed through authorized public channels. Console and site are publicly deployed on GitHub Pages and accessed through legitimate web requests. No unauthorized access to any protected computer system.</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First Amendment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Protected speech (academic/policy commentary)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PROTECTIVE — Applies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Console and site constitute protected academic and policy commentary on military doctrine, legal authorities, and strategic competition. Author's analytical synthesis of public materials is protected expression at highest level per Snyder v. Phelps. Governance language and methodological limit blocks reinforce non-directive character.</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Security Clearance / OPSEC</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Adjudicative guidelines; foreign preference</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Author holds no current clearance. Public-source methodology throughout. Proactive CI self-assessment posture — producing this assessment — supports favorable adjudicative characterization. Governance architecture demonstrates security discipline. No identified conduct implicates adjudicative guidelines.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Copyright / Derivative Works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Derivative works; attribution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LOW-MODERATE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Most plausible exposure vector. Manageable through citation discipline and clear identification of public-source derivation. GitHub timestamping and SSRN submission establish priority. All analytic synthesis is the author's own intellectual work product.</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VII: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960"/>
        <w:gridCol w:w="204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Risk Dimension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Assessment</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Rating</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Confidence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Emergent Analytic Acceleration (System Level)</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Platform reduces the analytical labor required to move from framework to scenario assessment to structured brief in ways the components do not separately produce. Workflow compression is the principal system-level CI exposure. Governed by explicit non-synthesis statements but not eliminated.</w:t>
            </w:r>
          </w:p>
        </w:tc>
        <w:tc>
          <w:tcPr>
            <w:tcW w:type="dxa" w:w="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 CONFIDENCE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Machine-Readable Reasoning Architecture (Console)</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Console embeds structured scenario logic, adversary profiles, friction mappings, and viability assessment rules in directly parseable JavaScript. Exposes reasoning architecture, not just content. Bounded by categorical (non-numeric) viability system and full derivation from public paper.</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w:t>
            </w:r>
          </w:p>
        </w:tc>
        <w:tc>
          <w:tcPr>
            <w:tcW w:type="dxa" w:w="2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 CONFIDENCE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Brief Generation Capability (Console)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Export function converts multi-module analysis into portable formatted output in approximately two seconds. Scenario-conditioned and bounded labels present; methodological limit block always appended. Residual risk: formatted product optimized for immediate consumption without synthesis overhead.</w:t>
            </w:r>
          </w:p>
        </w:tc>
        <w:tc>
          <w:tcPr>
            <w:tcW w:type="dxa" w:w="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LOW-MODERATE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LOW-MODERATE CONFIDENCE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Adversary Profile Aggregation (Console)</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Structured adversary stress analysis for PRC, Russia, DPRK organizes the author's uncertainty disclosures about U.S. capability limitations in a filterable format. PRC seam-exploitation and Russia decision-window compression items are the most operationally specific disclosures. Governed by limiting language.</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w:t>
            </w:r>
          </w:p>
        </w:tc>
        <w:tc>
          <w:tcPr>
            <w:tcW w:type="dxa" w:w="2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 CONFIDENCE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Site Architecture and Dependency Graph (Site)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Series architecture table provides a navigable dependency graph of the analytical corpus. Module separation section maps system components and their relationships. Reduces analytical labor for adversary priority-determination without reading full document archive.</w:t>
            </w:r>
          </w:p>
        </w:tc>
        <w:tc>
          <w:tcPr>
            <w:tcW w:type="dxa" w:w="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LOW-MODERATE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 CONFIDENCE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GitHub Deployment and Indexing (Both)</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Identical to exposure vectors identified in WP-2026-MAP-CI-01 Part I Vector 5. Console and site are search-indexed, raw-URL accessible, and carry commit history as a development timeline. Console commit history additionally discloses governance refinement passes.</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w:t>
            </w:r>
          </w:p>
        </w:tc>
        <w:tc>
          <w:tcPr>
            <w:tcW w:type="dxa" w:w="2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HIGH CONFIDENCE — Documented structural property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Platform Governance Architecture (Mitigating)</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Identity band, scenario-conditioned badge, no-synthesis statement, module separation declarations, and methodological limit blocks constitute a documented governance record that is publicly visible and favorable for adjudicative purposes. Governance reduces overreach risk without eliminating efficiency delivery.</w:t>
            </w:r>
          </w:p>
        </w:tc>
        <w:tc>
          <w:tcPr>
            <w:tcW w:type="dxa" w:w="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MITIGATING</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MODERATE-HIGH CONFIDENCE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Legal Exposure (Both)</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Very low across all applicable frameworks. Platform inherits very low legal exposure from paper series assessments. Console analytic logic is protected intellectual work product. Governance language reinforces non-directive character. First Amendment protections apply at highest level.</w:t>
            </w:r>
          </w:p>
        </w:tc>
        <w:tc>
          <w:tcPr>
            <w:tcW w:type="dxa" w:w="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LOW</w:t>
            </w:r>
          </w:p>
        </w:tc>
        <w:tc>
          <w:tcPr>
            <w:tcW w:type="dxa" w:w="2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MODERATE CONFIDENCE</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VIII: RECOMMENDATIONS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DOCUMENTED CONSTRAINT — WHAT CANNOT BE REMEDIATED</w:t>
            </w:r>
          </w:p>
          <w:p>
            <w:pPr>
              <w:spacing w:before="0" w:after="60"/>
            </w:pPr>
            <w:r>
              <w:rPr>
                <w:rFonts w:ascii="Arial" w:cs="Arial" w:eastAsia="Arial" w:hAnsi="Arial"/>
                <w:b w:val="false"/>
                <w:bCs w:val="false"/>
                <w:i w:val="false"/>
                <w:iCs w:val="false"/>
                <w:caps w:val="false"/>
                <w:color w:val="000000"/>
                <w:sz w:val="20"/>
                <w:szCs w:val="20"/>
              </w:rPr>
              <w:t xml:space="preserve">The console and site are public, indexed, and accessible to any OSINT collection program. Available reporting on adversary OSINT operations is consistent with the judgment that what is published should be treated as already collected. Retraction is assessed with high confidence to carry no CI benefit and significant academic and demonstration cost. The platform is assessed as operationally complete and appropriately governed.</w:t>
            </w:r>
          </w:p>
        </w:tc>
      </w:tr>
    </w:tbl>
    <w:p>
      <w:pPr>
        <w:spacing w:before="8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8.1  For Future Console Development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current console architecture is assessed as appropriately designed. Three considerations apply to future development passes.</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The adversary profile specificity in the ADVERSARY_DATA object — particularly the PRC systems confrontation targeting items and the Russia decision-window compression items — represents the highest marginal CI exposure in the console's embedded logic. Future versions could consider whether the most operationally specific items (Track 1/3 seam exploitation framing, decision-window compression as explicit Russian targeting) belong in the embedded machine-readable object or whether the console should reference the companion document for full detail while the embedded object retains summary characterizations. This is a modest structural change; the pattern follows the WP-2026-MAP-CI-01 recommendation for FPA counterparty node action text.</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The Export Brief function's scenario-conditioned and methodological limit governance is currently well-designed. Future versions should preserve and strengthen these elements rather than streamlining them for user convenience. The friction they impose on operational misuse is intentional and should be treated as a governance feature, not a UX problem.</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If the console is expanded to include modules that directly reference or cross-link to SENI map nodes — for example, a module that suggests relevant enforcement nodes for a given scenario adversary — the no-synthesis statement and module separation architecture should be reviewed before deployment. That specific expansion would require a revised CI assessment because it would change the fundamental character of the cross-layer exposure from navigational to operational.</w:t>
      </w:r>
    </w:p>
    <w:p>
      <w:pPr>
        <w:pStyle w:val="Heading2"/>
        <w:spacing w:before="280" w:after="120"/>
      </w:pPr>
      <w:r>
        <w:rPr>
          <w:rFonts w:ascii="Arial" w:cs="Arial" w:eastAsia="Arial" w:hAnsi="Arial"/>
          <w:b/>
          <w:bCs/>
          <w:color w:val="1B2A4A"/>
          <w:sz w:val="24"/>
          <w:szCs w:val="24"/>
        </w:rPr>
        <w:t xml:space="preserve">8.2  For Future Site Development</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The series architecture table's dependency graph presentation is the site's highest marginal CI contribution. Future additions to the series should consider whether the full upstream/downstream mapping of highly sensitive documents (ESCALATE-01's relationship to MAXPRESS-01, for example) needs to be presented in the public dependency table at the level of specificity currently displayed, or whether summary-level cross-references suffice for the site's navigation purpose.</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The System Architecture and Module Separation section is assessed as a governance asset and should be preserved in future versions. It constitutes a publicly documented statement of the author's awareness of system-level implications, which is favorable for both adjudicative and academic purposes.</w:t>
      </w:r>
    </w:p>
    <w:p>
      <w:pPr>
        <w:pStyle w:val="Heading2"/>
        <w:spacing w:before="280" w:after="120"/>
      </w:pPr>
      <w:r>
        <w:rPr>
          <w:rFonts w:ascii="Arial" w:cs="Arial" w:eastAsia="Arial" w:hAnsi="Arial"/>
          <w:b/>
          <w:bCs/>
          <w:color w:val="1B2A4A"/>
          <w:sz w:val="24"/>
          <w:szCs w:val="24"/>
        </w:rPr>
        <w:t xml:space="preserve">8.3  For Georgetown SSP Application Context</w:t>
      </w:r>
    </w:p>
    <w:p>
      <w:pPr>
        <w:spacing w:before="80" w:after="140" w:line="288"/>
        <w:jc w:val="left"/>
      </w:pPr>
      <w:r>
        <w:rPr>
          <w:rFonts w:ascii="Arial" w:cs="Arial" w:eastAsia="Arial" w:hAnsi="Arial"/>
          <w:b w:val="false"/>
          <w:bCs w:val="false"/>
          <w:i w:val="false"/>
          <w:iCs w:val="false"/>
          <w:caps w:val="false"/>
          <w:color w:val="000000"/>
          <w:sz w:val="22"/>
          <w:szCs w:val="22"/>
        </w:rPr>
        <w:t xml:space="preserve">The CI exposure profile of the integrated platform is a byproduct of its analytical sophistication and design ambition, not a deficiency. The production of a standalone platform-level CI assessment alongside the component assessments (CI-Assessment v3.0, CI-Assessment-02, WP-2026-MAP-CI-01) demonstrates exactly the kind of second-order analytical awareness and security discipline that Georgetown's Security Studies Program identifies as evidence of IC-trained analytical maturity. The platform's governance architecture — categorical viability system, no-synthesis declaration, module separation, methodological limit blocks — demonstrates that the author designed the system with awareness of its implications and constrained it accordingly. That posture is the correct professional response to having built a system of this analytical depth and deployed it publicly.</w:t>
      </w:r>
    </w:p>
    <w:p>
      <w:pPr>
        <w:pStyle w:val="Heading2"/>
        <w:spacing w:before="280" w:after="120"/>
      </w:pPr>
      <w:r>
        <w:rPr>
          <w:rFonts w:ascii="Arial" w:cs="Arial" w:eastAsia="Arial" w:hAnsi="Arial"/>
          <w:b/>
          <w:bCs/>
          <w:color w:val="1B2A4A"/>
          <w:sz w:val="24"/>
          <w:szCs w:val="24"/>
        </w:rPr>
        <w:t xml:space="preserve">8.4  For Security Clearance Adjudication</w:t>
      </w:r>
    </w:p>
    <w:p>
      <w:pPr>
        <w:spacing w:before="80" w:after="140" w:line="288"/>
        <w:jc w:val="left"/>
      </w:pPr>
      <w:r>
        <w:rPr>
          <w:rFonts w:ascii="Arial" w:cs="Arial" w:eastAsia="Arial" w:hAnsi="Arial"/>
          <w:b w:val="false"/>
          <w:bCs w:val="false"/>
          <w:i w:val="false"/>
          <w:iCs w:val="false"/>
          <w:caps w:val="false"/>
          <w:color w:val="000000"/>
          <w:sz w:val="22"/>
          <w:szCs w:val="22"/>
        </w:rPr>
        <w:t xml:space="preserve">The legal analysis in Part VI establishes that neither the console nor the site implicates any criminal statute or clearance-disqualifying act. Both are entirely open-source in derivation, protected under the First Amendment at the highest level, and consistent with the proactive CI self-assessment posture that supports favorable adjudicative characterization under the whole-person standard. This document — as the fourth in the WP-2026 CI assessment series — demonstrates sustained, systematic, and methodologically disciplined self-assessment of a publicly deployed analytical platform. That posture is the marker of exactly the security discipline that adjudicative guidelines assess favorably. Proactive disclosure of the platform, the GitHub repository, and all four CI assessments in SF-86 and adjudication proceedings is recommended.</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IX: FINAL JUDGMENT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The WP-2026 integrated platform represents institution-grade analytic infrastructure deployed with appropriate governance architecture. The platform's CI exposure is a direct function of its design quality: the console is useful because it embeds structured reasoning; the site is useful because it maps the analytical corpus coherently; the system is coherent because the components share epistemological discipline. These qualities are not separable from the CI exposure they create.</w:t>
      </w:r>
    </w:p>
    <w:p>
      <w:pPr>
        <w:spacing w:before="80" w:after="140" w:line="288"/>
        <w:jc w:val="left"/>
      </w:pPr>
      <w:r>
        <w:rPr>
          <w:rFonts w:ascii="Arial" w:cs="Arial" w:eastAsia="Arial" w:hAnsi="Arial"/>
          <w:b w:val="false"/>
          <w:bCs w:val="false"/>
          <w:i w:val="false"/>
          <w:iCs w:val="false"/>
          <w:caps w:val="false"/>
          <w:color w:val="000000"/>
          <w:sz w:val="22"/>
          <w:szCs w:val="22"/>
        </w:rPr>
        <w:t xml:space="preserve">The system-level exposure — analytic acceleration, machine-readable reasoning architecture, brief generation capability, and dependency graph navigation — does not undermine the enforcement architecture or doctrinal frameworks the platform documents. Those mechanisms operate through structural legal authorities and institutional capacity, not through information asymmetry. An adversary that understands the WP-2026 analytical framework is better equipped to assess U.S. enforcement posture. That adversary does not, however, gain OFAC designation authority, BIS export control jurisdiction, USCYBERCOM operational capability, or the coalition management capacity that the framework identifies as the enabling conditions for effective enforcement.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The governance architecture embedded in the platform — the most complete of any WP-2026 product to date — is the appropriate institutional response to having built a system of this analytical depth. It constitutes a publicly visible, documented record that the author understood what the system does, constrained what it claims to do, and assessed the implications of the difference. That is the correct definition of responsible open-source analytical practice at the institutional level.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SERIES STATUS — CI-PLATFORM-01 FINAL ASSESSMENT</w:t>
            </w:r>
          </w:p>
          <w:p>
            <w:pPr>
              <w:spacing w:before="0" w:after="60"/>
            </w:pPr>
            <w:r>
              <w:rPr>
                <w:rFonts w:ascii="Arial" w:cs="Arial" w:eastAsia="Arial" w:hAnsi="Arial"/>
                <w:b w:val="false"/>
                <w:bCs w:val="false"/>
                <w:i w:val="false"/>
                <w:iCs w:val="false"/>
                <w:caps w:val="false"/>
                <w:color w:val="000000"/>
                <w:sz w:val="20"/>
                <w:szCs w:val="20"/>
              </w:rPr>
              <w:t xml:space="preserve">Platform-Level CI Exposure: MODERATE at system-level analytic acceleration and machine-readable reasoning architecture levels; LOW-MODERATE at brief generation and adversary profile aggregation levels; LOW on legal exposure. Not addressable through retraction.</w:t>
            </w:r>
          </w:p>
          <w:p>
            <w:pPr>
              <w:spacing w:before="0" w:after="60"/>
            </w:pPr>
            <w:r>
              <w:rPr>
                <w:rFonts w:ascii="Arial" w:cs="Arial" w:eastAsia="Arial" w:hAnsi="Arial"/>
                <w:b w:val="false"/>
                <w:bCs w:val="false"/>
                <w:i w:val="false"/>
                <w:iCs w:val="false"/>
                <w:caps w:val="false"/>
                <w:color w:val="000000"/>
                <w:sz w:val="20"/>
                <w:szCs w:val="20"/>
              </w:rPr>
              <w:t xml:space="preserve">Component-Level Exposure: Governed by CI-Assessment v3.0 (paper series), CI-Assessment-02 (ESCALATE-01/RESILIENCE-01), and WP-2026-MAP-CI-01 (SENI map). Those assessments apply with full force to the integrated platform.</w:t>
            </w:r>
          </w:p>
          <w:p>
            <w:pPr>
              <w:spacing w:before="0" w:after="60"/>
            </w:pPr>
            <w:r>
              <w:rPr>
                <w:rFonts w:ascii="Arial" w:cs="Arial" w:eastAsia="Arial" w:hAnsi="Arial"/>
                <w:b w:val="false"/>
                <w:bCs w:val="false"/>
                <w:i w:val="false"/>
                <w:iCs w:val="false"/>
                <w:caps w:val="false"/>
                <w:color w:val="000000"/>
                <w:sz w:val="20"/>
                <w:szCs w:val="20"/>
              </w:rPr>
              <w:t xml:space="preserve">Governance Assessment: Platform governance architecture (categorical viability, no-synthesis declaration, module separation, methodological limit blocks) is assessed as adequate and appropriate. Governance reduces overreach risk without eliminating efficiency delivery, which is the correct design tradeoff for an open-source academic product.</w:t>
            </w:r>
          </w:p>
          <w:p>
            <w:pPr>
              <w:spacing w:before="0" w:after="60"/>
            </w:pPr>
            <w:r>
              <w:rPr>
                <w:rFonts w:ascii="Arial" w:cs="Arial" w:eastAsia="Arial" w:hAnsi="Arial"/>
                <w:b w:val="false"/>
                <w:bCs w:val="false"/>
                <w:i w:val="false"/>
                <w:iCs w:val="false"/>
                <w:caps w:val="false"/>
                <w:color w:val="000000"/>
                <w:sz w:val="20"/>
                <w:szCs w:val="20"/>
              </w:rPr>
              <w:t xml:space="preserve">Legal Exposure: Very low across all applicable frameworks. First Amendment protections apply at highest level. No statute identified. Proceed with public deployment.</w:t>
            </w:r>
          </w:p>
          <w:p>
            <w:pPr>
              <w:spacing w:before="0" w:after="60"/>
            </w:pPr>
            <w:r>
              <w:rPr>
                <w:rFonts w:ascii="Arial" w:cs="Arial" w:eastAsia="Arial" w:hAnsi="Arial"/>
                <w:b w:val="false"/>
                <w:bCs w:val="false"/>
                <w:i w:val="false"/>
                <w:iCs w:val="false"/>
                <w:caps w:val="false"/>
                <w:color w:val="000000"/>
                <w:sz w:val="20"/>
                <w:szCs w:val="20"/>
              </w:rPr>
              <w:t xml:space="preserve">Academic Submission: Proceed. The platform's existence and the production of this CI assessment series support the Georgetown SSP application and security clearance adjudication posture. Reference all four CI assessments in portfolio cover letter.</w:t>
            </w:r>
          </w:p>
          <w:p>
            <w:pPr>
              <w:spacing w:before="0" w:after="60"/>
            </w:pPr>
            <w:r>
              <w:rPr>
                <w:rFonts w:ascii="Arial" w:cs="Arial" w:eastAsia="Arial" w:hAnsi="Arial"/>
                <w:b w:val="false"/>
                <w:bCs w:val="false"/>
                <w:i w:val="false"/>
                <w:iCs w:val="false"/>
                <w:caps w:val="false"/>
                <w:color w:val="000000"/>
                <w:sz w:val="20"/>
                <w:szCs w:val="20"/>
              </w:rPr>
              <w:t xml:space="preserve">Security Clearance: Proactive disclosure recommended. This CI assessment and the complete platform governance architecture support favorable adjudicative characterization under the whole-person standard.</w:t>
            </w:r>
          </w:p>
        </w:tc>
      </w:tr>
    </w:tbl>
    <w:p>
      <w:pPr>
        <w:spacing w:before="240" w:after="0"/>
      </w:pPr>
      <w:r>
        <w:rPr>
          <w:rFonts w:ascii="Arial" w:cs="Arial" w:eastAsia="Arial" w:hAnsi="Arial"/>
          <w:sz w:val="22"/>
          <w:szCs w:val="22"/>
        </w:rPr>
        <w:t xml:space="preserve"/>
      </w:r>
    </w:p>
    <w:p>
      <w:pPr>
        <w:pBdr>
          <w:top w:val="single" w:color="1B2A4A" w:sz="6" w:space="6"/>
        </w:pBdr>
        <w:spacing w:before="240" w:after="240"/>
        <w:jc w:val="center"/>
      </w:pPr>
      <w:r>
        <w:rPr>
          <w:rFonts w:ascii="Arial" w:cs="Arial" w:eastAsia="Arial" w:hAnsi="Arial"/>
          <w:b/>
          <w:bCs/>
          <w:caps/>
          <w:color w:val="4A5568"/>
          <w:sz w:val="18"/>
          <w:szCs w:val="18"/>
        </w:rPr>
        <w:t xml:space="preserve">END OF DOCUMENT — WP-2026-CI-PLATFORM-01 — COUNTERINTELLIGENCE EXPOSURE ASSESSMENT: WP-2026 INTEGRATED PLATFORM — MARCH 2026 — UNCLASSIFIED // OPEN SOURCE ANALYTIC PRODUCT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spacing w:before="80" w:after="0"/>
    </w:pPr>
    <w:r>
      <w:rPr>
        <w:rFonts w:ascii="Arial" w:cs="Arial" w:eastAsia="Arial" w:hAnsi="Arial"/>
        <w:caps/>
        <w:color w:val="4A5568"/>
        <w:sz w:val="16"/>
        <w:szCs w:val="16"/>
      </w:rPr>
      <w:t xml:space="preserve">CI-PLATFORM-01 // COUNTERINTELLIGENCE EXPOSURE ASSESSMENT — WP-2026 INTEGRATED PLATFORM</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spacing w:before="0" w:after="80"/>
    </w:pPr>
    <w:r>
      <w:rPr>
        <w:rFonts w:ascii="Arial" w:cs="Arial" w:eastAsia="Arial" w:hAnsi="Arial"/>
        <w:caps/>
        <w:color w:val="4A5568"/>
        <w:sz w:val="16"/>
        <w:szCs w:val="16"/>
      </w:rPr>
      <w:t xml:space="preserve">UNCLASSIFIED // OPEN SOURCE ANALYTIC PRODUCT // WP-2026 SERIES</w:t>
    </w:r>
    <w:r>
      <w:rPr>
        <w:rFonts w:ascii="Arial" w:cs="Arial" w:eastAsia="Arial" w:hAnsi="Arial"/>
        <w:sz w:val="16"/>
        <w:szCs w:val="16"/>
      </w:rPr>
      <w:t xml:space="preserve">	</w:t>
    </w:r>
    <w:r>
      <w:rPr>
        <w:rFonts w:ascii="Arial" w:cs="Arial" w:eastAsia="Arial" w:hAnsi="Arial"/>
        <w:color w:val="4A5568"/>
        <w:sz w:val="16"/>
        <w:szCs w:val="16"/>
      </w:rPr>
      <w:t xml:space="preserve">WP-2026-CI-PLATFORM-01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2026-03-25T17:31:30.459Z</dcterms:created>
  <dcterms:modified xsi:type="dcterms:W3CDTF">2026-03-25T17:31:30.460Z</dcterms:modified>
</cp:coreProperties>
</file>

<file path=docProps/custom.xml><?xml version="1.0" encoding="utf-8"?>
<Properties xmlns="http://schemas.openxmlformats.org/officeDocument/2006/custom-properties" xmlns:vt="http://schemas.openxmlformats.org/officeDocument/2006/docPropsVTypes"/>
</file>