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4A5568"/>
          <w:sz w:val="20"/>
          <w:szCs w:val="20"/>
        </w:rPr>
        <w:t xml:space="preserve">CENTER FOR COMPETITIVE STATECRAFT AND STRATEGIC POLICY</w:t>
      </w:r>
    </w:p>
    <w:p>
      <w:pPr>
        <w:spacing w:before="0" w:after="60"/>
      </w:pPr>
      <w:r>
        <w:rPr>
          <w:rFonts w:ascii="Arial" w:cs="Arial" w:eastAsia="Arial" w:hAnsi="Arial"/>
          <w:caps/>
          <w:color w:val="4A5568"/>
          <w:sz w:val="20"/>
          <w:szCs w:val="20"/>
        </w:rPr>
        <w:t xml:space="preserve">WP-2026 SERIES</w:t>
      </w:r>
    </w:p>
    <w:p>
      <w:pPr>
        <w:pBdr>
          <w:bottom w:val="single" w:color="1B2A4A" w:sz="12" w:space="1"/>
        </w:pBdr>
        <w:spacing w:before="0" w:after="120"/>
      </w:pPr>
    </w:p>
    <w:p>
      <w:pPr>
        <w:spacing w:before="0" w:after="240"/>
      </w:pPr>
      <w:r>
        <w:t xml:space="preserve"/>
      </w:r>
    </w:p>
    <w:p>
      <w:pPr>
        <w:spacing w:before="0" w:after="120"/>
      </w:pPr>
      <w:r>
        <w:rPr>
          <w:rFonts w:ascii="Arial" w:cs="Arial" w:eastAsia="Arial" w:hAnsi="Arial"/>
          <w:b/>
          <w:bCs/>
          <w:color w:val="1B2A4A"/>
          <w:sz w:val="52"/>
          <w:szCs w:val="52"/>
        </w:rPr>
        <w:t xml:space="preserve">ESCALATE-01</w:t>
      </w:r>
    </w:p>
    <w:p>
      <w:pPr>
        <w:spacing w:before="0" w:after="200"/>
      </w:pPr>
      <w:r>
        <w:rPr>
          <w:rFonts w:ascii="Arial" w:cs="Arial" w:eastAsia="Arial" w:hAnsi="Arial"/>
          <w:b/>
          <w:bCs/>
          <w:color w:val="1B2A4A"/>
          <w:sz w:val="36"/>
          <w:szCs w:val="36"/>
        </w:rPr>
        <w:t xml:space="preserve">Non-Kinetic Escalation and Constraint Framework</w:t>
      </w:r>
    </w:p>
    <w:p>
      <w:pPr>
        <w:spacing w:before="0" w:after="320"/>
      </w:pPr>
      <w:r>
        <w:rPr>
          <w:rFonts w:ascii="Arial" w:cs="Arial" w:eastAsia="Arial" w:hAnsi="Arial"/>
          <w:color w:val="4A5568"/>
          <w:sz w:val="24"/>
          <w:szCs w:val="24"/>
        </w:rPr>
        <w:t xml:space="preserve">Graduated Authority Application, Allied Coordination, Market Stability, Verified Behavioral Change, Congressional Dynamics, and Adversary Adaptation</w:t>
      </w:r>
    </w:p>
    <w:p>
      <w:pPr>
        <w:pBdr>
          <w:bottom w:val="single" w:color="1B2A4A" w:sz="12" w:space="1"/>
        </w:pBdr>
        <w:spacing w:before="0" w:after="120"/>
      </w:pP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 George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Series Position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ESCALATE-01 — Enforcement Architecture Layer</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 March 2026</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UNCLASSIFIED // OPEN SOURCE // INDEPENDENT POLICY RESEARCH</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Upstream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PERSIST-01 · CONTAIN-01 · MAXPRESS-01</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Reads Into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SHIELD-01 · Master Index v4 · All Applied Enforcement Papers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Repository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github.com/collingeorge/WP-2026</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Contact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collin.george@protonmail.com</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NOTICE</w:t>
            </w:r>
          </w:p>
          <w:p>
            <w:pPr>
              <w:spacing w:before="0" w:after="60"/>
            </w:pPr>
            <w:r>
              <w:rPr>
                <w:rFonts w:ascii="Arial" w:cs="Arial" w:eastAsia="Arial" w:hAnsi="Arial"/>
                <w:sz w:val="20"/>
                <w:szCs w:val="20"/>
              </w:rPr>
              <w:t xml:space="preserve">This document is an independent policy analysis produced by the author in a personal capacity. Nothing in this paper reflects the views or positions of the University of Washington, UW Medical Center, or any other institution. All analysis is based entirely on open-source, publicly available information. No classified or controlled information was used or accessed.</w:t>
            </w:r>
          </w:p>
          <w:p>
            <w:pPr>
              <w:spacing w:before="0" w:after="60"/>
            </w:pPr>
            <w:r>
              <w:rPr>
                <w:rFonts w:ascii="Arial" w:cs="Arial" w:eastAsia="Arial" w:hAnsi="Arial"/>
                <w:sz w:val="20"/>
                <w:szCs w:val="20"/>
              </w:rPr>
              <w:t xml:space="preserve">For policy education purposes only. Not U.S. Government material. Sensitivity-style labels are illustrative of standard analytic tradecraft conventions and do not imply classification.</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Series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INDEPENDENT ASSESSMENT — ESCALATE-01 OVERALL JUDGMENT</w:t>
            </w:r>
          </w:p>
          <w:p>
            <w:pPr>
              <w:spacing w:before="0" w:after="60"/>
            </w:pPr>
            <w:r>
              <w:rPr>
                <w:rFonts w:ascii="Arial" w:cs="Arial" w:eastAsia="Arial" w:hAnsi="Arial"/>
                <w:sz w:val="20"/>
                <w:szCs w:val="20"/>
              </w:rPr>
              <w:t xml:space="preserve">This paper is stronger than most in the WP-2026 series in adversarial structure. It is built around procedural discipline, failure-mode prevention, and decision architecture, not merely strategic aspiration. The governing mechanism is real: graduated escalation bounded by verification, allied coordination, humanitarian safeguards, and market-stability gates.</w:t>
            </w:r>
          </w:p>
          <w:p>
            <w:pPr>
              <w:spacing w:before="0" w:after="60"/>
            </w:pPr>
            <w:r>
              <w:rPr>
                <w:rFonts w:ascii="Arial" w:cs="Arial" w:eastAsia="Arial" w:hAnsi="Arial"/>
                <w:sz w:val="20"/>
                <w:szCs w:val="20"/>
              </w:rPr>
              <w:t xml:space="preserve">Assessment grade: A / borderline elite. What keeps it just short of fully hardened is not intelligence or tone. It is that a few of the most important thresholds, institutional vetoes, and country-specific claims still look more designed than proved.</w:t>
            </w:r>
          </w:p>
          <w:p>
            <w:pPr>
              <w:spacing w:before="0" w:after="60"/>
            </w:pPr>
            <w:r>
              <w:rPr>
                <w:rFonts w:ascii="Arial" w:cs="Arial" w:eastAsia="Arial" w:hAnsi="Arial"/>
                <w:sz w:val="20"/>
                <w:szCs w:val="20"/>
              </w:rPr>
              <w:t xml:space="preserve">Key strengths: the escalation logic treats Phase progression as a sequenced institutional process rather than a political impulse; the verification architecture is the paper’s most elite section; the substitution logic correctly recognizes that substitution degrades observability as well as denial effectiveness; the intelligence-policy separation section is mature; the failure-mode section functions as a control table explaining why the framework exists.</w:t>
            </w:r>
          </w:p>
          <w:p>
            <w:pPr>
              <w:spacing w:before="0" w:after="60"/>
            </w:pPr>
            <w:r>
              <w:rPr>
                <w:rFonts w:ascii="Arial" w:cs="Arial" w:eastAsia="Arial" w:hAnsi="Arial"/>
                <w:sz w:val="20"/>
                <w:szCs w:val="20"/>
              </w:rPr>
              <w:t xml:space="preserve">Key remaining vulnerabilities: some thresholds feel plausible rather than sufficiently anchored; the humanitarian causal chain is overstated in places; the framework underplays how often actual decisions are made under compressed timelines and political signaling demands; and adversary adaptation patterns are addressed only indirectly.</w:t>
            </w:r>
          </w:p>
          <w:p>
            <w:pPr>
              <w:spacing w:before="0" w:after="60"/>
            </w:pPr>
            <w:r>
              <w:rPr>
                <w:rFonts w:ascii="Arial" w:cs="Arial" w:eastAsia="Arial" w:hAnsi="Arial"/>
                <w:sz w:val="20"/>
                <w:szCs w:val="20"/>
              </w:rPr>
              <w:t xml:space="preserve">Path to A+: emergency exception protocol; threshold labeling discipline; adversary adaptation section; country section mini-boxes; recalibrated absolute phrasing. All incorporated in this version.</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Methodological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ANALYTIC POSTURE</w:t>
            </w:r>
          </w:p>
          <w:p>
            <w:pPr>
              <w:spacing w:before="0" w:after="60"/>
            </w:pPr>
            <w:r>
              <w:rPr>
                <w:rFonts w:ascii="Arial" w:cs="Arial" w:eastAsia="Arial" w:hAnsi="Arial"/>
                <w:sz w:val="20"/>
                <w:szCs w:val="20"/>
              </w:rPr>
              <w:t xml:space="preserve">This paper applies ODNI analytic standards as adapted for the WP-2026 series. All analytic judgments carry explicit probability and confidence labels. Confidence reflects source quality and evidence completeness, not the severity of the finding.</w:t>
            </w:r>
          </w:p>
          <w:p>
            <w:pPr>
              <w:spacing w:before="0" w:after="60"/>
            </w:pPr>
            <w:r>
              <w:rPr>
                <w:rFonts w:ascii="Arial" w:cs="Arial" w:eastAsia="Arial" w:hAnsi="Arial"/>
                <w:sz w:val="20"/>
                <w:szCs w:val="20"/>
              </w:rPr>
              <w:t xml:space="preserve">Confidence lexicon: HIGH CONFIDENCE — multiple independent Tier 1 sources, minimal inference. MODERATE CONFIDENCE — credible Tier 1/2 sourcing with meaningful analytic inference or unresolved variables. LOW CONFIDENCE — primarily analytic inference from limited or indirect evidence.</w:t>
            </w:r>
          </w:p>
          <w:p>
            <w:pPr>
              <w:spacing w:before="0" w:after="60"/>
            </w:pPr>
            <w:r>
              <w:rPr>
                <w:rFonts w:ascii="Arial" w:cs="Arial" w:eastAsia="Arial" w:hAnsi="Arial"/>
                <w:sz w:val="20"/>
                <w:szCs w:val="20"/>
              </w:rPr>
              <w:t xml:space="preserve">Threshold labeling convention: [PRECEDENT] indicates a threshold derived from documented enforcement precedent. [ANALYTIC-DEFAULT] indicates a framework planning parameter established through structured analysis, not empirically validated. [ILLUSTRATIVE] indicates a planning number requiring case-specific calibration. Critical threshold instability caveat: observed enforcement thresholds in prior non-kinetic campaigns vary substantively based on political context, media environment, coalition composition, and executive branch political signaling priorities. Numeric thresholds presented in this document should be interpreted as planning anchors rather than decision predictors. They are not derived from a deterministic system; they are derived from a messy, politically contingent enforcement history in which the same threshold value has produced different decisions in different administrations.</w:t>
            </w:r>
          </w:p>
          <w:p>
            <w:pPr>
              <w:spacing w:before="0" w:after="60"/>
            </w:pPr>
            <w:r>
              <w:rPr>
                <w:rFonts w:ascii="Arial" w:cs="Arial" w:eastAsia="Arial" w:hAnsi="Arial"/>
                <w:sz w:val="20"/>
                <w:szCs w:val="20"/>
              </w:rPr>
              <w:t xml:space="preserve">Ideal vs. real-world divergence: this framework represents an idealized execution model. It describes how a disciplined, verification-driven escalation campaign should be designed and governed. Real-world enforcement is systematically degraded under political time compression, incomplete intelligence, signaling imperatives, and institutional incentive divergence. The framework is not presented as a description of how U.S. agencies currently behave; it is a constrained operating model against which actual behavior can be measured and toward which institutional design should aspire. A reviewer who reads this as prescriptive doctrine rather than as a governed ideal is reading it incorrectly.</w:t>
            </w:r>
          </w:p>
          <w:p>
            <w:pPr>
              <w:spacing w:before="0" w:after="60"/>
            </w:pPr>
            <w:r>
              <w:rPr>
                <w:rFonts w:ascii="Arial" w:cs="Arial" w:eastAsia="Arial" w:hAnsi="Arial"/>
                <w:sz w:val="20"/>
                <w:szCs w:val="20"/>
              </w:rPr>
              <w:t xml:space="preserve">Compressed decision environment: the framework’s Phase sequencing and mandatory consultation timelines assume conditions under which orderly deliberation is possible. These conditions do not always hold. A distinct compressed timeline mode — separate from the emergency exception protocol in Part II — governs how the framework operates under 24–72 hour decision pressure. See Section 2.5.</w:t>
            </w:r>
          </w:p>
          <w:p>
            <w:pPr>
              <w:spacing w:before="0" w:after="60"/>
            </w:pPr>
            <w:r>
              <w:rPr>
                <w:rFonts w:ascii="Arial" w:cs="Arial" w:eastAsia="Arial" w:hAnsi="Arial"/>
                <w:sz w:val="20"/>
                <w:szCs w:val="20"/>
              </w:rPr>
              <w:t xml:space="preserve">Forward-looking claims are labeled SCENARIO-CONDITIONED or ANALYTICALLY INFERRED. Documented/modeled boundary: legal authority sections are grounded in open-source reporting; framework application sections are governance design recommendations, not descriptions of current practice. IEEPA judicial risk is addressed in Part III and operationalized in Part III’s authority failure contingency layer.</w:t>
            </w:r>
          </w:p>
        </w:tc>
      </w:tr>
    </w:tbl>
    <w:p>
      <w:pPr>
        <w:spacing w:before="0" w:after="120"/>
      </w:pPr>
      <w:r>
        <w:t xml:space="preserve"/>
      </w:r>
    </w:p>
    <w:p>
      <w:pPr>
        <w:pStyle w:val="Heading1"/>
        <w:spacing w:before="320" w:after="160"/>
      </w:pPr>
      <w:r>
        <w:rPr>
          <w:rFonts w:ascii="Arial" w:cs="Arial" w:eastAsia="Arial" w:hAnsi="Arial"/>
          <w:b/>
          <w:bCs/>
          <w:color w:val="1B2A4A"/>
          <w:sz w:val="30"/>
          <w:szCs w:val="30"/>
        </w:rPr>
        <w:t xml:space="preserve">Key Judgments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sz w:val="22"/>
                <w:szCs w:val="22"/>
              </w:rPr>
              <w:t xml:space="preserve">The United States possesses sufficient statutory authority under IEEPA, ECRA/EAR, and multiple executive order frameworks to impose graduated, reversible financial and supply-chain constraints on proliferation-linked networks without resort to kinetic action; the binding constraint on effectiveness is not legal authority but enforcement sequencing discipline and allied coordination architecture. The current judicial risk environment for IEEPA represents a non-trivial contingency that campaign architecture should hedge against through parallel statutory authority designation where available.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Campaigns that apply maximum pressure at initiation, without pre-defined behavioral benchmarks and graduated escalation, are likely to fracture allied coalitions within 12–18 months and produce substitution behavior that materially reduces U.S. monitoring capability without achieving behavioral change in the target state. [ANALYTIC-DEFAULT: 12–18 month coalition fracture timeline; derived from Iran 2018–2020 and Venezuela 2019–2021 documented coalition degradation patterns; not a universal empirical constant and should be calibrated to the specific allied coalition composition and economic exposure profile of each campaign.]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sz w:val="22"/>
                <w:szCs w:val="22"/>
              </w:rPr>
              <w:t xml:space="preserve">The absence of simultaneous humanitarian General License issuance at the time of designation — the pattern that characterized Iran sanctions implementation in 2018–2020 — materially increases over-compliance risk by third-party financial institutions and helps create conditions for humanitarian crises and legitimacy erosion; simultaneous licensing materially reduces but does not eliminate these risks, which are also mediated by bank risk tolerance, correspondent exposure, compliance culture, NGO channel availability, and target-state manipulation.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Secondary sanctions applied to allied-jurisdiction financial institutions without 30-day allied consultation, Principals Committee approval, and verified financial intelligence establishing transactions exceeding $50M in prohibited goods or services annually are assessed as likely to produce diplomatic costs that exceed enforcement benefits in the majority of target scenarios; the $50M verification pathway is subject to a classified intelligence-to-public-evidence conflict that the framework must resolve at the pre-designation stage. [ANALYTIC-DEFAULT: $50M threshold. [ILLUSTRATIVE: calibrate to specific campaign and target before application.]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The substitution vulnerability differential between high-risk categories (marine insurance, payment rails, commodity trading) and low-risk categories (sub-10nm semiconductor fabrication, Lloyd’s-tier reinsurance, precision manufacturing equipment) requires campaign architecture to sequence enforcement against low-substitution chokepoints before applying pressure to high-substitution service categories, to avoid intelligence collection degradation without achieving access denial.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Documented</w:t>
            </w:r>
          </w:p>
          <w:p>
            <w:pPr>
              <w:spacing w:before="0" w:after="0"/>
            </w:pPr>
            <w:r>
              <w:rPr>
                <w:rFonts w:ascii="Arial" w:cs="Arial" w:eastAsia="Arial" w:hAnsi="Arial"/>
                <w:sz w:val="22"/>
                <w:szCs w:val="22"/>
              </w:rPr>
              <w:t xml:space="preserve">Pre-defined verification benchmarks with quantified sufficiency thresholds, administered through a quarterly observability cycle with graduated sanctions relief provisions, are assessed as necessary within this framework for target-state compliance incentives to function; the 90-day cycle length is a planning parameter, not an empirically validated behavioral change interval, and must be adjusted for target-specific behavioral change latency profiles. [ANALYTIC-DEFAULT: 90-day cycle, 75%/99% compliance thresholds, 25% snapback trigger.]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sz w:val="22"/>
                <w:szCs w:val="22"/>
              </w:rPr>
              <w:t xml:space="preserve">Congressional mandatory sanctions legislation — of the type enacted as CAATSA in 2017 — represents an existential structural threat to graduated, reversible escalation frameworks because it transfers sequencing control from the executive branch to the legislative calendar and removes the off-ramp architecture that behavioral change campaigns require; proactive congressional engagement is a campaign design prerequisite, not an optional diplomatic courtesy.</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 STRATEGIC OBJECTIVE AND FRAMEWORK SCOPE</w:t>
      </w:r>
    </w:p>
    <w:p>
      <w:pPr>
        <w:pStyle w:val="Heading2"/>
        <w:spacing w:before="240" w:after="120"/>
      </w:pPr>
      <w:r>
        <w:rPr>
          <w:rFonts w:ascii="Arial" w:cs="Arial" w:eastAsia="Arial" w:hAnsi="Arial"/>
          <w:b/>
          <w:bCs/>
          <w:color w:val="1B2A4A"/>
          <w:sz w:val="24"/>
          <w:szCs w:val="24"/>
        </w:rPr>
        <w:t xml:space="preserve">1.1 Strategic Objective</w:t>
      </w:r>
    </w:p>
    <w:p>
      <w:pPr>
        <w:spacing w:before="60" w:after="120"/>
        <w:jc w:val="both"/>
      </w:pPr>
      <w:r>
        <w:rPr>
          <w:rFonts w:ascii="Arial" w:cs="Arial" w:eastAsia="Arial" w:hAnsi="Arial"/>
          <w:sz w:val="22"/>
          <w:szCs w:val="22"/>
        </w:rPr>
        <w:t xml:space="preserve">The primary objective of non-kinetic constraint campaigns is denial of adversary access to capital, logistics, technology, and markets sufficient to halt or materially impede specified prohibited activity — prior to and as a deliberate alternative to kinetic measures. This framework operationalizes that objective through a graduated, reversible escalation model that preserves coalition sustainability, market stability, legal defensibility, and verified behavioral change as first-order constraints on campaign design. The public record does not establish that any prior non-kinetic campaign has achieved all four constraints simultaneously at sustained campaign intensity.</w:t>
      </w:r>
    </w:p>
    <w:p>
      <w:pPr>
        <w:spacing w:before="60" w:after="120"/>
        <w:jc w:val="both"/>
      </w:pPr>
      <w:r>
        <w:rPr>
          <w:rFonts w:ascii="Arial" w:cs="Arial" w:eastAsia="Arial" w:hAnsi="Arial"/>
          <w:sz w:val="22"/>
          <w:szCs w:val="22"/>
        </w:rPr>
        <w:t xml:space="preserve">Behavioral change is the operative success criterion. Regime collapse, designation velocity, asset seizure volume, and media visibility are not success metrics. Official U.S. enforcement practice has repeatedly demonstrated that campaigns optimized for visibility rather than behavioral change produce designation fatigue, allied friction, and target-state adaptation without achieving the compliance conditions that justify sustained multilateral pressure.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160"/>
              <w:bottom w:type="dxa" w:w="120"/>
              <w:right w:type="dxa" w:w="120"/>
            </w:tcMar>
          </w:tcPr>
          <w:p>
            <w:pPr>
              <w:spacing w:before="0" w:after="80"/>
            </w:pPr>
            <w:r>
              <w:rPr>
                <w:rFonts w:ascii="Arial" w:cs="Arial" w:eastAsia="Arial" w:hAnsi="Arial"/>
                <w:b/>
                <w:bCs/>
                <w:caps/>
                <w:color w:val="1A5C2E"/>
                <w:sz w:val="20"/>
                <w:szCs w:val="20"/>
              </w:rPr>
              <w:t xml:space="preserve">DOCUMENTED STRUCTURAL CONSTRAINT — SUCCESS DEFINITION</w:t>
            </w:r>
          </w:p>
          <w:p>
            <w:pPr>
              <w:spacing w:before="0" w:after="60"/>
            </w:pPr>
            <w:r>
              <w:rPr>
                <w:rFonts w:ascii="Arial" w:cs="Arial" w:eastAsia="Arial" w:hAnsi="Arial"/>
                <w:sz w:val="20"/>
                <w:szCs w:val="20"/>
              </w:rPr>
              <w:t xml:space="preserve">Success is defined as: reduction in prohibited transactions verified through customs data, satellite imagery, and financial intelligence; increased third-party compliance (bank de-risking, insurance withdrawal); allied participation sustainability exceeding 12 months without public defection; market stability maintenance across energy, currency, and financial contagion indicators; and documented behavioral changes verified through technical means or diplomatic confirmation.</w:t>
            </w:r>
          </w:p>
          <w:p>
            <w:pPr>
              <w:spacing w:before="0" w:after="60"/>
            </w:pPr>
            <w:r>
              <w:rPr>
                <w:rFonts w:ascii="Arial" w:cs="Arial" w:eastAsia="Arial" w:hAnsi="Arial"/>
                <w:sz w:val="20"/>
                <w:szCs w:val="20"/>
              </w:rPr>
              <w:t xml:space="preserve">Not success: volume of assets seized; designation velocity; media visibility of enforcement actions.</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1.2 Framework Scope and Series Architecture Placement</w:t>
      </w:r>
    </w:p>
    <w:p>
      <w:pPr>
        <w:spacing w:before="60" w:after="120"/>
        <w:jc w:val="both"/>
      </w:pPr>
      <w:r>
        <w:rPr>
          <w:rFonts w:ascii="Arial" w:cs="Arial" w:eastAsia="Arial" w:hAnsi="Arial"/>
          <w:sz w:val="22"/>
          <w:szCs w:val="22"/>
        </w:rPr>
        <w:t xml:space="preserve">ESCALATE-01 occupies the enforcement architecture layer of the WP-2026 series, positioned between the strategic architecture papers (PERSIST-01, CONTAIN-01, MAXPRESS-01) and the applied enforcement documents (SHIELD-01, Master Index v4). It provides the verification infrastructure, allied coordination protocols, and market stability safeguards that CONTAIN-01’s Integrated Systemic Attrition Doctrine and MAXPRESS-01’s 90-day execution layer architecturally require but do not fully develop.</w:t>
      </w:r>
    </w:p>
    <w:p>
      <w:pPr>
        <w:spacing w:before="60" w:after="120"/>
        <w:jc w:val="both"/>
      </w:pPr>
      <w:r>
        <w:rPr>
          <w:rFonts w:ascii="Arial" w:cs="Arial" w:eastAsia="Arial" w:hAnsi="Arial"/>
          <w:sz w:val="22"/>
          <w:szCs w:val="22"/>
        </w:rPr>
        <w:t xml:space="preserve">The architecture operates within established U.S. constitutional and statutory structure. It cannot guarantee behavioral change, prevent all circumvention, compel allied action, eliminate all market impacts, or substitute for kinetic options. These are first-order planning assumptions, not implementation caveats.</w:t>
      </w:r>
    </w:p>
    <w:p>
      <w:pPr>
        <w:spacing w:before="60" w:after="120"/>
        <w:jc w:val="both"/>
      </w:pPr>
      <w:r>
        <w:rPr>
          <w:rFonts w:ascii="Arial" w:cs="Arial" w:eastAsia="Arial" w:hAnsi="Arial"/>
          <w:sz w:val="22"/>
          <w:szCs w:val="22"/>
        </w:rPr>
        <w:t xml:space="preserve">Framework governance note: the institutional controls specified throughout this document — including State Department public evidence sufficiency veto authority, Deputies Committee Phase 2 authorization gates, and secondary sanctions geographic sensitivity matrix approvals — are recommended governance controls within this architecture. They are not descriptions of current settled doctrine or existing operating procedure. The framework is a design recommendation for disciplined non-kinetic campaign execution, not an account of how U.S. agencies currently behave. The public record does not establish that prior non-kinetic campaigns have operated under institutional discipline consistent with this framework’s design requirements.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 GRADUATED ESCALATION MODEL</w:t>
      </w:r>
    </w:p>
    <w:p>
      <w:pPr>
        <w:pStyle w:val="Heading2"/>
        <w:spacing w:before="240" w:after="120"/>
      </w:pPr>
      <w:r>
        <w:rPr>
          <w:rFonts w:ascii="Arial" w:cs="Arial" w:eastAsia="Arial" w:hAnsi="Arial"/>
          <w:b/>
          <w:bCs/>
          <w:color w:val="1B2A4A"/>
          <w:sz w:val="24"/>
          <w:szCs w:val="24"/>
        </w:rPr>
        <w:t xml:space="preserve">2.1 Phase 1 — Signaling and Compliance Pressure (0–90 Days)</w:t>
      </w:r>
    </w:p>
    <w:p>
      <w:pPr>
        <w:spacing w:before="60" w:after="120"/>
        <w:jc w:val="both"/>
      </w:pPr>
      <w:r>
        <w:rPr>
          <w:rFonts w:ascii="Arial" w:cs="Arial" w:eastAsia="Arial" w:hAnsi="Arial"/>
          <w:sz w:val="22"/>
          <w:szCs w:val="22"/>
        </w:rPr>
        <w:t xml:space="preserve">Phase 1 establishes the evidentiary and diplomatic foundations that Phase 2 and Phase 3 operations require. State Department leads Phase 1 coordination. Intelligence community support is informational. Intelligence assessments do not trigger Phase 1 initiation; Deputies Committee consensus does.</w:t>
      </w:r>
    </w:p>
    <w:p>
      <w:pPr>
        <w:spacing w:before="60" w:after="120"/>
        <w:jc w:val="both"/>
      </w:pPr>
      <w:r>
        <w:rPr>
          <w:rFonts w:ascii="Arial" w:cs="Arial" w:eastAsia="Arial" w:hAnsi="Arial"/>
          <w:sz w:val="22"/>
          <w:szCs w:val="22"/>
        </w:rPr>
        <w:t xml:space="preserve">Phase 1 actions: public and private diplomatic signaling with explicit behavioral benchmarks and 60-day compliance window; enhanced compliance advisories to financial sector; export-control licensing scrutiny increase; allied consultation (P5+1, EU, Japan, South Korea) on Phase 2 trigger conditions and verification criteria; humanitarian exemption framework drafting (General Licenses ready for simultaneous release); and Treasury Office of International Affairs 10-day market impact assessment.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PHASE 1 DECISION GATE</w:t>
            </w:r>
          </w:p>
          <w:p>
            <w:pPr>
              <w:spacing w:before="0" w:after="60"/>
            </w:pPr>
            <w:r>
              <w:rPr>
                <w:rFonts w:ascii="Arial" w:cs="Arial" w:eastAsia="Arial" w:hAnsi="Arial"/>
                <w:sz w:val="20"/>
                <w:szCs w:val="20"/>
              </w:rPr>
              <w:t xml:space="preserve">Deputies Committee consensus is required before Phase 2 authorization. Required determinations: (1) target has received clear behavioral benchmarks with 60-day compliance window; (2) allies have been pre-briefed on potential Phase 2 actions; (3) humanitarian General Licenses are drafted and ready for simultaneous release; (4) market impact assessment is complete.</w:t>
            </w:r>
          </w:p>
          <w:p>
            <w:pPr>
              <w:spacing w:before="0" w:after="60"/>
            </w:pPr>
            <w:r>
              <w:rPr>
                <w:rFonts w:ascii="Arial" w:cs="Arial" w:eastAsia="Arial" w:hAnsi="Arial"/>
                <w:sz w:val="20"/>
                <w:szCs w:val="20"/>
              </w:rPr>
              <w:t xml:space="preserve">The 72-hour pre-notification protocol (Section 2.2) is notification, not coordination. It cannot substitute for Phase 1 allied consultation. Proceeding to Phase 2 without completing Phase 1 prerequisites is one of the most consistent failure modes in prior maximum pressure campaigns.</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2.2 Phase 2 — Financial and Services Denial (90–180 Days)</w:t>
      </w:r>
    </w:p>
    <w:p>
      <w:pPr>
        <w:spacing w:before="60" w:after="120"/>
        <w:jc w:val="both"/>
      </w:pPr>
      <w:r>
        <w:rPr>
          <w:rFonts w:ascii="Arial" w:cs="Arial" w:eastAsia="Arial" w:hAnsi="Arial"/>
          <w:sz w:val="22"/>
          <w:szCs w:val="22"/>
        </w:rPr>
        <w:t xml:space="preserve">Phase 2 applies the primary enforcement tools: asset blocking under IEEPA, entity designations, denial of insurance and port services, export denial orders, and targeted banking restrictions. Effectiveness depends on the completeness of Phase 1 coordination; designations that surprise allied capitals or lack simultaneous humanitarian carve-outs generate diplomatic costs that compound over subsequent enforcement cycles.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72-Hour Allied Pre-Notification Protocol</w:t>
      </w:r>
    </w:p>
    <w:p>
      <w:pPr>
        <w:spacing w:before="60" w:after="120"/>
        <w:jc w:val="both"/>
      </w:pPr>
      <w:r>
        <w:rPr>
          <w:rFonts w:ascii="Arial" w:cs="Arial" w:eastAsia="Arial" w:hAnsi="Arial"/>
          <w:sz w:val="22"/>
          <w:szCs w:val="22"/>
        </w:rPr>
        <w:t xml:space="preserve">UK, France, Germany, Japan, and South Korea receive restricted notification 72 hours before public announcement of any Phase 2 designation. Notification package includes: legal basis; intelligence summary (releasable portions only); market impact assessment; humanitarian carve-outs; and rollback criteria. Allied objections trigger automatic 48-hour Deputies Committee review. Treasury may proceed over objections only with Deputies Committee approval and documented rationale. State Department holds veto authority on public evidence sufficiency (see Part VI) — a recommended governance control within this architecture, not settled current doctrine.</w:t>
      </w:r>
    </w:p>
    <w:p>
      <w:pPr>
        <w:spacing w:before="0" w:after="60"/>
      </w:pPr>
      <w:r>
        <w:t xml:space="preserve"/>
      </w:r>
    </w:p>
    <w:p>
      <w:pPr>
        <w:pStyle w:val="Heading3"/>
        <w:spacing w:before="180" w:after="80"/>
      </w:pPr>
      <w:r>
        <w:rPr>
          <w:rFonts w:ascii="Arial" w:cs="Arial" w:eastAsia="Arial" w:hAnsi="Arial"/>
          <w:b/>
          <w:bCs/>
          <w:color w:val="4A5568"/>
          <w:sz w:val="22"/>
          <w:szCs w:val="22"/>
        </w:rPr>
        <w:t xml:space="preserve">Market Impact Gates</w:t>
      </w:r>
    </w:p>
    <w:p>
      <w:pPr>
        <w:spacing w:before="60" w:after="120"/>
        <w:jc w:val="both"/>
      </w:pPr>
      <w:r>
        <w:rPr>
          <w:rFonts w:ascii="Arial" w:cs="Arial" w:eastAsia="Arial" w:hAnsi="Arial"/>
          <w:sz w:val="22"/>
          <w:szCs w:val="22"/>
        </w:rPr>
        <w:t xml:space="preserve">Actions affecting more than 5 percent of global energy, finance, or critical commodity trade require NEC review and stress test. [ANALYTIC-DEFAULT: 5% global trade threshold; calibrated to the approximate concentration level at which historical supply-side disruptions have produced observable macro-financial contagion effects, not derived from a formally established rule.] Treasury Office of International Affairs provides a 10-day market impact assessment. Federal Reserve is consulted on financial contagion risk for correspondent banking restrictions.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160"/>
              <w:bottom w:type="dxa" w:w="120"/>
              <w:right w:type="dxa" w:w="120"/>
            </w:tcMar>
          </w:tcPr>
          <w:p>
            <w:pPr>
              <w:spacing w:before="0" w:after="80"/>
            </w:pPr>
            <w:r>
              <w:rPr>
                <w:rFonts w:ascii="Arial" w:cs="Arial" w:eastAsia="Arial" w:hAnsi="Arial"/>
                <w:b/>
                <w:bCs/>
                <w:caps/>
                <w:color w:val="1A5C2E"/>
                <w:sz w:val="20"/>
                <w:szCs w:val="20"/>
              </w:rPr>
              <w:t xml:space="preserve">DOCUMENTED STRUCTURAL CONSTRAINT — ENERGY PRICE TRIGGERS</w:t>
            </w:r>
          </w:p>
          <w:p>
            <w:pPr>
              <w:spacing w:before="0" w:after="60"/>
            </w:pPr>
            <w:r>
              <w:rPr>
                <w:rFonts w:ascii="Arial" w:cs="Arial" w:eastAsia="Arial" w:hAnsi="Arial"/>
                <w:sz w:val="20"/>
                <w:szCs w:val="20"/>
              </w:rPr>
              <w:t xml:space="preserve">When Brent crude exceeds $120 per barrel for 30 consecutive trading days, Treasury shall issue temporary waivers for non-target-state purchasers. [ANALYTIC-DEFAULT: $110 NEC review trigger; $120 automatic waiver trigger; $100 waiver termination threshold. Calibrated to observed coalition tolerance thresholds from Iran 2012–2015 and 2018–2020 periods, during which energy price spikes at these approximate levels materially increased allied defection risk; not derived from a formally established rule and should be reviewed case-by-case before application.]</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2.3 Phase 3 — Legal Enforcement and Forfeiture (180+ Days)</w:t>
      </w:r>
    </w:p>
    <w:p>
      <w:pPr>
        <w:spacing w:before="60" w:after="120"/>
        <w:jc w:val="both"/>
      </w:pPr>
      <w:r>
        <w:rPr>
          <w:rFonts w:ascii="Arial" w:cs="Arial" w:eastAsia="Arial" w:hAnsi="Arial"/>
          <w:sz w:val="22"/>
          <w:szCs w:val="22"/>
        </w:rPr>
        <w:t xml:space="preserve">Phase 3 applies civil forfeiture proceedings (DOJ lead), criminal indictments where the evidentiary record supports prosecution, selective secondary sanctions subject to the enhanced protocol below, and escrow or restitution mechanisms for seized proceeds. Phase 3 initiation requires Principals Committee approval with documented findings that Phase 2 has been in effect for minimum 90 days, the target has failed to meet behavioral benchmarks, the allied coalition remains intact, and market stability indicators are within acceptable ranges.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Secondary Sanctions Enhanced Protocol: Transaction Threshold and Intelligence Disclosure Conflict</w:t>
      </w:r>
    </w:p>
    <w:p>
      <w:pPr>
        <w:spacing w:before="60" w:after="120"/>
        <w:jc w:val="both"/>
      </w:pPr>
      <w:r>
        <w:rPr>
          <w:rFonts w:ascii="Arial" w:cs="Arial" w:eastAsia="Arial" w:hAnsi="Arial"/>
          <w:sz w:val="22"/>
          <w:szCs w:val="22"/>
        </w:rPr>
        <w:t xml:space="preserve">All secondary designation targets must meet three criteria simultaneously: (1) facilitating transactions exceeding $50M annually in prohibited goods or services [ANALYTIC-DEFAULT: $50M threshold; no statutory materiality threshold for secondary sanctions exists in IEEPA, CAATSA, or any other applicable authority — this is a framework planning parameter derived from observed OFAC enforcement patterns in which designations at lower transaction volumes have consistently faced greater judicial and diplomatic challenge, suggesting a de facto defensibility floor around this level; it does not constitute a legal standard and requires case-specific calibration before application]; (2) no comparable alternative enforcement mechanism available; (3) allied governments pre-consulted and either supportive or neutral.</w:t>
      </w:r>
    </w:p>
    <w:p>
      <w:pPr>
        <w:spacing w:before="60" w:after="120"/>
        <w:jc w:val="both"/>
      </w:pPr>
      <w:r>
        <w:rPr>
          <w:rFonts w:ascii="Arial" w:cs="Arial" w:eastAsia="Arial" w:hAnsi="Arial"/>
          <w:sz w:val="22"/>
          <w:szCs w:val="22"/>
        </w:rPr>
        <w:t xml:space="preserve">The $50M threshold creates a procedural conflict between evidentiary requirements and public defensibility requirements. Three resolution pathways, applied in order of preference: (a) declassification pathway — Treasury and DNI initiate expedited declassification review at Phase 2 initiation for likely Phase 3 secondary targets; (b) parallel public evidence pathway — customs data, AIS vessel tracking, and allied releasable financial intelligence may independently establish transaction volume; (c) classified evidentiary acceptance with diplomatic cost acknowledgment — Deputies Committee explicitly approves proceeding on classified grounds with documented rationale. Where none of the three pathways resolves the conflict, action is deferred pending resolution.</w:t>
      </w:r>
    </w:p>
    <w:p>
      <w:pPr>
        <w:spacing w:before="0" w:after="60"/>
      </w:pPr>
      <w:r>
        <w:t xml:space="preserve"/>
      </w:r>
    </w:p>
    <w:p>
      <w:pPr>
        <w:pStyle w:val="Heading3"/>
        <w:spacing w:before="180" w:after="80"/>
      </w:pPr>
      <w:r>
        <w:rPr>
          <w:rFonts w:ascii="Arial" w:cs="Arial" w:eastAsia="Arial" w:hAnsi="Arial"/>
          <w:b/>
          <w:bCs/>
          <w:color w:val="4A5568"/>
          <w:sz w:val="22"/>
          <w:szCs w:val="22"/>
        </w:rPr>
        <w:t xml:space="preserve">Emergency Exception and Process Degradation Protocol</w:t>
      </w:r>
    </w:p>
    <w:p>
      <w:pPr>
        <w:spacing w:before="60" w:after="120"/>
        <w:jc w:val="both"/>
      </w:pPr>
      <w:r>
        <w:rPr>
          <w:rFonts w:ascii="Arial" w:cs="Arial" w:eastAsia="Arial" w:hAnsi="Arial"/>
          <w:sz w:val="22"/>
          <w:szCs w:val="22"/>
        </w:rPr>
        <w:t xml:space="preserve">The framework’s procedural gates are designed for planned enforcement campaigns. Actual sanctions decisions frequently occur under compressed timelines, partial intelligence, political signaling demands, and bureaucratic conflict. The emergency exception protocol defines how the framework functions when ideal sequencing is not available, and specifies which controls remain non-waivable.</w:t>
      </w:r>
    </w:p>
    <w:p>
      <w:pPr>
        <w:spacing w:before="60" w:after="120"/>
        <w:jc w:val="both"/>
      </w:pPr>
      <w:r>
        <w:rPr>
          <w:rFonts w:ascii="Arial" w:cs="Arial" w:eastAsia="Arial" w:hAnsi="Arial"/>
          <w:sz w:val="22"/>
          <w:szCs w:val="22"/>
        </w:rPr>
        <w:t xml:space="preserve">Emergency designation conditions: an emergency designation may bypass Phase 1 completion and 72-hour pre-notification when all three of the following conditions are met: (a) active, imminent, or ongoing harm to U.S. persons, allies, or critical infrastructure attributable to the target; (b) delay would materially reduce the effectiveness of the designation or permit asset flight; and (c) Principals Committee (or in extremis, the Secretary of the Treasury with NSA concurrence) authorizes the expedited action with written rationale.</w:t>
      </w:r>
    </w:p>
    <w:p>
      <w:pPr>
        <w:spacing w:before="60" w:after="120"/>
        <w:jc w:val="both"/>
      </w:pPr>
      <w:r>
        <w:rPr>
          <w:rFonts w:ascii="Arial" w:cs="Arial" w:eastAsia="Arial" w:hAnsi="Arial"/>
          <w:sz w:val="22"/>
          <w:szCs w:val="22"/>
        </w:rPr>
        <w:t xml:space="preserve">Non-waivable controls under emergency conditions: the following safeguards remain mandatory regardless of timeline pressure:</w:t>
      </w:r>
    </w:p>
    <w:p>
      <w:pPr>
        <w:pStyle w:val="ListParagraph"/>
        <w:numPr>
          <w:ilvl w:val="0"/>
          <w:numId w:val="2"/>
        </w:numPr>
        <w:spacing w:before="40" w:after="40"/>
      </w:pPr>
      <w:r>
        <w:rPr>
          <w:rFonts w:ascii="Arial" w:cs="Arial" w:eastAsia="Arial" w:hAnsi="Arial"/>
          <w:sz w:val="22"/>
          <w:szCs w:val="22"/>
        </w:rPr>
        <w:t xml:space="preserve">Legal basis must be identified before designation announcement — legal review cannot be bypassed, only compressed</w:t>
      </w:r>
    </w:p>
    <w:p>
      <w:pPr>
        <w:pStyle w:val="ListParagraph"/>
        <w:numPr>
          <w:ilvl w:val="0"/>
          <w:numId w:val="2"/>
        </w:numPr>
        <w:spacing w:before="40" w:after="40"/>
      </w:pPr>
      <w:r>
        <w:rPr>
          <w:rFonts w:ascii="Arial" w:cs="Arial" w:eastAsia="Arial" w:hAnsi="Arial"/>
          <w:sz w:val="22"/>
          <w:szCs w:val="22"/>
        </w:rPr>
        <w:t xml:space="preserve">Simultaneous humanitarian General License issuance or within 24 hours of designation — post-hoc clarification is not acceptable even in emergency conditions</w:t>
      </w:r>
    </w:p>
    <w:p>
      <w:pPr>
        <w:pStyle w:val="ListParagraph"/>
        <w:numPr>
          <w:ilvl w:val="0"/>
          <w:numId w:val="2"/>
        </w:numPr>
        <w:spacing w:before="40" w:after="40"/>
      </w:pPr>
      <w:r>
        <w:rPr>
          <w:rFonts w:ascii="Arial" w:cs="Arial" w:eastAsia="Arial" w:hAnsi="Arial"/>
          <w:sz w:val="22"/>
          <w:szCs w:val="22"/>
        </w:rPr>
        <w:t xml:space="preserve">Allied notification within 24 hours of public announcement — pre-notification may be compressed but cannot be eliminated</w:t>
      </w:r>
    </w:p>
    <w:p>
      <w:pPr>
        <w:pStyle w:val="ListParagraph"/>
        <w:numPr>
          <w:ilvl w:val="0"/>
          <w:numId w:val="2"/>
        </w:numPr>
        <w:spacing w:before="40" w:after="40"/>
      </w:pPr>
      <w:r>
        <w:rPr>
          <w:rFonts w:ascii="Arial" w:cs="Arial" w:eastAsia="Arial" w:hAnsi="Arial"/>
          <w:sz w:val="22"/>
          <w:szCs w:val="22"/>
        </w:rPr>
        <w:t xml:space="preserve">Post-action review within 30 days: Deputies Committee must conduct full retroactive review of whether emergency conditions were genuinely present and whether safeguards were properly maintained</w:t>
      </w:r>
    </w:p>
    <w:p>
      <w:pPr>
        <w:spacing w:before="60" w:after="120"/>
        <w:jc w:val="both"/>
      </w:pPr>
      <w:r>
        <w:rPr>
          <w:rFonts w:ascii="Arial" w:cs="Arial" w:eastAsia="Arial" w:hAnsi="Arial"/>
          <w:sz w:val="22"/>
          <w:szCs w:val="22"/>
        </w:rPr>
        <w:t xml:space="preserve">Process degradation risk: the most serious long-term threat to the framework is not any single emergency designation but the normalization of emergency procedures as default operating mode. Post-action review is mandatory precisely because the emergency exception must remain exceptional. If Deputies Committee post-action review finds that emergency conditions were not genuinely present in two or more consecutive emergency designations, NSC is required to initiate a framework review and identify whether institutional incentives are systematically bypassing Phase discipline.</w:t>
      </w:r>
    </w:p>
    <w:p>
      <w:pPr>
        <w:spacing w:before="0" w:after="60"/>
      </w:pPr>
      <w:r>
        <w:t xml:space="preserve"/>
      </w:r>
    </w:p>
    <w:p>
      <w:pPr>
        <w:pStyle w:val="Heading3"/>
        <w:spacing w:before="180" w:after="80"/>
      </w:pPr>
      <w:r>
        <w:rPr>
          <w:rFonts w:ascii="Arial" w:cs="Arial" w:eastAsia="Arial" w:hAnsi="Arial"/>
          <w:b/>
          <w:bCs/>
          <w:color w:val="4A5568"/>
          <w:sz w:val="22"/>
          <w:szCs w:val="22"/>
        </w:rPr>
        <w:t xml:space="preserve">Secondary Sanctions Geographic 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Jurisdiction Category</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 Authority Level</w:t>
            </w:r>
          </w:p>
        </w:tc>
      </w:tr>
      <w:tr>
        <w:trPr>
          <w:tblHeader w:val="false"/>
        </w:trP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European financial institutions (UK, France, Germany, Italy, Netherlands)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and Treasury Secretary joint approval required</w:t>
            </w:r>
          </w:p>
        </w:tc>
      </w:tr>
      <w:tr>
        <w:trPr>
          <w:tblHeader w:val="false"/>
        </w:trP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Asian banking and insurance (Japan, South Korea, Singapore)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Deputies Committee approval minimum</w:t>
            </w:r>
          </w:p>
        </w:tc>
      </w:tr>
      <w:tr>
        <w:trPr>
          <w:tblHeader w:val="false"/>
        </w:trP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Chinese state banks (PRC government ownership exceeding 25%)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Principals Committee approval with DNI assessment of retaliation risk</w:t>
            </w:r>
          </w:p>
        </w:tc>
      </w:tr>
      <w:tr>
        <w:trPr>
          <w:tblHeader w:val="false"/>
        </w:trP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NATO or Major Non-NATO Ally jurisdiction entity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30-day allied consultation minimum before designation</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2.4 Phase 4 — Coalition Institutionalization and Enforcement Architecture</w:t>
      </w:r>
    </w:p>
    <w:p>
      <w:pPr>
        <w:spacing w:before="60" w:after="120"/>
        <w:jc w:val="both"/>
      </w:pPr>
      <w:r>
        <w:rPr>
          <w:rFonts w:ascii="Arial" w:cs="Arial" w:eastAsia="Arial" w:hAnsi="Arial"/>
          <w:sz w:val="22"/>
          <w:szCs w:val="22"/>
        </w:rPr>
        <w:t xml:space="preserve">Phase 4 converts U.S. unilateral enforcement action into system-wide constraint through allied adoption of parallel autonomous measures. For a framework that identifies coalition fracture as the primary failure mode, Phase 4 requires institutional architecture — decision authority, measurable participation metrics, and structured escalation paths — not periodic consultation.</w:t>
      </w:r>
    </w:p>
    <w:p>
      <w:pPr>
        <w:spacing w:before="0" w:after="60"/>
      </w:pPr>
      <w:r>
        <w:t xml:space="preserve"/>
      </w:r>
    </w:p>
    <w:p>
      <w:pPr>
        <w:pStyle w:val="Heading3"/>
        <w:spacing w:before="180" w:after="80"/>
      </w:pPr>
      <w:r>
        <w:rPr>
          <w:rFonts w:ascii="Arial" w:cs="Arial" w:eastAsia="Arial" w:hAnsi="Arial"/>
          <w:b/>
          <w:bCs/>
          <w:color w:val="4A5568"/>
          <w:sz w:val="22"/>
          <w:szCs w:val="22"/>
        </w:rPr>
        <w:t xml:space="preserve">G7+ Sanctions Coordination Cell: Structure and Decision Authority</w:t>
      </w:r>
    </w:p>
    <w:p>
      <w:pPr>
        <w:spacing w:before="60" w:after="120"/>
        <w:jc w:val="both"/>
      </w:pPr>
      <w:r>
        <w:rPr>
          <w:rFonts w:ascii="Arial" w:cs="Arial" w:eastAsia="Arial" w:hAnsi="Arial"/>
          <w:sz w:val="22"/>
          <w:szCs w:val="22"/>
        </w:rPr>
        <w:t xml:space="preserve">State Department establishes a standing G7+ sanctions coordination cell with weekly classified video conferences. The cell’s decision authority is limited: it is a coordination and information-sharing mechanism, not a joint decision body. Designation authority remains with each sovereign government. Tier 1 allied participation is defined structurally: UK, France, Germany, and Japan must implement parallel autonomous measures covering the same designated entities within 30 days of U.S. designation for the campaign to function as a coordinated multilateral action. This is a measurable campaign metric (Part VII), not a diplomatic aspiration.</w:t>
      </w:r>
    </w:p>
    <w:p>
      <w:pPr>
        <w:spacing w:before="0" w:after="60"/>
      </w:pPr>
      <w:r>
        <w:t xml:space="preserve"/>
      </w:r>
    </w:p>
    <w:p>
      <w:pPr>
        <w:pStyle w:val="Heading3"/>
        <w:spacing w:before="180" w:after="80"/>
      </w:pPr>
      <w:r>
        <w:rPr>
          <w:rFonts w:ascii="Arial" w:cs="Arial" w:eastAsia="Arial" w:hAnsi="Arial"/>
          <w:b/>
          <w:bCs/>
          <w:color w:val="4A5568"/>
          <w:sz w:val="22"/>
          <w:szCs w:val="22"/>
        </w:rPr>
        <w:t xml:space="preserve">Participation Erosion Protocol</w:t>
      </w:r>
    </w:p>
    <w:p>
      <w:pPr>
        <w:spacing w:before="60" w:after="120"/>
        <w:jc w:val="both"/>
      </w:pPr>
      <w:r>
        <w:rPr>
          <w:rFonts w:ascii="Arial" w:cs="Arial" w:eastAsia="Arial" w:hAnsi="Arial"/>
          <w:sz w:val="22"/>
          <w:szCs w:val="22"/>
        </w:rPr>
        <w:t xml:space="preserve">Every six months, State convenes a classified allied coordination meeting for effectiveness assessment and explicit recommitment or course adjustment. If two or more Tier 1 allies (UK, France, Germany, Japan) express intent to reduce participation, automatic Principals Committee review is triggered within 10 business days. Deputies Committee must produce a written decision within 30 days: maintain current measures, adjust objectives, offer target-state compliance incentives, or acknowledge non-kinetic tool insufficiency for the stated objective.</w:t>
      </w:r>
    </w:p>
    <w:p>
      <w:pPr>
        <w:spacing w:before="0" w:after="60"/>
      </w:pPr>
      <w:r>
        <w:t xml:space="preserve"/>
      </w:r>
    </w:p>
    <w:p>
      <w:pPr>
        <w:pStyle w:val="Heading3"/>
        <w:spacing w:before="180" w:after="80"/>
      </w:pPr>
      <w:r>
        <w:rPr>
          <w:rFonts w:ascii="Arial" w:cs="Arial" w:eastAsia="Arial" w:hAnsi="Arial"/>
          <w:b/>
          <w:bCs/>
          <w:color w:val="4A5568"/>
          <w:sz w:val="22"/>
          <w:szCs w:val="22"/>
        </w:rPr>
        <w:t xml:space="preserve">Bilateral Enforcement MOUs</w:t>
      </w:r>
    </w:p>
    <w:p>
      <w:pPr>
        <w:spacing w:before="60" w:after="120"/>
        <w:jc w:val="both"/>
      </w:pPr>
      <w:r>
        <w:rPr>
          <w:rFonts w:ascii="Arial" w:cs="Arial" w:eastAsia="Arial" w:hAnsi="Arial"/>
          <w:sz w:val="22"/>
          <w:szCs w:val="22"/>
        </w:rPr>
        <w:t xml:space="preserve">State Department negotiates bilateral enforcement MOUs with chokepoint-controlling jurisdictions (Singapore, UAE, Turkey, South Korea) using auto-renew provisions with annual technical annexes. Allied asset-sharing agreements covering DOJ forfeiture proceeds provide financial incentive for allied enforcement cooperation that diplomatic pressure alone does not sustain over multi-year campaigns.</w:t>
      </w:r>
    </w:p>
    <w:p>
      <w:pPr>
        <w:spacing w:before="0" w:after="120"/>
      </w:pPr>
      <w:r>
        <w:t xml:space="preserve"/>
      </w:r>
    </w:p>
    <w:p>
      <w:pPr>
        <w:pStyle w:val="Heading2"/>
        <w:spacing w:before="240" w:after="120"/>
      </w:pPr>
      <w:r>
        <w:rPr>
          <w:rFonts w:ascii="Arial" w:cs="Arial" w:eastAsia="Arial" w:hAnsi="Arial"/>
          <w:b/>
          <w:bCs/>
          <w:color w:val="1B2A4A"/>
          <w:sz w:val="24"/>
          <w:szCs w:val="24"/>
        </w:rPr>
        <w:t xml:space="preserve">2.5 Compressed Timeline Mode</w:t>
      </w:r>
    </w:p>
    <w:p>
      <w:pPr>
        <w:spacing w:before="60" w:after="120"/>
        <w:jc w:val="both"/>
      </w:pPr>
      <w:r>
        <w:rPr>
          <w:rFonts w:ascii="Arial" w:cs="Arial" w:eastAsia="Arial" w:hAnsi="Arial"/>
          <w:sz w:val="22"/>
          <w:szCs w:val="22"/>
        </w:rPr>
        <w:t xml:space="preserve">The framework’s Phase sequencing — Phase 1 consultation, 72-hour pre-notification, Deputies Committee authorization before Phase 2, simultaneous General License drafting — assumes conditions under which orderly deliberation is possible. In practice, many high-priority designation decisions occur under 24–72 hour windows driven by breaking intelligence, political event timelines, or allied coordination breakdowns. The compressed timeline mode is not an emergency exception (which requires active harm or imminent asset flight); it applies to the broader category of decisions where full Phase sequencing is operationally impractical but no genuine emergency exists.</w:t>
      </w:r>
    </w:p>
    <w:p>
      <w:pPr>
        <w:spacing w:before="60" w:after="120"/>
        <w:jc w:val="both"/>
      </w:pPr>
      <w:r>
        <w:rPr>
          <w:rFonts w:ascii="Arial" w:cs="Arial" w:eastAsia="Arial" w:hAnsi="Arial"/>
          <w:sz w:val="22"/>
          <w:szCs w:val="22"/>
        </w:rPr>
        <w:t xml:space="preserve">Compressed timeline minimum viable package: (a) legal basis identified and reviewed, not just asserted — compressed legal review acceptable if a written legal opinion is produced within 48 hours of designation; (b) allied notification at compression — notification within the timeline available, with explicit acknowledgment to allies that normal 72-hour pre-notification was not feasible and explanation of why; (c) humanitarian carve-out assessed — General License scope assessed and released simultaneously or within 24 hours even if scope is narrower than in a full Phase 2 package; (d) market impact checked — abbreviated Treasury market assessment required if action affects major commodity, currency, or financial markets; (e) Deputies Committee notified within 48 hours of action with compressed timeline justification.</w:t>
      </w:r>
    </w:p>
    <w:p>
      <w:pPr>
        <w:spacing w:before="60" w:after="120"/>
        <w:jc w:val="both"/>
      </w:pPr>
      <w:r>
        <w:rPr>
          <w:rFonts w:ascii="Arial" w:cs="Arial" w:eastAsia="Arial" w:hAnsi="Arial"/>
          <w:sz w:val="22"/>
          <w:szCs w:val="22"/>
        </w:rPr>
        <w:t xml:space="preserve">Coalition instability baseline: a related structural reality the framework must acknowledge directly. Allied coalition cohesion is a function of the framework design quality and of baseline allied political conditions that exist independently of U.S. framework quality. Even a perfectly designed framework will face coalition fracture scenarios driven by: electoral cycles producing new allied governments with different economic exposure calculus; energy price shocks creating domestic political pressure that overrides allied coordination commitments; industry lobbying in allied capitals generating political cover for non-compliance; and long-duration campaigns producing coalition fatigue that is structural, not a design failure. The framework’s participation erosion protocol and Phase 4 coalition institutionalization architecture mitigate these risks; they do not eliminate them. Campaign planners should treat a meaningful baseline probability of coalition divergence as structurally embedded in any multi-year non-kinetic campaign regardless of framework quality, and design escalation architecture to remain effective at reduced coalition size before it is needed.</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III: CORE LEGAL AUTHORITIES AND JUDICIAL RISK</w:t>
      </w:r>
    </w:p>
    <w:p>
      <w:pPr>
        <w:pStyle w:val="Heading2"/>
        <w:spacing w:before="240" w:after="120"/>
      </w:pPr>
      <w:r>
        <w:rPr>
          <w:rFonts w:ascii="Arial" w:cs="Arial" w:eastAsia="Arial" w:hAnsi="Arial"/>
          <w:b/>
          <w:bCs/>
          <w:color w:val="1B2A4A"/>
          <w:sz w:val="24"/>
          <w:szCs w:val="24"/>
        </w:rPr>
        <w:t xml:space="preserve">3.1 Financial Blocking and Asset Immobilization</w:t>
      </w:r>
    </w:p>
    <w:p>
      <w:pPr>
        <w:spacing w:before="60" w:after="120"/>
        <w:jc w:val="both"/>
      </w:pPr>
      <w:r>
        <w:rPr>
          <w:rFonts w:ascii="Arial" w:cs="Arial" w:eastAsia="Arial" w:hAnsi="Arial"/>
          <w:sz w:val="22"/>
          <w:szCs w:val="22"/>
        </w:rPr>
        <w:t xml:space="preserve">Authority: IEEPA, 50 U.S.C. §§ 1701–1707, exercised upon declaration of a national emergency under the National Emergencies Act, 50 U.S.C. § 1601 et seq. Blocking immobilizes assets immediately upon designation without due process as a precondition; designated parties retain judicial challenge rights. IEEPA blocking authority applies to: bank accounts, securities, and receivables; equity and ownership interests; commodity payments and trade finance instruments; virtual assets linked to designated actors; and vessels, aircraft, and cargo where U.S. jurisdictional touchpoints exist.</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3.2 Designations and Sanctions Regimes</w:t>
      </w:r>
    </w:p>
    <w:p>
      <w:pPr>
        <w:spacing w:before="60" w:after="120"/>
        <w:jc w:val="both"/>
      </w:pPr>
      <w:r>
        <w:rPr>
          <w:rFonts w:ascii="Arial" w:cs="Arial" w:eastAsia="Arial" w:hAnsi="Arial"/>
          <w:sz w:val="22"/>
          <w:szCs w:val="22"/>
        </w:rPr>
        <w:t xml:space="preserve">Authority: EO 13224, EO 13382, EO 14024 as amended by EO 14114 and EO 14071, as amended and implemented through OFAC regulations; and statutory programs including the Countering America’s Adversaries Through Sanctions Act (CAATSA, Public Law 115-44), the Comprehensive Iran Sanctions, Accountability, and Divestment Act (CISADA, Public Law 111-195), and the North Korea Sanctions and Policy Enhancement Act (NKSPEA, Public Law 114-122). Designations deny U.S. market access and generate global over-compliance through financial institution risk aversion extending beyond designated entities to associated networks.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3.3 Judicial Forfeiture</w:t>
      </w:r>
    </w:p>
    <w:p>
      <w:pPr>
        <w:spacing w:before="60" w:after="120"/>
        <w:jc w:val="both"/>
      </w:pPr>
      <w:r>
        <w:rPr>
          <w:rFonts w:ascii="Arial" w:cs="Arial" w:eastAsia="Arial" w:hAnsi="Arial"/>
          <w:sz w:val="22"/>
          <w:szCs w:val="22"/>
        </w:rPr>
        <w:t xml:space="preserve">Authority: 18 U.S.C. § 981 et seq., 21 U.S.C. § 881 (judicial process). DOJ’s 18 U.S.C. § 981(k) substitution authority permits seizure of correspondent account balances equivalent to funds deposited for the benefit of a foreign bank, bypassing foreign sovereign immunity and bank secrecy barriers.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3.4 Export Controls and Technology Denial</w:t>
      </w:r>
    </w:p>
    <w:p>
      <w:pPr>
        <w:spacing w:before="60" w:after="120"/>
        <w:jc w:val="both"/>
      </w:pPr>
      <w:r>
        <w:rPr>
          <w:rFonts w:ascii="Arial" w:cs="Arial" w:eastAsia="Arial" w:hAnsi="Arial"/>
          <w:sz w:val="22"/>
          <w:szCs w:val="22"/>
        </w:rPr>
        <w:t xml:space="preserve">Authority: ECRA, 50 U.S.C. § 4801 et seq.; EAR, 15 C.F.R. § 730 et seq. The Foreign Direct Product Rule extends U.S. jurisdiction to third-country production incorporating U.S.-origin technology. Japan, Netherlands, and South Korea coordination is essential for semiconductor chokepoint control.</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3.5 IEEPA Judicial Risk: Major Questions Doctrine Trajectory</w:t>
      </w:r>
    </w:p>
    <w:p>
      <w:pPr>
        <w:spacing w:before="60" w:after="120"/>
        <w:jc w:val="both"/>
      </w:pPr>
      <w:r>
        <w:rPr>
          <w:rFonts w:ascii="Arial" w:cs="Arial" w:eastAsia="Arial" w:hAnsi="Arial"/>
          <w:sz w:val="22"/>
          <w:szCs w:val="22"/>
        </w:rPr>
        <w:t xml:space="preserve">This framework is built substantially on IEEPA as the primary administrative blocking and designation authority. The current judicial risk environment is non-trivial. The Supreme Court’s major questions doctrine (West Virginia v. EPA, 597 U.S. 697, 2022) holds that agencies claiming authority to make decisions of vast economic and political significance must demonstrate clear congressional authorization. Combined with the Chevron overrule (Loper Bright Enterprises v. Raimondo, 603 U.S. 369, 2024), which removed the Chevron deference framework that previously structured judicial review of agency statutory interpretations, these decisions may increase judicial scrutiny of broad IEEPA-based actions — though neither decision directly addressed IEEPA and the extent of their application to IEEPA-based enforcement remains unsettled.</w:t>
      </w:r>
    </w:p>
    <w:p>
      <w:pPr>
        <w:spacing w:before="60" w:after="120"/>
        <w:jc w:val="both"/>
      </w:pPr>
      <w:r>
        <w:rPr>
          <w:rFonts w:ascii="Arial" w:cs="Arial" w:eastAsia="Arial" w:hAnsi="Arial"/>
          <w:sz w:val="22"/>
          <w:szCs w:val="22"/>
        </w:rPr>
        <w:t xml:space="preserve">Specific risk vectors: (a) tariff-equivalent economic restrictions under IEEPA without clear nexus to a declared national emergency; (b) broad sectoral sanctions targeting entire economies rather than specific designated actors; (c) secondary sanctions imposing extraterritorial obligations on non-U.S. persons. The available evidence is consistent with a moderate-confidence assessment that at least one significant IEEPA authority case will reach the Supreme Court within the 2025–2030 timeframe. The public record does not permit a firm conclusion on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IEEPA JUDICIAL RISK MITIGATION</w:t>
            </w:r>
          </w:p>
          <w:p>
            <w:pPr>
              <w:spacing w:before="0" w:after="60"/>
            </w:pPr>
            <w:r>
              <w:rPr>
                <w:rFonts w:ascii="Arial" w:cs="Arial" w:eastAsia="Arial" w:hAnsi="Arial"/>
                <w:sz w:val="20"/>
                <w:szCs w:val="20"/>
              </w:rPr>
              <w:t xml:space="preserve">Campaign architecture should where possible identify parallel statutory designation authorities (CAATSA, CISADA, NKSPEA, FEND Off Fentanyl Act, material support statutes) for high-priority targets. Treasury should maintain dual-authority designation packages for Tier 1 enforcement targets. Congressional pre-authorization through targeted legislation provides the clearest judicial insulation.</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3.6 Authority Failure Contingency Layer</w:t>
      </w:r>
    </w:p>
    <w:p>
      <w:pPr>
        <w:spacing w:before="60" w:after="120"/>
        <w:jc w:val="both"/>
      </w:pPr>
      <w:r>
        <w:rPr>
          <w:rFonts w:ascii="Arial" w:cs="Arial" w:eastAsia="Arial" w:hAnsi="Arial"/>
          <w:sz w:val="22"/>
          <w:szCs w:val="22"/>
        </w:rPr>
        <w:t xml:space="preserve">If a federal court issues a preliminary injunction or stays the operation of an IEEPA-based designation pending judicial review, or if a Supreme Court ruling materially narrows IEEPA’s administrative blocking or designation authority, the following contingency sequence applies:</w:t>
      </w:r>
    </w:p>
    <w:p>
      <w:pPr>
        <w:pStyle w:val="ListParagraph"/>
        <w:numPr>
          <w:ilvl w:val="0"/>
          <w:numId w:val="2"/>
        </w:numPr>
        <w:spacing w:before="40" w:after="40"/>
      </w:pPr>
      <w:r>
        <w:rPr>
          <w:rFonts w:ascii="Arial" w:cs="Arial" w:eastAsia="Arial" w:hAnsi="Arial"/>
          <w:sz w:val="22"/>
          <w:szCs w:val="22"/>
        </w:rPr>
        <w:t xml:space="preserve">Step 1 — Immediate parallel authority assessment (48 hours): Treasury and DOJ identify which affected designations have available parallel statutory authority (CAATSA, CISADA, NKSPEA, ITSR, OFAC country-specific programs, material support statutes). High-priority targets with dual-authority packages in place can be re-designated under parallel authority within 5–10 business days. The 5–10 day gap is an enforcement degradation window during which the target may attempt asset movement; Treasury should coordinate with allied FIUs to monitor unusual transaction activity during this window.</w:t>
      </w:r>
    </w:p>
    <w:p>
      <w:pPr>
        <w:pStyle w:val="ListParagraph"/>
        <w:numPr>
          <w:ilvl w:val="0"/>
          <w:numId w:val="2"/>
        </w:numPr>
        <w:spacing w:before="40" w:after="40"/>
      </w:pPr>
      <w:r>
        <w:rPr>
          <w:rFonts w:ascii="Arial" w:cs="Arial" w:eastAsia="Arial" w:hAnsi="Arial"/>
          <w:sz w:val="22"/>
          <w:szCs w:val="22"/>
        </w:rPr>
        <w:t xml:space="preserve">Step 2 — Authority gap identification (5 business days): designations with no available parallel statutory authority are identified. These represent genuine enforcement degradation from the judicial action — the target entities regain access to the U.S. financial system and allied systems that mirror U.S. action until alternative authority is established. Treasury reports the scope of the gap to NSC within 5 business days.</w:t>
      </w:r>
    </w:p>
    <w:p>
      <w:pPr>
        <w:pStyle w:val="ListParagraph"/>
        <w:numPr>
          <w:ilvl w:val="0"/>
          <w:numId w:val="2"/>
        </w:numPr>
        <w:spacing w:before="40" w:after="40"/>
      </w:pPr>
      <w:r>
        <w:rPr>
          <w:rFonts w:ascii="Arial" w:cs="Arial" w:eastAsia="Arial" w:hAnsi="Arial"/>
          <w:sz w:val="22"/>
          <w:szCs w:val="22"/>
        </w:rPr>
        <w:t xml:space="preserve">Step 3 — Legislative contingency activation: if the authority gap affects Tier 1 enforcement targets, NSC initiates congressional engagement for emergency targeted legislation. The IEEPA judicial risk section of the Methodological Note serves as the pre-justification record for that legislative engagement; campaign architects should treat this section as a congressional record component, not merely an analytic caveat.</w:t>
      </w:r>
    </w:p>
    <w:p>
      <w:pPr>
        <w:pStyle w:val="ListParagraph"/>
        <w:numPr>
          <w:ilvl w:val="0"/>
          <w:numId w:val="2"/>
        </w:numPr>
        <w:spacing w:before="40" w:after="40"/>
      </w:pPr>
      <w:r>
        <w:rPr>
          <w:rFonts w:ascii="Arial" w:cs="Arial" w:eastAsia="Arial" w:hAnsi="Arial"/>
          <w:sz w:val="22"/>
          <w:szCs w:val="22"/>
        </w:rPr>
        <w:t xml:space="preserve">Step 4 — Enforcement degradation estimate: a partial IEEPA invalidation — affecting sectoral sanctions but not entity-specific designations, for example — would degrade enforcement effectiveness primarily for Iran energy sector and Russia sectoral measures, which rely most heavily on broad IEEPA authority rather than entity-specific statutory programs. Entity-specific designations under CAATSA, CISADA, and NKSPEA would remain unaffected. Campaign planners should maintain a current enforcement degradation estimate updated annually by Treasury’s Office of General Counsel.</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IV: VERIFICATION AND OFF-RAMP ARCHITECTURE</w:t>
      </w:r>
    </w:p>
    <w:p>
      <w:pPr>
        <w:pStyle w:val="Heading2"/>
        <w:spacing w:before="240" w:after="120"/>
      </w:pPr>
      <w:r>
        <w:rPr>
          <w:rFonts w:ascii="Arial" w:cs="Arial" w:eastAsia="Arial" w:hAnsi="Arial"/>
          <w:b/>
          <w:bCs/>
          <w:color w:val="1B2A4A"/>
          <w:sz w:val="24"/>
          <w:szCs w:val="24"/>
        </w:rPr>
        <w:t xml:space="preserve">4.1 The Verification Failure Problem</w:t>
      </w:r>
    </w:p>
    <w:p>
      <w:pPr>
        <w:spacing w:before="60" w:after="120"/>
        <w:jc w:val="both"/>
      </w:pPr>
      <w:r>
        <w:rPr>
          <w:rFonts w:ascii="Arial" w:cs="Arial" w:eastAsia="Arial" w:hAnsi="Arial"/>
          <w:sz w:val="22"/>
          <w:szCs w:val="22"/>
        </w:rPr>
        <w:t xml:space="preserve">Prior non-kinetic campaigns have failed at the behavioral change stage not because enforcement tools were inadequate but because success criteria were undefined or contested. Iran JCPOA disputes (2015–2018), Venezuela interim government recognition (2019–2024), and DPRK denuclearization frameworks share this structural deficiency: the target claimed compliance, U.S. agencies disagreed on sufficiency, and allies lost confidence. The public record does not establish whether any prior U.S. non-kinetic campaign successfully resolved a compliance dispute through a pre-defined adjudication mechanism rather than through political negotiation or campaign abandonment.</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4.2 Observability Cycle: Planning Parameter, Not Behavioral Change Interval</w:t>
      </w:r>
    </w:p>
    <w:p>
      <w:pPr>
        <w:spacing w:before="60" w:after="120"/>
        <w:jc w:val="both"/>
      </w:pPr>
      <w:r>
        <w:rPr>
          <w:rFonts w:ascii="Arial" w:cs="Arial" w:eastAsia="Arial" w:hAnsi="Arial"/>
          <w:sz w:val="22"/>
          <w:szCs w:val="22"/>
        </w:rPr>
        <w:t xml:space="preserve">ESCALATE-01 uses a 90-day observability cycle cross-referenced from MAXPRESS-01. [ANALYTIC-DEFAULT: 90-day cycle. This is a planning parameter calibrated to operational readiness and interagency review capacity, not an empirically validated behavioral change interval.] Target-state behavioral change latency varies materially by scenario.</w:t>
      </w:r>
    </w:p>
    <w:p>
      <w:pPr>
        <w:spacing w:before="60" w:after="120"/>
        <w:jc w:val="both"/>
      </w:pPr>
      <w:r>
        <w:rPr>
          <w:rFonts w:ascii="Arial" w:cs="Arial" w:eastAsia="Arial" w:hAnsi="Arial"/>
          <w:sz w:val="22"/>
          <w:szCs w:val="22"/>
        </w:rPr>
        <w:t xml:space="preserve">Iran’s decision calculus is responsive to economic pressure within 6–18 months based on documented historical patterns (2012–2015 JCPOA timeline). [PRECEDENT: 6–18 month Iran behavioral change latency, based on JCPOA negotiation record.] DPRK’s behavioral change on nuclear-related benchmarks is structurally constrained regardless of pressure duration; the nuclear program functions as the primary regime survival guarantee. Venezuela’s decision calculus is conditioned on elite cohesion within the Maduro government; behavioral change indicators must include defection signals from second-tier actors, not only policy statements.</w:t>
      </w:r>
    </w:p>
    <w:p>
      <w:pPr>
        <w:spacing w:before="60" w:after="120"/>
        <w:jc w:val="both"/>
      </w:pPr>
      <w:r>
        <w:rPr>
          <w:rFonts w:ascii="Arial" w:cs="Arial" w:eastAsia="Arial" w:hAnsi="Arial"/>
          <w:sz w:val="22"/>
          <w:szCs w:val="22"/>
        </w:rPr>
        <w:t xml:space="preserve">Absence of compliance change within a single 90-day cycle is not a failure signal; it is an absence of a positive indicator. A 90-day review that finds no compliance change requires continued assessment, not automatic escalation. Absence of compliance change becomes a failure signal after a number of cycles sufficient for behavioral change to have been feasible given the target-specific latency profile. The available evidence does not resolve the question of whether any target-state has altered its behavioral calculus primarily in response to enforcement pressure as modeled here, as opposed to shifts in domestic political conditions, third-party diplomatic intervention, or economic developments independent of the sanctions campaign.</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4.3 Verification Framework Template</w:t>
      </w:r>
    </w:p>
    <w:p>
      <w:pPr>
        <w:spacing w:before="60" w:after="120"/>
        <w:jc w:val="both"/>
      </w:pPr>
      <w:r>
        <w:rPr>
          <w:rFonts w:ascii="Arial" w:cs="Arial" w:eastAsia="Arial" w:hAnsi="Arial"/>
          <w:sz w:val="22"/>
          <w:szCs w:val="22"/>
        </w:rPr>
        <w:t xml:space="preserve">Deputies Committee approves a written verification criteria document before Phase 2 authorization addressing five components: (1) observable behavioral benchmarks (specific, measurable, independently verifiable); (2) verification mechanism (named technical authority and methodology); (3) sufficiency thresholds (see table below); (4) adjudication process (interagency escalation path); (5) review timeline (90-day assessment cycle with target-specific latency calibration).</w:t>
      </w:r>
    </w:p>
    <w:p>
      <w:pPr>
        <w:spacing w:before="0" w:after="60"/>
      </w:pPr>
      <w:r>
        <w:t xml:space="preserve"/>
      </w:r>
    </w:p>
    <w:p>
      <w:pPr>
        <w:pStyle w:val="Heading3"/>
        <w:spacing w:before="180" w:after="80"/>
      </w:pPr>
      <w:r>
        <w:rPr>
          <w:rFonts w:ascii="Arial" w:cs="Arial" w:eastAsia="Arial" w:hAnsi="Arial"/>
          <w:b/>
          <w:bCs/>
          <w:color w:val="4A5568"/>
          <w:sz w:val="22"/>
          <w:szCs w:val="22"/>
        </w:rPr>
        <w:t xml:space="preserve">Sufficiency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Compliance Level</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Benchmark Threshold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Policy Response</w:t>
            </w:r>
          </w:p>
        </w:tc>
      </w:tr>
      <w:tr>
        <w:trPr>
          <w:tblHeader w:val=""/>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Full Compliance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100% of benchmarks met for 90+ consecutive days</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Initiate phased rollback per Section 4.4</w:t>
            </w:r>
          </w:p>
        </w:tc>
      </w:tr>
      <w:tr>
        <w:trPr>
          <w:tblHeader w:val=""/>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Substantial Compliance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75–99% of benchmarks met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Partial relief: remove newest designations, expand humanitarian licenses; maintain core restrictions</w:t>
            </w:r>
          </w:p>
        </w:tc>
      </w:tr>
      <w:tr>
        <w:trPr>
          <w:tblHeader w:val=""/>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Minimal Compliance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50–74% of benchmarks met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No relief; increase diplomatic engagement; maintain current pressure</w:t>
            </w:r>
          </w:p>
        </w:tc>
      </w:tr>
      <w:tr>
        <w:trPr>
          <w:tblHeader w:val=""/>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Non-Compliance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Less than 50% of benchmarks met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No relief; Deputies Committee assesses Phase 3 escalation or benchmark adjustment</w:t>
            </w:r>
          </w:p>
        </w:tc>
      </w:tr>
    </w:tbl>
    <w:p>
      <w:pPr>
        <w:spacing w:before="60" w:after="120"/>
        <w:jc w:val="both"/>
      </w:pPr>
      <w:r>
        <w:rPr>
          <w:rFonts w:ascii="Arial" w:cs="Arial" w:eastAsia="Arial" w:hAnsi="Arial"/>
          <w:sz w:val="22"/>
          <w:szCs w:val="22"/>
        </w:rPr>
        <w:t xml:space="preserve">Threshold basis: [ANALYTIC-DEFAULT: 75%/99%/50% compliance thresholds. These are planning parameters, not precedent-based requirements. Calibrate to specific campaign objectives and evidence quality before application.]</w:t>
      </w:r>
    </w:p>
    <w:p>
      <w:pPr>
        <w:spacing w:before="0" w:after="120"/>
      </w:pPr>
      <w:r>
        <w:t xml:space="preserve"/>
      </w:r>
    </w:p>
    <w:p>
      <w:pPr>
        <w:pStyle w:val="Heading2"/>
        <w:spacing w:before="240" w:after="120"/>
      </w:pPr>
      <w:r>
        <w:rPr>
          <w:rFonts w:ascii="Arial" w:cs="Arial" w:eastAsia="Arial" w:hAnsi="Arial"/>
          <w:b/>
          <w:bCs/>
          <w:color w:val="1B2A4A"/>
          <w:sz w:val="24"/>
          <w:szCs w:val="24"/>
        </w:rPr>
        <w:t xml:space="preserve">4.4 Rollback Sequencing and Snapback</w:t>
      </w:r>
    </w:p>
    <w:p>
      <w:pPr>
        <w:spacing w:before="60" w:after="120"/>
        <w:jc w:val="both"/>
      </w:pPr>
      <w:r>
        <w:rPr>
          <w:rFonts w:ascii="Arial" w:cs="Arial" w:eastAsia="Arial" w:hAnsi="Arial"/>
          <w:sz w:val="22"/>
          <w:szCs w:val="22"/>
        </w:rPr>
        <w:t xml:space="preserve">Graduated relief prevents all-or-nothing dynamics. Last-in, first-out principle governs designation removal sequence.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SNAPBACK PROVISION — OPERATIONAL PARAMETERS AND ALLIED COORDINATION CONSTRAINT</w:t>
            </w:r>
          </w:p>
          <w:p>
            <w:pPr>
              <w:spacing w:before="0" w:after="60"/>
            </w:pPr>
            <w:r>
              <w:rPr>
                <w:rFonts w:ascii="Arial" w:cs="Arial" w:eastAsia="Arial" w:hAnsi="Arial"/>
                <w:sz w:val="20"/>
                <w:szCs w:val="20"/>
              </w:rPr>
              <w:t xml:space="preserve">If the target reverts to prohibited activity (more than 25% of benchmarks no longer met [ANALYTIC-DEFAULT: 25% reversal trigger]), U.S. Phase 2 or Phase 3 measures can be re-imposed administratively within 15 days. [ANALYTIC-DEFAULT: 15-day U.S. snapback timeline.]</w:t>
            </w:r>
          </w:p>
          <w:p>
            <w:pPr>
              <w:spacing w:before="0" w:after="60"/>
            </w:pPr>
            <w:r>
              <w:rPr>
                <w:rFonts w:ascii="Arial" w:cs="Arial" w:eastAsia="Arial" w:hAnsi="Arial"/>
                <w:sz w:val="20"/>
                <w:szCs w:val="20"/>
              </w:rPr>
              <w:t xml:space="preserve">Jurisdictional constraint: EU, UK, and allied parallel measures operate on their own procedural timelines (EU Council decision typically 30–60 days minimum). A U.S.-only snapback without simultaneous allied re-imposition creates an arbitrage window. Mitigation: (a) pre-agree with Tier 1 allies on expedited snapback procedures as part of Phase 1 coordination; (b) Treasury maintains secondary sanctions bridge authority over prior secondary-sanctioned entities during the allied procedural gap; (c) treat the allied procedural timeline as the operative snapback timeline for target-state behavioral calculations.</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 SUBSTITUTION VULNERABILITY AND CHOKEPOINT SEQUENCING</w:t>
      </w:r>
    </w:p>
    <w:p>
      <w:pPr>
        <w:pStyle w:val="Heading2"/>
        <w:spacing w:before="240" w:after="120"/>
      </w:pPr>
      <w:r>
        <w:rPr>
          <w:rFonts w:ascii="Arial" w:cs="Arial" w:eastAsia="Arial" w:hAnsi="Arial"/>
          <w:b/>
          <w:bCs/>
          <w:color w:val="1B2A4A"/>
          <w:sz w:val="24"/>
          <w:szCs w:val="24"/>
        </w:rPr>
        <w:t xml:space="preserve">5.1 The Substitution Intelligence Problem</w:t>
      </w:r>
    </w:p>
    <w:p>
      <w:pPr>
        <w:spacing w:before="60" w:after="120"/>
        <w:jc w:val="both"/>
      </w:pPr>
      <w:r>
        <w:rPr>
          <w:rFonts w:ascii="Arial" w:cs="Arial" w:eastAsia="Arial" w:hAnsi="Arial"/>
          <w:sz w:val="22"/>
          <w:szCs w:val="22"/>
        </w:rPr>
        <w:t xml:space="preserve">Substitution risk assessment addresses two distinct problems: operational effectiveness (whether adversary-state service providers can replace Western equivalents) and observability (whether substitution removes target-state activity from Western financial messaging, insurance, and commodity trading systems where intelligence collection operates). A campaign that achieves substitution rather than denial degrades the observability infrastructure the 90-day operational cycle depends on. Observed financial and logistical pathways represent only the visible subset of the enforcement surface and may not capture decisive flows operating through pre-positioned concealed infrastructure outside monitored Western channels; the substitution matrix below reflects the public record’s observability ceiling, not a validated hierarchy of system-wide strategic effect.</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5.2 Substitution Vulnerability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Service / System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Substitution Risk</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Intelligence Degradation</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Marine insurance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HIGH — Ingosstrakh, PICC, China Pacific Insurance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HIGH — exit from Lloyd’s and P&amp;I removes coverage data from Western visibility</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Cost increase ~15–25%; port access reduced but not eliminated</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Payment rails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HIGH — CIPS (China), SPFS (Russia) for bilateral trade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HIGH — exit from SWIFT removes transaction data from FinCEN and allied FIUs</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Dollar re-entry points remain mappable per Master Index v4 Section XVII</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Commodity trading</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HIGH — Shanghai exchange alternatives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MODERATE — AIS data and satellite imagery partially compensate</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Price discovery opacity increases; physical flow tracking remains feasible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Energy infrastructure equipment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MODERATE — Chinese and Russian alternatives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Quality differential creates operational constraints; not full denial</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Sub-10nm semiconductor fabrication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 — SMIC limited to 14nm with yield deficiencies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Very high denial effectiveness in advanced-node contexts [TIER 2 — SIA 2024]</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Aviation maintenance (Boeing/Airbus fleets)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 — Russian/Chinese substitutes uncertified by ICAO</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Fleet attrition accelerates; not substitutable in certificated operations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Lloyd’s-tier specialized reinsurance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 — requires decades of institutional development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No adequate near-term alternative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Precision manufacturing equipment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 — no adequate Chinese or Russian alternatives for high-precision applications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LOW</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 major mechanism of chokepoint enforcement; maximum pressure warranted</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5.3 Campaign Design Implications</w:t>
      </w:r>
    </w:p>
    <w:p>
      <w:pPr>
        <w:spacing w:before="60" w:after="120"/>
        <w:jc w:val="both"/>
      </w:pPr>
      <w:r>
        <w:rPr>
          <w:rFonts w:ascii="Arial" w:cs="Arial" w:eastAsia="Arial" w:hAnsi="Arial"/>
          <w:sz w:val="22"/>
          <w:szCs w:val="22"/>
        </w:rPr>
        <w:t xml:space="preserve">For high-substitution-risk categories, campaign design must assess whether pushing the target toward Chinese or Russian alternatives reduces U.S. intelligence collection capability at a cost that exceeds the enforcement benefit. Iran’s shift to Chinese insurance and yuan settlement is assessed as increasing operational costs by approximately 15 percent and reducing buyer access without achieving full denial. [TIER 2 — Vortexa, March 2026 — contextual] This represents a secondary enforcement benefit; the primary access-denial objective is not achieved, and substitution reduces Western monitoring capability over Iranian oil flows.</w:t>
      </w:r>
    </w:p>
    <w:p>
      <w:pPr>
        <w:spacing w:before="60" w:after="120"/>
        <w:jc w:val="both"/>
      </w:pPr>
      <w:r>
        <w:rPr>
          <w:rFonts w:ascii="Arial" w:cs="Arial" w:eastAsia="Arial" w:hAnsi="Arial"/>
          <w:sz w:val="22"/>
          <w:szCs w:val="22"/>
        </w:rPr>
        <w:t xml:space="preserve">For low-substitution-risk categories, campaign design should layer multiple restriction types simultaneously (export controls, financial sanctions, services denial) to prevent workarounds. The public record does not establish the degree to which concealed pre-positioned Chinese and Russian alternative infrastructure has already been operationalized for each high-substitution-risk category, nor the timeline at which substitution to those alternatives would become fully operational following enforcement escalation.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PRC SECONDARY SANCTIONS CALIBRATION</w:t>
            </w:r>
          </w:p>
          <w:p>
            <w:pPr>
              <w:spacing w:before="0" w:after="60"/>
            </w:pPr>
            <w:r>
              <w:rPr>
                <w:rFonts w:ascii="Arial" w:cs="Arial" w:eastAsia="Arial" w:hAnsi="Arial"/>
                <w:sz w:val="20"/>
                <w:szCs w:val="20"/>
              </w:rPr>
              <w:t xml:space="preserve">PRC state banks can provide sanctions-resistant financial services for Iran and Russia but face reputational costs and secondary sanctions risk. DNI assessment of PRC willingness to absorb secondary sanctions risk is assessed with moderate confidence as higher for Russia and Iran than for DPRK and Venezuela. [TIER 1 — ODNI ATA 2025] Principals Committee approval is required before any secondary sanctions action targeting entities with more than 25% PRC government ownership. The public record does not establish whether PRC state bank willingness to absorb secondary sanctions risk would remain stable under sustained Phase 3 secondary designation pressure at scale.</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 INSTITUTIONAL THROUGHPUT CONSTRAINTS</w:t>
      </w:r>
    </w:p>
    <w:p>
      <w:pPr>
        <w:spacing w:before="60" w:after="120"/>
        <w:jc w:val="both"/>
      </w:pPr>
      <w:r>
        <w:rPr>
          <w:rFonts w:ascii="Arial" w:cs="Arial" w:eastAsia="Arial" w:hAnsi="Arial"/>
          <w:sz w:val="22"/>
          <w:szCs w:val="22"/>
        </w:rPr>
        <w:t xml:space="preserve">ESCALATE-01’s graduated escalation model is a bounded execution system, not an unlimited enforcement instrument. OFAC, DOJ, and BIS each operate within finite processing capacity that constrains designation tempo, forfeiture throughput, and export control enforcement independent of policy authorization. Available evidence supports a moderate-confidence judgment that institutional throughput constraints are a primary mechanism through which enforcement campaigns lose operational momentum — not through policy failure but through bureaucratic saturation. The public record does not establish precise OFAC designation processing capacity; the estimates below are analytically inferred from observed designation volumes in prior campaigns.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6.1 OFAC Designation Processing Capacity</w:t>
      </w:r>
    </w:p>
    <w:p>
      <w:pPr>
        <w:spacing w:before="60" w:after="120"/>
        <w:jc w:val="both"/>
      </w:pPr>
      <w:r>
        <w:rPr>
          <w:rFonts w:ascii="Arial" w:cs="Arial" w:eastAsia="Arial" w:hAnsi="Arial"/>
          <w:sz w:val="22"/>
          <w:szCs w:val="22"/>
        </w:rPr>
        <w:t xml:space="preserve">OFAC’s SDGT and country-specific designation operations have historically sustained approximately 200–400 individual entity or vessel designations per calendar year across all active programs during sustained campaign periods. [ANALYTIC-DEFAULT: 200–400/year band; analytically inferred from OFAC SDN list publication frequency in Iran, Russia, and DPRK programs 2018–2025. The public record does not establish OFAC’s internal processing capacity or backlog status.] This band implies a constraint of approximately 50–100 designation actions per quarter across all active programs before processing saturation risk increases. During peak enforcement periods — Iran 2018–2020, Russia 2022–2023 — designation velocity approached or exceeded the upper bound of this band, producing: elongated evidentiary review cycles; reduced designation package quality on secondary targets; allied pre-notification compression; and post-hoc legal review backlogs that increased judicial challenge vulnerability.</w:t>
      </w:r>
    </w:p>
    <w:p>
      <w:pPr>
        <w:spacing w:before="60" w:after="120"/>
        <w:jc w:val="both"/>
      </w:pPr>
      <w:r>
        <w:rPr>
          <w:rFonts w:ascii="Arial" w:cs="Arial" w:eastAsia="Arial" w:hAnsi="Arial"/>
          <w:sz w:val="22"/>
          <w:szCs w:val="22"/>
        </w:rPr>
        <w:t xml:space="preserve">Implication for campaign sequencing: the 5-secondary-designations-per-quarter cap in Part II is not only an allied tolerance management parameter — it is also a throughput management discipline. Campaign architects should treat OFAC designation capacity as a shared resource across all active programs and sequence Tier 1 enforcement targets to avoid competing with other active campaign pipelines for processing bandwidth.</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6.2 DOJ Forfeiture Throughput Constraints</w:t>
      </w:r>
    </w:p>
    <w:p>
      <w:pPr>
        <w:spacing w:before="60" w:after="120"/>
        <w:jc w:val="both"/>
      </w:pPr>
      <w:r>
        <w:rPr>
          <w:rFonts w:ascii="Arial" w:cs="Arial" w:eastAsia="Arial" w:hAnsi="Arial"/>
          <w:sz w:val="22"/>
          <w:szCs w:val="22"/>
        </w:rPr>
        <w:t xml:space="preserve">Civil and criminal forfeiture proceedings (18 U.S.C. § 981 et seq.) operate on judicial timelines that are structurally mismatched with sanctions campaign operational tempo. Civil forfeiture from initial filing to judicial resolution requires approximately 18–36 months in complex international cases; criminal forfeiture tied to indictment requires successful prosecution. [ANALYTIC-DEFAULT: 18–36 month civil forfeiture timeline; analytically inferred from documented KleptoCapture and REPO Task Force case timelines 2022–2025. The public record does not establish DOJ’s current forfeiture pipeline backlog.] The gap between administrative designation (Treasury, days to weeks) and judicial forfeiture (DOJ, 18–36 months) creates an execution asymmetry: target entities can be designated and administratively blocked rapidly, but asset transfer to U.S. control requires judicial proceedings that the target can contest across the full forfeiture timeline.</w:t>
      </w:r>
    </w:p>
    <w:p>
      <w:pPr>
        <w:spacing w:before="60" w:after="120"/>
        <w:jc w:val="both"/>
      </w:pPr>
      <w:r>
        <w:rPr>
          <w:rFonts w:ascii="Arial" w:cs="Arial" w:eastAsia="Arial" w:hAnsi="Arial"/>
          <w:sz w:val="22"/>
          <w:szCs w:val="22"/>
        </w:rPr>
        <w:t xml:space="preserve">Implication for campaign design: Phase 3 forfeiture objectives should be sequenced with realistic judicial timelines incorporated into the 90-day observability cycle. Behavioral change incentives tied to asset recovery must account for the 18–36 month gap between designation and forfeiture completion. DOJ prosecutorial bandwidth should be assessed as a planning constraint before Phase 3 designation targets are prioritized.</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6.3 BIS Export Control Enforcement Backlog Risk</w:t>
      </w:r>
    </w:p>
    <w:p>
      <w:pPr>
        <w:spacing w:before="60" w:after="120"/>
        <w:jc w:val="both"/>
      </w:pPr>
      <w:r>
        <w:rPr>
          <w:rFonts w:ascii="Arial" w:cs="Arial" w:eastAsia="Arial" w:hAnsi="Arial"/>
          <w:sz w:val="22"/>
          <w:szCs w:val="22"/>
        </w:rPr>
        <w:t xml:space="preserve">BIS’s Office of Export Enforcement investigates violations of the Export Administration Regulations. Available reporting indicates BIS enforcement operations face structural staffing and caseload constraints that create enforcement lag between violation identification and enforcement action. [TIER 2 — GAO export control enforcement staffing assessments, 2022–2024; ANALYTIC-DEFAULT: BIS enforcement lag analytically inferred from documented case resolution timelines.] The FDPR’s expansion of U.S. jurisdiction to third-country production incorporating U.S.-origin technology has materially increased BIS’s theoretical enforcement scope faster than enforcement capacity has grown, creating a gap between legal authority and enforcement execution that sophisticated target states and their intermediaries exploit.</w:t>
      </w:r>
    </w:p>
    <w:p>
      <w:pPr>
        <w:spacing w:before="60" w:after="120"/>
        <w:jc w:val="both"/>
      </w:pPr>
      <w:r>
        <w:rPr>
          <w:rFonts w:ascii="Arial" w:cs="Arial" w:eastAsia="Arial" w:hAnsi="Arial"/>
          <w:sz w:val="22"/>
          <w:szCs w:val="22"/>
        </w:rPr>
        <w:t xml:space="preserve">The public record does not establish the current BIS enforcement backlog or case resolution timelines with precision. Available evidence is consistent with a moderate-confidence judgment that BIS enforcement throughput is a binding constraint on advanced semiconductor FDPR enforcement for third-country targets, and that enforcement lag of 12–24 months between violation identification and enforcement action is plausible under current capacity. Campaign architects should treat BIS enforcement bandwidth as a finite resource and prioritize third-country FDPR enforcement targets to avoid simultaneous saturation across multiple high-complexity jurisdictions.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 MARKET FEEDBACK LOOP MODEL</w:t>
      </w:r>
    </w:p>
    <w:p>
      <w:pPr>
        <w:spacing w:before="60" w:after="120"/>
        <w:jc w:val="both"/>
      </w:pPr>
      <w:r>
        <w:rPr>
          <w:rFonts w:ascii="Arial" w:cs="Arial" w:eastAsia="Arial" w:hAnsi="Arial"/>
          <w:sz w:val="22"/>
          <w:szCs w:val="22"/>
        </w:rPr>
        <w:t xml:space="preserve">The graduated escalation model’s market stability gates (Part II Phase 2) address first-order market impacts: energy price spikes, financial contagion, and commodity supply disruptions directly attributable to enforcement actions. A more structurally complex risk is the second-order market feedback loop through which market disruptions generate political consequences that degrade the enforcement coalition before first-order disruptions are resolved. Available evidence from prior enforcement campaigns supports a moderate-confidence judgment that second-order feedback loops have been the primary mechanism of coalition fracture in sustained non-kinetic campaigns. The public record does not establish quantitative thresholds at which second-order effects reliably produce coalition fracture; the model below is analytically inferred.</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7.1 The Primary Feedback Mechanism</w:t>
      </w:r>
    </w:p>
    <w:p>
      <w:pPr>
        <w:spacing w:before="60" w:after="120"/>
        <w:jc w:val="both"/>
      </w:pPr>
      <w:r>
        <w:rPr>
          <w:rFonts w:ascii="Arial" w:cs="Arial" w:eastAsia="Arial" w:hAnsi="Arial"/>
          <w:sz w:val="22"/>
          <w:szCs w:val="22"/>
        </w:rPr>
        <w:t xml:space="preserve">Enforcement action by Treasury (OFAC designation or IEEPA blocking) — produces first-order market disruption (commodity price spike, financial market volatility, or supply chain disruption in targeted sector) — produces domestic political pressure in allied capitals whose consumers, firms, or financial institutions bear adjustment costs — produces allied government signals of participation reduction or public criticism — produces target-state perception that coalition is fracturing — reduces target-state compliance incentive by lowering the credibility of sustained enforcement — produces further enforcement pressure by U.S. advocates of maximum pressure who interpret reduced compliance incentive as requiring escalation — produces further first-order market disruption at elevated intensity. The loop is reinforcing, not self-correcting, absent a deliberate circuit-breaker mechanism.</w:t>
      </w:r>
    </w:p>
    <w:p>
      <w:pPr>
        <w:spacing w:before="60" w:after="120"/>
        <w:jc w:val="both"/>
      </w:pPr>
      <w:r>
        <w:rPr>
          <w:rFonts w:ascii="Arial" w:cs="Arial" w:eastAsia="Arial" w:hAnsi="Arial"/>
          <w:sz w:val="22"/>
          <w:szCs w:val="22"/>
        </w:rPr>
        <w:t xml:space="preserve">Nonlinear escalation risk: the feedback loop does not scale linearly. At low enforcement intensity, allied absorption capacity and market adjustment mechanisms contain the loop. At threshold enforcement intensity — assessed with low-moderate confidence as occurring when sanctions-related price changes exceed approximately 15–20 percent in globally traded commodities over a 60-day period [ANALYTIC-DEFAULT: 15–20% price change threshold; analytically inferred from observed allied political pressure dynamics in Iran 2018–2020 and Russia 2022–2023 periods] — the feedback loop shifts from contained to self-amplifying. At this intensity, allied political pressure and target-state adaptation can accelerate simultaneously, producing coalition fracture and enforcement degradation faster than normal-tempo interagency review processes can respond.</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7.2 Circuit-Breaker Architecture</w:t>
      </w:r>
    </w:p>
    <w:p>
      <w:pPr>
        <w:spacing w:before="60" w:after="120"/>
        <w:jc w:val="both"/>
      </w:pPr>
      <w:r>
        <w:rPr>
          <w:rFonts w:ascii="Arial" w:cs="Arial" w:eastAsia="Arial" w:hAnsi="Arial"/>
          <w:sz w:val="22"/>
          <w:szCs w:val="22"/>
        </w:rPr>
        <w:t xml:space="preserve">The framework’s existing market stability gates (NEC review trigger at 5% global trade impact; automatic waiver at Brent $120) are circuit-breaker mechanisms designed to interrupt the feedback loop before nonlinear escalation occurs. Their effectiveness depends on two conditions that the framework must explicitly maintain: (a) the NEC review trigger must produce a decision within the timeline available for market stabilization — a 10-day market impact assessment followed by additional deliberation may not provide timely intervention if market conditions are deteriorating within a 48–72 hour window; and (b) the waiver mechanism must be pre-authorized for automatic release rather than requiring a new decision process at the moment of market stress, because the political conditions that produce market stress are the same conditions that impair deliberate decision-making.</w:t>
      </w:r>
    </w:p>
    <w:p>
      <w:pPr>
        <w:spacing w:before="60" w:after="120"/>
        <w:jc w:val="both"/>
      </w:pPr>
      <w:r>
        <w:rPr>
          <w:rFonts w:ascii="Arial" w:cs="Arial" w:eastAsia="Arial" w:hAnsi="Arial"/>
          <w:sz w:val="22"/>
          <w:szCs w:val="22"/>
        </w:rPr>
        <w:t xml:space="preserve">Campaign architects should assess, before Phase 2 initiation, the market feedback loop vulnerability profile for the specific enforcement action: which commodity or financial market is most directly exposed; what the expected price sensitivity is; what the political pressure transmission mechanism is in each Tier 1 allied capital; and what circuit-breaker mechanism has pre-authorization. The public record does not establish that the existing NEC and Brent trigger mechanisms have been operationally tested under simultaneous multi-campaign stress conditions.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7.3 Coalition Fracture Timing Model</w:t>
      </w:r>
    </w:p>
    <w:p>
      <w:pPr>
        <w:spacing w:before="60" w:after="120"/>
        <w:jc w:val="both"/>
      </w:pPr>
      <w:r>
        <w:rPr>
          <w:rFonts w:ascii="Arial" w:cs="Arial" w:eastAsia="Arial" w:hAnsi="Arial"/>
          <w:sz w:val="22"/>
          <w:szCs w:val="22"/>
        </w:rPr>
        <w:t xml:space="preserve">Second-order market feedback loop dynamics produce a characteristic coalition fracture timing pattern that campaign architects should treat as a planning baseline: allied political pressure typically emerges 3–6 months after enforcement action produces visible consumer or industrial price effects; allied public criticism typically follows 1–3 months after internal political pressure escalates; formal allied participation reduction typically follows 3–6 months after public criticism begins. This implies a 7–15 month window between enforcement action and observable coalition fracture, consistent with the 12–18 month ANALYTIC-DEFAULT coalition fracture timeline in KJ2. [ANALYTIC-DEFAULT: these timing bands are analytically inferred from Iran 2018–2020 and Russia 2022–2024 documented coalition dynamics; the public record does not establish that this timing pattern would apply uniformly across different campaign types, commodity markets, or allied coalitions.]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VIII: INTELLIGENCE-POLICY SEPARATION</w:t>
      </w:r>
    </w:p>
    <w:p>
      <w:pPr>
        <w:pStyle w:val="Heading2"/>
        <w:spacing w:before="240" w:after="120"/>
      </w:pPr>
      <w:r>
        <w:rPr>
          <w:rFonts w:ascii="Arial" w:cs="Arial" w:eastAsia="Arial" w:hAnsi="Arial"/>
          <w:b/>
          <w:bCs/>
          <w:color w:val="1B2A4A"/>
          <w:sz w:val="24"/>
          <w:szCs w:val="24"/>
        </w:rPr>
        <w:t xml:space="preserve">6.1 Enhanced Separation Protocol</w:t>
      </w:r>
    </w:p>
    <w:p>
      <w:pPr>
        <w:spacing w:before="60" w:after="120"/>
        <w:jc w:val="both"/>
      </w:pPr>
      <w:r>
        <w:rPr>
          <w:rFonts w:ascii="Arial" w:cs="Arial" w:eastAsia="Arial" w:hAnsi="Arial"/>
          <w:sz w:val="22"/>
          <w:szCs w:val="22"/>
        </w:rPr>
        <w:t xml:space="preserve">Intelligence community role is limited to: network identification and mapping; attribution support for designations; monitoring and effectiveness assessment; and risk assessment for market impacts. Intelligence assessments alone cannot trigger designations; legal review is required. “Inability to rule out” is not sufficient basis for designation. Sources and methods protection cannot override the public defensibility requirement indefinitely. The public record does not establish that prior designation campaigns have consistently maintained this separation between intelligence-provided attribution and legally reviewable evidentiary sufficiency.</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6.2 Designation Package Requirements and State Department Veto</w:t>
      </w:r>
    </w:p>
    <w:p>
      <w:pPr>
        <w:spacing w:before="60" w:after="120"/>
        <w:jc w:val="both"/>
      </w:pPr>
      <w:r>
        <w:rPr>
          <w:rFonts w:ascii="Arial" w:cs="Arial" w:eastAsia="Arial" w:hAnsi="Arial"/>
          <w:sz w:val="22"/>
          <w:szCs w:val="22"/>
        </w:rPr>
        <w:t xml:space="preserve">Every designation package must include four components: (1) Legal Basis; (2) Public Evidence Sufficiency; (3) Intelligence Support (classified annex); (4) Allied Coordination Record. Governance note: State Department’s public evidence sufficiency veto is a recommended governance control within this framework. It reflects the judgment that designations indefensible to allies on unclassified grounds generate diplomatic costs that compound over time. It is not a description of the current legal authority structure or established interagency operating procedure; it is a design recommendation for disciplined campaign execution.</w:t>
      </w:r>
    </w:p>
    <w:p>
      <w:pPr>
        <w:spacing w:before="60" w:after="120"/>
        <w:jc w:val="both"/>
      </w:pPr>
      <w:r>
        <w:rPr>
          <w:rFonts w:ascii="Arial" w:cs="Arial" w:eastAsia="Arial" w:hAnsi="Arial"/>
          <w:sz w:val="22"/>
          <w:szCs w:val="22"/>
        </w:rPr>
        <w:t xml:space="preserve">If the public evidence sufficiency determination is negative, the case escalates to Deputies Committee: accept diplomatic cost with documented rationale or delay until evidence improves. For secondary sanctions, this determination includes the $50M threshold verification pathway analysis (Section 2.3). The veto does not apply to material-support designations tied to active criminal cases. The available evidence does not resolve whether the public evidence sufficiency requirement, as specified here, has been operationalized in any prior U.S. non-kinetic enforcement campaign, or whether its introduction would require statutory, regulatory, or executive order authority beyond existing interagency coordination mechanisms.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IX: MEASURES OF EFFECTIVENESS</w:t>
      </w:r>
    </w:p>
    <w:p>
      <w:pPr>
        <w:pStyle w:val="Heading2"/>
        <w:spacing w:before="240" w:after="120"/>
      </w:pPr>
      <w:r>
        <w:rPr>
          <w:rFonts w:ascii="Arial" w:cs="Arial" w:eastAsia="Arial" w:hAnsi="Arial"/>
          <w:b/>
          <w:bCs/>
          <w:color w:val="1B2A4A"/>
          <w:sz w:val="24"/>
          <w:szCs w:val="24"/>
        </w:rPr>
        <w:t xml:space="preserve">7.1 Primary Indicators</w:t>
      </w:r>
    </w:p>
    <w:p>
      <w:pPr>
        <w:spacing w:before="60" w:after="120"/>
        <w:jc w:val="both"/>
      </w:pPr>
      <w:r>
        <w:rPr>
          <w:rFonts w:ascii="Arial" w:cs="Arial" w:eastAsia="Arial" w:hAnsi="Arial"/>
          <w:sz w:val="22"/>
          <w:szCs w:val="22"/>
        </w:rPr>
        <w:t xml:space="preserve">Primary indicators require demonstrated improvement for the campaign to remain in current phase. Absence of improvement across primary indicators for two consecutive 90-day cycles triggers automatic Deputies Committee strategy reassessment. The assessment must produce a written decision: continue current phase; adjust approach; pause escalation; or acknowledge non-kinetic tool insufficiency. A meeting without a written decision does not satisfy the review requirement.</w:t>
      </w:r>
    </w:p>
    <w:p>
      <w:pPr>
        <w:spacing w:before="0" w:after="60"/>
      </w:pPr>
      <w:r>
        <w:t xml:space="preserve"/>
      </w:r>
    </w:p>
    <w:p>
      <w:pPr>
        <w:pStyle w:val="Heading3"/>
        <w:spacing w:before="180" w:after="80"/>
      </w:pPr>
      <w:r>
        <w:rPr>
          <w:rFonts w:ascii="Arial" w:cs="Arial" w:eastAsia="Arial" w:hAnsi="Arial"/>
          <w:b/>
          <w:bCs/>
          <w:color w:val="4A5568"/>
          <w:sz w:val="22"/>
          <w:szCs w:val="22"/>
        </w:rPr>
        <w:t xml:space="preserve">Behavioral Change Indicators</w:t>
      </w:r>
    </w:p>
    <w:p>
      <w:pPr>
        <w:pStyle w:val="ListParagraph"/>
        <w:numPr>
          <w:ilvl w:val="0"/>
          <w:numId w:val="2"/>
        </w:numPr>
        <w:spacing w:before="40" w:after="40"/>
      </w:pPr>
      <w:r>
        <w:rPr>
          <w:rFonts w:ascii="Arial" w:cs="Arial" w:eastAsia="Arial" w:hAnsi="Arial"/>
          <w:sz w:val="22"/>
          <w:szCs w:val="22"/>
        </w:rPr>
        <w:t xml:space="preserve">Reduction in prohibited transactions verified through customs data, shipping manifests, and satellite imagery</w:t>
      </w:r>
    </w:p>
    <w:p>
      <w:pPr>
        <w:pStyle w:val="ListParagraph"/>
        <w:numPr>
          <w:ilvl w:val="0"/>
          <w:numId w:val="2"/>
        </w:numPr>
        <w:spacing w:before="40" w:after="40"/>
      </w:pPr>
      <w:r>
        <w:rPr>
          <w:rFonts w:ascii="Arial" w:cs="Arial" w:eastAsia="Arial" w:hAnsi="Arial"/>
          <w:sz w:val="22"/>
          <w:szCs w:val="22"/>
        </w:rPr>
        <w:t xml:space="preserve">Target-state policy adjustments or public statements indicating compliance consideration</w:t>
      </w:r>
    </w:p>
    <w:p>
      <w:pPr>
        <w:pStyle w:val="ListParagraph"/>
        <w:numPr>
          <w:ilvl w:val="0"/>
          <w:numId w:val="2"/>
        </w:numPr>
        <w:spacing w:before="40" w:after="40"/>
      </w:pPr>
      <w:r>
        <w:rPr>
          <w:rFonts w:ascii="Arial" w:cs="Arial" w:eastAsia="Arial" w:hAnsi="Arial"/>
          <w:sz w:val="22"/>
          <w:szCs w:val="22"/>
        </w:rPr>
        <w:t xml:space="preserve">Verified compliance with specific benchmarks per the verification framework</w:t>
      </w:r>
    </w:p>
    <w:p>
      <w:pPr>
        <w:spacing w:before="0" w:after="60"/>
      </w:pPr>
      <w:r>
        <w:t xml:space="preserve"/>
      </w:r>
    </w:p>
    <w:p>
      <w:pPr>
        <w:pStyle w:val="Heading3"/>
        <w:spacing w:before="180" w:after="80"/>
      </w:pPr>
      <w:r>
        <w:rPr>
          <w:rFonts w:ascii="Arial" w:cs="Arial" w:eastAsia="Arial" w:hAnsi="Arial"/>
          <w:b/>
          <w:bCs/>
          <w:color w:val="4A5568"/>
          <w:sz w:val="22"/>
          <w:szCs w:val="22"/>
        </w:rPr>
        <w:t xml:space="preserve">Third-Party Compliance Indicators</w:t>
      </w:r>
    </w:p>
    <w:p>
      <w:pPr>
        <w:pStyle w:val="ListParagraph"/>
        <w:numPr>
          <w:ilvl w:val="0"/>
          <w:numId w:val="2"/>
        </w:numPr>
        <w:spacing w:before="40" w:after="40"/>
      </w:pPr>
      <w:r>
        <w:rPr>
          <w:rFonts w:ascii="Arial" w:cs="Arial" w:eastAsia="Arial" w:hAnsi="Arial"/>
          <w:sz w:val="22"/>
          <w:szCs w:val="22"/>
        </w:rPr>
        <w:t xml:space="preserve">Bank de-risking of target-state entities: account closures and enhanced due diligence requirements</w:t>
      </w:r>
    </w:p>
    <w:p>
      <w:pPr>
        <w:pStyle w:val="ListParagraph"/>
        <w:numPr>
          <w:ilvl w:val="0"/>
          <w:numId w:val="2"/>
        </w:numPr>
        <w:spacing w:before="40" w:after="40"/>
      </w:pPr>
      <w:r>
        <w:rPr>
          <w:rFonts w:ascii="Arial" w:cs="Arial" w:eastAsia="Arial" w:hAnsi="Arial"/>
          <w:sz w:val="22"/>
          <w:szCs w:val="22"/>
        </w:rPr>
        <w:t xml:space="preserve">Insurance and shipping withdrawal from sanctioned activities</w:t>
      </w:r>
    </w:p>
    <w:p>
      <w:pPr>
        <w:pStyle w:val="ListParagraph"/>
        <w:numPr>
          <w:ilvl w:val="0"/>
          <w:numId w:val="2"/>
        </w:numPr>
        <w:spacing w:before="40" w:after="40"/>
      </w:pPr>
      <w:r>
        <w:rPr>
          <w:rFonts w:ascii="Arial" w:cs="Arial" w:eastAsia="Arial" w:hAnsi="Arial"/>
          <w:sz w:val="22"/>
          <w:szCs w:val="22"/>
        </w:rPr>
        <w:t xml:space="preserve">Technology supplier compliance with export restrictions and entity list obligations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Allied Participation Indicators</w:t>
      </w:r>
    </w:p>
    <w:p>
      <w:pPr>
        <w:pStyle w:val="ListParagraph"/>
        <w:numPr>
          <w:ilvl w:val="0"/>
          <w:numId w:val="2"/>
        </w:numPr>
        <w:spacing w:before="40" w:after="40"/>
      </w:pPr>
      <w:r>
        <w:rPr>
          <w:rFonts w:ascii="Arial" w:cs="Arial" w:eastAsia="Arial" w:hAnsi="Arial"/>
          <w:sz w:val="22"/>
          <w:szCs w:val="22"/>
        </w:rPr>
        <w:t xml:space="preserve">Number of Tier 1 allies implementing parallel autonomous measures within 30 days of U.S. designation</w:t>
      </w:r>
    </w:p>
    <w:p>
      <w:pPr>
        <w:pStyle w:val="ListParagraph"/>
        <w:numPr>
          <w:ilvl w:val="0"/>
          <w:numId w:val="2"/>
        </w:numPr>
        <w:spacing w:before="40" w:after="40"/>
      </w:pPr>
      <w:r>
        <w:rPr>
          <w:rFonts w:ascii="Arial" w:cs="Arial" w:eastAsia="Arial" w:hAnsi="Arial"/>
          <w:sz w:val="22"/>
          <w:szCs w:val="22"/>
        </w:rPr>
        <w:t xml:space="preserve">Allied enforcement actions taken and timing relative to U.S. actions</w:t>
      </w:r>
    </w:p>
    <w:p>
      <w:pPr>
        <w:pStyle w:val="ListParagraph"/>
        <w:numPr>
          <w:ilvl w:val="0"/>
          <w:numId w:val="2"/>
        </w:numPr>
        <w:spacing w:before="40" w:after="40"/>
      </w:pPr>
      <w:r>
        <w:rPr>
          <w:rFonts w:ascii="Arial" w:cs="Arial" w:eastAsia="Arial" w:hAnsi="Arial"/>
          <w:sz w:val="22"/>
          <w:szCs w:val="22"/>
        </w:rPr>
        <w:t xml:space="preserve">Public allied statements; absence of public criticism</w:t>
      </w:r>
    </w:p>
    <w:p>
      <w:pPr>
        <w:spacing w:before="60" w:after="120"/>
        <w:jc w:val="both"/>
      </w:pPr>
      <w:r>
        <w:rPr>
          <w:rFonts w:ascii="Arial" w:cs="Arial" w:eastAsia="Arial" w:hAnsi="Arial"/>
          <w:sz w:val="22"/>
          <w:szCs w:val="22"/>
        </w:rPr>
        <w:t xml:space="preserve">Coalition participation metrics prioritize observable enforcement parity over formal alignment statements. Verbal commitment to coalition membership without commensurate enforcement action is treated as a degraded participation signal, not a positive indicator. Silent divergence — where an ally reduces enforcement without publicly defecting — is identified through designation timing gaps and third-party compliance data, not through diplomatic channel reporting alone.</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7.2 Anti-Indicators and Trigger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rPr>
          <w:tblHeader/>
        </w:trPr>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Anti-Indicator</w:t>
            </w:r>
          </w:p>
        </w:tc>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Trigger Response</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Allied public criticism or coalition defection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Automatic Deputies Committee review within 10 business days; written decision required within 30 days</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Successful target-state circumvention through substitution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Substitution risk reassessment; SPAD component adjustment per CONTAIN-01</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Uncontrolled market disruptions exceeding NEC thresholds</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Temporary waiver issuance; NEC intervention</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Humanitarian crisis attributable to over-compliance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Emergency General License expansion; OFAC compliance advisory revision</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Congressional mandatory sanctions legislation gaining momentum</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Immediate engagement per Part X; treat as framework-existential threat, not monitoring item</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No measurable behavioral change after 12 months</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Strategy reassessment: written decision on continue, adjust, pause, or acknowledge insufficiency</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Emergency exception invoked in two or more consecutive designations</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NSC mandatory framework review; assess whether institutional incentives are systematically bypassing Phase discipline</w:t>
            </w:r>
          </w:p>
        </w:tc>
      </w:tr>
      <w:tr>
        <w:trPr>
          <w:tblHeader w:val="3680"/>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IEEPA judicial challenge filed by high-value target or allied-jurisdiction plaintiff</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3680"/>
                <w:bCs w:val="3680"/>
                <w:color w:val="FFFFFF"/>
                <w:sz w:val="18"/>
                <w:szCs w:val="18"/>
              </w:rPr>
              <w:t xml:space="preserve">Parallel statutory authority review; Deputies Committee legal risk assessment</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 COUNTRY-SPECIFIC APPLICATION PARAMETERS</w:t>
      </w:r>
    </w:p>
    <w:p>
      <w:pPr>
        <w:pStyle w:val="Heading2"/>
        <w:spacing w:before="240" w:after="120"/>
      </w:pPr>
      <w:r>
        <w:rPr>
          <w:rFonts w:ascii="Arial" w:cs="Arial" w:eastAsia="Arial" w:hAnsi="Arial"/>
          <w:b/>
          <w:bCs/>
          <w:color w:val="1B2A4A"/>
          <w:sz w:val="24"/>
          <w:szCs w:val="24"/>
        </w:rPr>
        <w:t xml:space="preserve">8.1 Iran</w:t>
      </w:r>
    </w:p>
    <w:p>
      <w:pPr>
        <w:spacing w:before="60" w:after="120"/>
        <w:jc w:val="both"/>
      </w:pPr>
      <w:r>
        <w:rPr>
          <w:rFonts w:ascii="Arial" w:cs="Arial" w:eastAsia="Arial" w:hAnsi="Arial"/>
          <w:sz w:val="22"/>
          <w:szCs w:val="22"/>
        </w:rPr>
        <w:t xml:space="preserve">Primary authorities: IEEPA, CISADA, Iran Sanctions Act, and multiple statutory programs. Key enforcement chokepoints: oil exports (approximately 1.5–2.5M bpd, heavily discounted to China [TIER 2 — Vortexa, March 2026]); banking access (Bank Mellat, Bank Saderat, Bank Melli designated under EO 13224 and EO 13599); technology imports. Allied coordination: EU (France, Germany primary); Japan and South Korea through energy import patterns. Substitution risk MODERATE. Intelligence degradation risk HIGH from shift to Chinese insurance and yuan settlement. Observability cycle calibration: behavioral change latency 6–18 months based on JCPOA precedent. [PRECEDENT: 6–18 month Iran behavioral change latency.]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00"/>
              <w:left w:type="dxa" w:w="160"/>
              <w:bottom w:type="dxa" w:w="100"/>
              <w:right w:type="dxa" w:w="120"/>
            </w:tcMar>
          </w:tcPr>
          <w:p>
            <w:pPr>
              <w:spacing w:before="0" w:after="60"/>
            </w:pPr>
            <w:r>
              <w:rPr>
                <w:rFonts w:ascii="Arial" w:cs="Arial" w:eastAsia="Arial" w:hAnsi="Arial"/>
                <w:b/>
                <w:bCs/>
                <w:caps/>
                <w:color w:val="1B2A4A"/>
                <w:sz w:val="18"/>
                <w:szCs w:val="18"/>
              </w:rPr>
              <w:t xml:space="preserve">IRAN — CAMPAIGN PARAMETER SUMMARY</w:t>
            </w:r>
          </w:p>
          <w:p>
            <w:pPr>
              <w:spacing w:before="0" w:after="40"/>
            </w:pPr>
            <w:r>
              <w:rPr>
                <w:rFonts w:ascii="Arial" w:cs="Arial" w:eastAsia="Arial" w:hAnsi="Arial"/>
                <w:b/>
                <w:bCs/>
                <w:color w:val="1B2A4A"/>
                <w:sz w:val="18"/>
                <w:szCs w:val="18"/>
              </w:rPr>
              <w:t xml:space="preserve">Best Lever: </w:t>
            </w:r>
            <w:r>
              <w:rPr>
                <w:rFonts w:ascii="Arial" w:cs="Arial" w:eastAsia="Arial" w:hAnsi="Arial"/>
                <w:sz w:val="18"/>
                <w:szCs w:val="18"/>
              </w:rPr>
              <w:t xml:space="preserve">Financial services denial coordinated with maritime insurance pressure; oil export discount increase as cost-escalation lever rather than full denial objective</w:t>
            </w:r>
          </w:p>
          <w:p>
            <w:pPr>
              <w:spacing w:before="0" w:after="40"/>
            </w:pPr>
            <w:r>
              <w:rPr>
                <w:rFonts w:ascii="Arial" w:cs="Arial" w:eastAsia="Arial" w:hAnsi="Arial"/>
                <w:b/>
                <w:bCs/>
                <w:color w:val="7A4000"/>
                <w:sz w:val="18"/>
                <w:szCs w:val="18"/>
              </w:rPr>
              <w:t xml:space="preserve">Primary Risk: </w:t>
            </w:r>
            <w:r>
              <w:rPr>
                <w:rFonts w:ascii="Arial" w:cs="Arial" w:eastAsia="Arial" w:hAnsi="Arial"/>
                <w:sz w:val="18"/>
                <w:szCs w:val="18"/>
              </w:rPr>
              <w:t xml:space="preserve">Verified nuclear benchmarks require a diplomatic framework scaffold that may not exist in a usable form; without an IAEA-backed compliance pathway, verification architecture cannot function</w:t>
            </w:r>
          </w:p>
          <w:p>
            <w:pPr>
              <w:spacing w:before="0" w:after="0"/>
            </w:pPr>
            <w:r>
              <w:rPr>
                <w:rFonts w:ascii="Arial" w:cs="Arial" w:eastAsia="Arial" w:hAnsi="Arial"/>
                <w:b/>
                <w:bCs/>
                <w:color w:val="8B0000"/>
                <w:sz w:val="18"/>
                <w:szCs w:val="18"/>
              </w:rPr>
              <w:t xml:space="preserve">Likely Underperformance Path: </w:t>
            </w:r>
            <w:r>
              <w:rPr>
                <w:rFonts w:ascii="Arial" w:cs="Arial" w:eastAsia="Arial" w:hAnsi="Arial"/>
                <w:sz w:val="18"/>
                <w:szCs w:val="18"/>
              </w:rPr>
              <w:t xml:space="preserve">Maximum pressure without clear off-ramp — repeating the 2018–2020 pattern where allied support erodes and humanitarian crisis undermines legitimacy before behavioral change is achieved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IRAN 2018–2020 LESSONS</w:t>
            </w:r>
          </w:p>
          <w:p>
            <w:pPr>
              <w:spacing w:before="0" w:after="60"/>
            </w:pPr>
            <w:r>
              <w:rPr>
                <w:rFonts w:ascii="Arial" w:cs="Arial" w:eastAsia="Arial" w:hAnsi="Arial"/>
                <w:sz w:val="20"/>
                <w:szCs w:val="20"/>
              </w:rPr>
              <w:t xml:space="preserve">Absence of simultaneous General License issuance materially increases over-compliance risk and helps create conditions for humanitarian crisis, though these outcomes are also mediated by bank risk tolerance, correspondent exposure, and target-state manipulation. Simultaneous licensing materially reduces but does not eliminate these risks. Verified nuclear benchmarks tied to a successor diplomatic framework are assessed as necessary within this framework for compliance incentives to function; the public record does not establish that a successor diplomatic framework tied to verified nuclear benchmarks is achievable under current diplomatic conditions.</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8.2 DPRK</w:t>
      </w:r>
    </w:p>
    <w:p>
      <w:pPr>
        <w:spacing w:before="60" w:after="120"/>
        <w:jc w:val="both"/>
      </w:pPr>
      <w:r>
        <w:rPr>
          <w:rFonts w:ascii="Arial" w:cs="Arial" w:eastAsia="Arial" w:hAnsi="Arial"/>
          <w:sz w:val="22"/>
          <w:szCs w:val="22"/>
        </w:rPr>
        <w:t xml:space="preserve">Primary authorities: UNSCR 1718 (2006), 1874 (2009), 2094 (2013), 2270 (2016), 2321 (2016), 2356/2371/2375/2397 (2017); NKSPEA. Key enforcement chokepoints: refined petroleum imports (UNSCR 500,000 barrel annual cap, circumvented through ship-to-ship transfers); technology; financial access. Substitution risk HIGH: China accounts for approximately 95% of DPRK external trade. [TIER 1 — UN Panel of Experts, 2024] Behavioral change on nuclear benchmarks is structurally constrained regardless of pressure duration.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00"/>
              <w:left w:type="dxa" w:w="160"/>
              <w:bottom w:type="dxa" w:w="100"/>
              <w:right w:type="dxa" w:w="120"/>
            </w:tcMar>
          </w:tcPr>
          <w:p>
            <w:pPr>
              <w:spacing w:before="0" w:after="60"/>
            </w:pPr>
            <w:r>
              <w:rPr>
                <w:rFonts w:ascii="Arial" w:cs="Arial" w:eastAsia="Arial" w:hAnsi="Arial"/>
                <w:b/>
                <w:bCs/>
                <w:caps/>
                <w:color w:val="1B2A4A"/>
                <w:sz w:val="18"/>
                <w:szCs w:val="18"/>
              </w:rPr>
              <w:t xml:space="preserve">DPRK — CAMPAIGN PARAMETER SUMMARY</w:t>
            </w:r>
          </w:p>
          <w:p>
            <w:pPr>
              <w:spacing w:before="0" w:after="40"/>
            </w:pPr>
            <w:r>
              <w:rPr>
                <w:rFonts w:ascii="Arial" w:cs="Arial" w:eastAsia="Arial" w:hAnsi="Arial"/>
                <w:b/>
                <w:bCs/>
                <w:color w:val="1B2A4A"/>
                <w:sz w:val="18"/>
                <w:szCs w:val="18"/>
              </w:rPr>
              <w:t xml:space="preserve">Best Lever: </w:t>
            </w:r>
            <w:r>
              <w:rPr>
                <w:rFonts w:ascii="Arial" w:cs="Arial" w:eastAsia="Arial" w:hAnsi="Arial"/>
                <w:sz w:val="18"/>
                <w:szCs w:val="18"/>
              </w:rPr>
              <w:t xml:space="preserve">Enforcement of existing UNSCR measures against ship-to-ship transfer networks and Chinese facilitators; secondary objectives (proliferation export revenue reduction) rather than primary denuclearization benchmarks given structural constraint</w:t>
            </w:r>
          </w:p>
          <w:p>
            <w:pPr>
              <w:spacing w:before="0" w:after="40"/>
            </w:pPr>
            <w:r>
              <w:rPr>
                <w:rFonts w:ascii="Arial" w:cs="Arial" w:eastAsia="Arial" w:hAnsi="Arial"/>
                <w:b/>
                <w:bCs/>
                <w:color w:val="7A4000"/>
                <w:sz w:val="18"/>
                <w:szCs w:val="18"/>
              </w:rPr>
              <w:t xml:space="preserve">Primary Risk: </w:t>
            </w:r>
            <w:r>
              <w:rPr>
                <w:rFonts w:ascii="Arial" w:cs="Arial" w:eastAsia="Arial" w:hAnsi="Arial"/>
                <w:sz w:val="18"/>
                <w:szCs w:val="18"/>
              </w:rPr>
              <w:t xml:space="preserve">China and Russia enforcement cooperation is the pivotal variable; absent PRC cooperation, additional unilateral designation volume exhibits diminishing marginal returns. [Analytically inferred prioritization judgment, not established doctrine.]</w:t>
            </w:r>
          </w:p>
          <w:p>
            <w:pPr>
              <w:spacing w:before="0" w:after="0"/>
            </w:pPr>
            <w:r>
              <w:rPr>
                <w:rFonts w:ascii="Arial" w:cs="Arial" w:eastAsia="Arial" w:hAnsi="Arial"/>
                <w:b/>
                <w:bCs/>
                <w:color w:val="8B0000"/>
                <w:sz w:val="18"/>
                <w:szCs w:val="18"/>
              </w:rPr>
              <w:t xml:space="preserve">Likely Underperformance Path: </w:t>
            </w:r>
            <w:r>
              <w:rPr>
                <w:rFonts w:ascii="Arial" w:cs="Arial" w:eastAsia="Arial" w:hAnsi="Arial"/>
                <w:sz w:val="18"/>
                <w:szCs w:val="18"/>
              </w:rPr>
              <w:t xml:space="preserve">Continuing maximum designation volume without measurable impact on primary objectives while structural behavioral change constraint goes unaddressed — consuming enforcement credibility without advancing campaign goals</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8.3 Russia</w:t>
      </w:r>
    </w:p>
    <w:p>
      <w:pPr>
        <w:spacing w:before="60" w:after="120"/>
        <w:jc w:val="both"/>
      </w:pPr>
      <w:r>
        <w:rPr>
          <w:rFonts w:ascii="Arial" w:cs="Arial" w:eastAsia="Arial" w:hAnsi="Arial"/>
          <w:sz w:val="22"/>
          <w:szCs w:val="22"/>
        </w:rPr>
        <w:t xml:space="preserve">Primary authorities: CAATSA §§ 231/232; EO 14024 as amended; EU Regulation 833/2014 (19th package, October 23, 2025).</w:t>
      </w:r>
    </w:p>
    <w:p>
      <w:pPr>
        <w:spacing w:before="60" w:after="120"/>
        <w:jc w:val="both"/>
      </w:pPr>
      <w:r>
        <w:rPr>
          <w:rFonts w:ascii="Arial" w:cs="Arial" w:eastAsia="Arial" w:hAnsi="Arial"/>
          <w:sz w:val="22"/>
          <w:szCs w:val="22"/>
        </w:rPr>
        <w:t xml:space="preserve">Key enforcement chokepoints and substitution matrix application:</w:t>
      </w:r>
    </w:p>
    <w:p>
      <w:pPr>
        <w:pStyle w:val="ListParagraph"/>
        <w:numPr>
          <w:ilvl w:val="0"/>
          <w:numId w:val="2"/>
        </w:numPr>
        <w:spacing w:before="40" w:after="40"/>
      </w:pPr>
      <w:r>
        <w:rPr>
          <w:rFonts w:ascii="Arial" w:cs="Arial" w:eastAsia="Arial" w:hAnsi="Arial"/>
          <w:sz w:val="22"/>
          <w:szCs w:val="22"/>
        </w:rPr>
        <w:t xml:space="preserve">Energy exports (approximately 5–6M bpd crude oil equivalent): substitution risk MODERATE. China and India have absorbed significant Russian crude volumes at approximately $15–20 Brent discount. [TIER 2 — Vortexa, March 2026] Intelligence degradation risk MODERATE — AIS dark-vessel tracking and satellite imagery partially compensate. Applying substitution matrix: energy insurance and SWIFT financial messaging pressure should precede full oil-sector enforcement to maximize the Western-system intelligence window before substitution occurs.</w:t>
      </w:r>
    </w:p>
    <w:p>
      <w:pPr>
        <w:pStyle w:val="ListParagraph"/>
        <w:numPr>
          <w:ilvl w:val="0"/>
          <w:numId w:val="2"/>
        </w:numPr>
        <w:spacing w:before="40" w:after="40"/>
      </w:pPr>
      <w:r>
        <w:rPr>
          <w:rFonts w:ascii="Arial" w:cs="Arial" w:eastAsia="Arial" w:hAnsi="Arial"/>
          <w:sz w:val="22"/>
          <w:szCs w:val="22"/>
        </w:rPr>
        <w:t xml:space="preserve">Advanced technology (semiconductors, precision manufacturing under FDPR): substitution risk LOW for sub-10nm advanced nodes; MODERATE for mature-node equivalents where Chinese production is approaching adequacy. Maximum pressure warranted on advanced nodes. [TIER 2 — SIA 2024]</w:t>
      </w:r>
    </w:p>
    <w:p>
      <w:pPr>
        <w:pStyle w:val="ListParagraph"/>
        <w:numPr>
          <w:ilvl w:val="0"/>
          <w:numId w:val="2"/>
        </w:numPr>
        <w:spacing w:before="40" w:after="40"/>
      </w:pPr>
      <w:r>
        <w:rPr>
          <w:rFonts w:ascii="Arial" w:cs="Arial" w:eastAsia="Arial" w:hAnsi="Arial"/>
          <w:sz w:val="22"/>
          <w:szCs w:val="22"/>
        </w:rPr>
        <w:t xml:space="preserve">Financial services (Rosneft and Lukoil received full SDN designation October 22, 2025 [TIER 1 — OFAC SDN List, October 22, 2025]): Russian use of SPFS and CIPS as SWIFT alternatives represents HIGH substitution risk with HIGH intelligence degradation implications. Master Index v4 Section XVII maps CIPS dollar re-entry architecture that partially compensates.</w:t>
      </w:r>
    </w:p>
    <w:p>
      <w:pPr>
        <w:spacing w:before="60" w:after="120"/>
        <w:jc w:val="both"/>
      </w:pPr>
      <w:r>
        <w:rPr>
          <w:rFonts w:ascii="Arial" w:cs="Arial" w:eastAsia="Arial" w:hAnsi="Arial"/>
          <w:sz w:val="22"/>
          <w:szCs w:val="22"/>
        </w:rPr>
        <w:t xml:space="preserve">Allied cohesion: allied unity has been stronger than assessed at campaign outset but shows measurable strain in EU member states with residual energy dependencies. Allied strain is an anti-indicator requiring Phase 4 participation erosion protocol activation, not passive monitoring. Observed shadow fleet scaling and insurance substitution trends introduce increasing enforcement lag over time, requiring periodic recalibration of maritime denial effectiveness assumptions as the shadow fleet expands and develops alternative insurance, flag state, and port access arrangements. Secondary sanctions on Chinese entities facilitating Russia evasion requires Principals Committee approval under the geographic sensitivity matrix and SHIELD-01 CCRP architecture.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00"/>
              <w:left w:type="dxa" w:w="160"/>
              <w:bottom w:type="dxa" w:w="100"/>
              <w:right w:type="dxa" w:w="120"/>
            </w:tcMar>
          </w:tcPr>
          <w:p>
            <w:pPr>
              <w:spacing w:before="0" w:after="60"/>
            </w:pPr>
            <w:r>
              <w:rPr>
                <w:rFonts w:ascii="Arial" w:cs="Arial" w:eastAsia="Arial" w:hAnsi="Arial"/>
                <w:b/>
                <w:bCs/>
                <w:caps/>
                <w:color w:val="1B2A4A"/>
                <w:sz w:val="18"/>
                <w:szCs w:val="18"/>
              </w:rPr>
              <w:t xml:space="preserve">RUSSIA — CAMPAIGN PARAMETER SUMMARY</w:t>
            </w:r>
          </w:p>
          <w:p>
            <w:pPr>
              <w:spacing w:before="0" w:after="40"/>
            </w:pPr>
            <w:r>
              <w:rPr>
                <w:rFonts w:ascii="Arial" w:cs="Arial" w:eastAsia="Arial" w:hAnsi="Arial"/>
                <w:b/>
                <w:bCs/>
                <w:color w:val="1B2A4A"/>
                <w:sz w:val="18"/>
                <w:szCs w:val="18"/>
              </w:rPr>
              <w:t xml:space="preserve">Best Lever: </w:t>
            </w:r>
            <w:r>
              <w:rPr>
                <w:rFonts w:ascii="Arial" w:cs="Arial" w:eastAsia="Arial" w:hAnsi="Arial"/>
                <w:sz w:val="18"/>
                <w:szCs w:val="18"/>
              </w:rPr>
              <w:t xml:space="preserve">Technology denial (FDPR advanced semiconductor enforcement) and shadow fleet maritime pressure (insurance denial, flag state coordination, port access restriction) — these are the two lowest-substitution-risk chokepoints with highest attritional effect on Russian military-industrial capacity</w:t>
            </w:r>
          </w:p>
          <w:p>
            <w:pPr>
              <w:spacing w:before="0" w:after="40"/>
            </w:pPr>
            <w:r>
              <w:rPr>
                <w:rFonts w:ascii="Arial" w:cs="Arial" w:eastAsia="Arial" w:hAnsi="Arial"/>
                <w:b/>
                <w:bCs/>
                <w:color w:val="7A4000"/>
                <w:sz w:val="18"/>
                <w:szCs w:val="18"/>
              </w:rPr>
              <w:t xml:space="preserve">Primary Risk: </w:t>
            </w:r>
            <w:r>
              <w:rPr>
                <w:rFonts w:ascii="Arial" w:cs="Arial" w:eastAsia="Arial" w:hAnsi="Arial"/>
                <w:sz w:val="18"/>
                <w:szCs w:val="18"/>
              </w:rPr>
              <w:t xml:space="preserve">EU energy dependency management: EU member state political will to sustain comprehensive energy sanctions has shown measurable strain; allied defection from energy enforcement would degrade coalition coherence more than any other single factor</w:t>
            </w:r>
          </w:p>
          <w:p>
            <w:pPr>
              <w:spacing w:before="0" w:after="0"/>
            </w:pPr>
            <w:r>
              <w:rPr>
                <w:rFonts w:ascii="Arial" w:cs="Arial" w:eastAsia="Arial" w:hAnsi="Arial"/>
                <w:b/>
                <w:bCs/>
                <w:color w:val="8B0000"/>
                <w:sz w:val="18"/>
                <w:szCs w:val="18"/>
              </w:rPr>
              <w:t xml:space="preserve">Likely Underperformance Path: </w:t>
            </w:r>
            <w:r>
              <w:rPr>
                <w:rFonts w:ascii="Arial" w:cs="Arial" w:eastAsia="Arial" w:hAnsi="Arial"/>
                <w:sz w:val="18"/>
                <w:szCs w:val="18"/>
              </w:rPr>
              <w:t xml:space="preserve">Secondary sanctions on Chinese entities fracturing the technology-denial coalition — applying Phase 3 secondary sanctions pressure at a level that triggers allied resistance to FDPR cooperation, undermining the enforcement instrument with the highest strategic value</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8.4 Venezuela</w:t>
      </w:r>
    </w:p>
    <w:p>
      <w:pPr>
        <w:spacing w:before="60" w:after="120"/>
        <w:jc w:val="both"/>
      </w:pPr>
      <w:r>
        <w:rPr>
          <w:rFonts w:ascii="Arial" w:cs="Arial" w:eastAsia="Arial" w:hAnsi="Arial"/>
          <w:sz w:val="22"/>
          <w:szCs w:val="22"/>
        </w:rPr>
        <w:t xml:space="preserve">Primary authorities: IEEPA (Venezuela-related EOs); OFAC Venezuela Sanctions Regulations, 31 C.F.R. Part 591. Key enforcement chokepoints: oil exports (PDVSA, approximately 700,000–1M bpd); gold exports; financial access. Substitution risk MODERATE: China and Russia provide alternative financial and energy infrastructure; Iran has provided technical production assistance. [TIER 1 — OFAC Venezuela SDN List; TIER 2 — Atlantic Council, 2024] Allied coordination is limited; the framework’s multilateral coalition architecture has limited applicability and campaign design should account for the de facto U.S.-unilateral character from Phase 1.</w:t>
      </w:r>
    </w:p>
    <w:p>
      <w:pPr>
        <w:spacing w:before="60" w:after="120"/>
        <w:jc w:val="both"/>
      </w:pPr>
      <w:r>
        <w:rPr>
          <w:rFonts w:ascii="Arial" w:cs="Arial" w:eastAsia="Arial" w:hAnsi="Arial"/>
          <w:sz w:val="22"/>
          <w:szCs w:val="22"/>
        </w:rPr>
        <w:t xml:space="preserve">Behavioral change calibration: Venezuela’s decision calculus is conditioned on elite cohesion within the Maduro government. Standard compliance indicators (policy statements, government announcements) are assessed as unreliable signals. Behavioral change indicators must include: defection signals from second-tier regime actors (military leadership, regional governors, PDVSA executives); changes in asset concealment behavior indicating elite exposure concern; and shifts in PDVSA operational practices. Political benchmarks tied to democratic transition conditions are assessed as having produced an un-resolvable compliance verification problem; objective-specific behavioral benchmarks are operationally preferable.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00"/>
              <w:left w:type="dxa" w:w="160"/>
              <w:bottom w:type="dxa" w:w="100"/>
              <w:right w:type="dxa" w:w="120"/>
            </w:tcMar>
          </w:tcPr>
          <w:p>
            <w:pPr>
              <w:spacing w:before="0" w:after="60"/>
            </w:pPr>
            <w:r>
              <w:rPr>
                <w:rFonts w:ascii="Arial" w:cs="Arial" w:eastAsia="Arial" w:hAnsi="Arial"/>
                <w:b/>
                <w:bCs/>
                <w:caps/>
                <w:color w:val="1B2A4A"/>
                <w:sz w:val="18"/>
                <w:szCs w:val="18"/>
              </w:rPr>
              <w:t xml:space="preserve">VENEZUELA — CAMPAIGN PARAMETER SUMMARY</w:t>
            </w:r>
          </w:p>
          <w:p>
            <w:pPr>
              <w:spacing w:before="0" w:after="40"/>
            </w:pPr>
            <w:r>
              <w:rPr>
                <w:rFonts w:ascii="Arial" w:cs="Arial" w:eastAsia="Arial" w:hAnsi="Arial"/>
                <w:b/>
                <w:bCs/>
                <w:color w:val="1B2A4A"/>
                <w:sz w:val="18"/>
                <w:szCs w:val="18"/>
              </w:rPr>
              <w:t xml:space="preserve">Best Lever: </w:t>
            </w:r>
            <w:r>
              <w:rPr>
                <w:rFonts w:ascii="Arial" w:cs="Arial" w:eastAsia="Arial" w:hAnsi="Arial"/>
                <w:sz w:val="18"/>
                <w:szCs w:val="18"/>
              </w:rPr>
              <w:t xml:space="preserve">PDVSA oil export revenue attrition through refined products and diluent denial rather than crude export targeting — Venezuela’s upgrading capacity constraints make diluent access the more proximate operational constraint</w:t>
            </w:r>
          </w:p>
          <w:p>
            <w:pPr>
              <w:spacing w:before="0" w:after="40"/>
            </w:pPr>
            <w:r>
              <w:rPr>
                <w:rFonts w:ascii="Arial" w:cs="Arial" w:eastAsia="Arial" w:hAnsi="Arial"/>
                <w:b/>
                <w:bCs/>
                <w:color w:val="7A4000"/>
                <w:sz w:val="18"/>
                <w:szCs w:val="18"/>
              </w:rPr>
              <w:t xml:space="preserve">Primary Risk: </w:t>
            </w:r>
            <w:r>
              <w:rPr>
                <w:rFonts w:ascii="Arial" w:cs="Arial" w:eastAsia="Arial" w:hAnsi="Arial"/>
                <w:sz w:val="18"/>
                <w:szCs w:val="18"/>
              </w:rPr>
              <w:t xml:space="preserve">Humanitarian impact has substantively eroded regional and international support; comprehensive oil sanctions have contributed to documented humanitarian deterioration [TIER 1 — UN Human Rights Council, 2020–2023]; the simultaneous General License requirement is operationally critical for this case</w:t>
            </w:r>
          </w:p>
          <w:p>
            <w:pPr>
              <w:spacing w:before="0" w:after="0"/>
            </w:pPr>
            <w:r>
              <w:rPr>
                <w:rFonts w:ascii="Arial" w:cs="Arial" w:eastAsia="Arial" w:hAnsi="Arial"/>
                <w:b/>
                <w:bCs/>
                <w:color w:val="8B0000"/>
                <w:sz w:val="18"/>
                <w:szCs w:val="18"/>
              </w:rPr>
              <w:t xml:space="preserve">Likely Underperformance Path: </w:t>
            </w:r>
            <w:r>
              <w:rPr>
                <w:rFonts w:ascii="Arial" w:cs="Arial" w:eastAsia="Arial" w:hAnsi="Arial"/>
                <w:sz w:val="18"/>
                <w:szCs w:val="18"/>
              </w:rPr>
              <w:t xml:space="preserve">Regime transition conditions that cannot be verified creating an endless compliance assessment dispute — repeating the 2019–2024 Guaidó recognition dynamics where policy was hostage to an unresolvable verification problem</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8.5 PRC-Facilitated Networks</w:t>
      </w:r>
    </w:p>
    <w:p>
      <w:pPr>
        <w:spacing w:before="60" w:after="120"/>
        <w:jc w:val="both"/>
      </w:pPr>
      <w:r>
        <w:rPr>
          <w:rFonts w:ascii="Arial" w:cs="Arial" w:eastAsia="Arial" w:hAnsi="Arial"/>
          <w:sz w:val="22"/>
          <w:szCs w:val="22"/>
        </w:rPr>
        <w:t xml:space="preserve">Primary authorities: IEEPA, ECRA/EAR, various sectoral programs. For PRC-shielded partner-state networks, NEXUS-01’s Commercial State Nexus Ladder and SHIELD-01’s CCRP architecture provide the attribution and coalition management framework. Technology controls are one of the more effective enforcement instruments for PRC-specific objectives in domains where substitution risk is low; the domain boundaries of this assessment matter — technology control effectiveness is specifically assessed for advanced semiconductor fabrication and precision manufacturing equipment, not as a general proposition across all enforcement categories.</w:t>
      </w:r>
    </w:p>
    <w:p>
      <w:pPr>
        <w:spacing w:before="60" w:after="120"/>
        <w:jc w:val="both"/>
      </w:pPr>
      <w:r>
        <w:rPr>
          <w:rFonts w:ascii="Arial" w:cs="Arial" w:eastAsia="Arial" w:hAnsi="Arial"/>
          <w:sz w:val="22"/>
          <w:szCs w:val="22"/>
        </w:rPr>
        <w:t xml:space="preserve">Substitution matrix: advanced semiconductor fabrication (LOW substitution risk; maximum pressure warranted); financial services (HIGH substitution risk; PRC state banks can provide sanctions-resistant services; pushing Chinese entities to fully exit Western financial system to avoid U.S. jurisdiction would create HIGH intelligence degradation risk). Broad secondary sanctions targeting Chinese financial institutions are likely to fracture the technology-denial coalition by generating allied resistance that reduces FDPR enforcement cooperation.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00"/>
              <w:left w:type="dxa" w:w="160"/>
              <w:bottom w:type="dxa" w:w="100"/>
              <w:right w:type="dxa" w:w="120"/>
            </w:tcMar>
          </w:tcPr>
          <w:p>
            <w:pPr>
              <w:spacing w:before="0" w:after="60"/>
            </w:pPr>
            <w:r>
              <w:rPr>
                <w:rFonts w:ascii="Arial" w:cs="Arial" w:eastAsia="Arial" w:hAnsi="Arial"/>
                <w:b/>
                <w:bCs/>
                <w:caps/>
                <w:color w:val="1B2A4A"/>
                <w:sz w:val="18"/>
                <w:szCs w:val="18"/>
              </w:rPr>
              <w:t xml:space="preserve">PRC-FACILITATED NETWORKS — CAMPAIGN PARAMETER SUMMARY</w:t>
            </w:r>
          </w:p>
          <w:p>
            <w:pPr>
              <w:spacing w:before="0" w:after="40"/>
            </w:pPr>
            <w:r>
              <w:rPr>
                <w:rFonts w:ascii="Arial" w:cs="Arial" w:eastAsia="Arial" w:hAnsi="Arial"/>
                <w:b/>
                <w:bCs/>
                <w:color w:val="1B2A4A"/>
                <w:sz w:val="18"/>
                <w:szCs w:val="18"/>
              </w:rPr>
              <w:t xml:space="preserve">Best Lever: </w:t>
            </w:r>
            <w:r>
              <w:rPr>
                <w:rFonts w:ascii="Arial" w:cs="Arial" w:eastAsia="Arial" w:hAnsi="Arial"/>
                <w:sz w:val="18"/>
                <w:szCs w:val="18"/>
              </w:rPr>
              <w:t xml:space="preserve">FDPR advanced node enforcement through Japan, Netherlands, and South Korea coordination — this is the highest-value, lowest-substitution chokepoint and the one most dependent on allied cooperation sustainability</w:t>
            </w:r>
          </w:p>
          <w:p>
            <w:pPr>
              <w:spacing w:before="0" w:after="40"/>
            </w:pPr>
            <w:r>
              <w:rPr>
                <w:rFonts w:ascii="Arial" w:cs="Arial" w:eastAsia="Arial" w:hAnsi="Arial"/>
                <w:b/>
                <w:bCs/>
                <w:color w:val="7A4000"/>
                <w:sz w:val="18"/>
                <w:szCs w:val="18"/>
              </w:rPr>
              <w:t xml:space="preserve">Primary Risk: </w:t>
            </w:r>
            <w:r>
              <w:rPr>
                <w:rFonts w:ascii="Arial" w:cs="Arial" w:eastAsia="Arial" w:hAnsi="Arial"/>
                <w:sz w:val="18"/>
                <w:szCs w:val="18"/>
              </w:rPr>
              <w:t xml:space="preserve">Coalition-technology conflict: the same allied partners essential for technology-denial coordination are simultaneously subject to trade friction that damages their willingness to sustain FDPR compliance cooperation; the SHIELD-01 CCRP architecture manages but does not eliminate this conflict</w:t>
            </w:r>
          </w:p>
          <w:p>
            <w:pPr>
              <w:spacing w:before="0" w:after="0"/>
            </w:pPr>
            <w:r>
              <w:rPr>
                <w:rFonts w:ascii="Arial" w:cs="Arial" w:eastAsia="Arial" w:hAnsi="Arial"/>
                <w:b/>
                <w:bCs/>
                <w:color w:val="8B0000"/>
                <w:sz w:val="18"/>
                <w:szCs w:val="18"/>
              </w:rPr>
              <w:t xml:space="preserve">Likely Underperformance Path: </w:t>
            </w:r>
            <w:r>
              <w:rPr>
                <w:rFonts w:ascii="Arial" w:cs="Arial" w:eastAsia="Arial" w:hAnsi="Arial"/>
                <w:sz w:val="18"/>
                <w:szCs w:val="18"/>
              </w:rPr>
              <w:t xml:space="preserve">Broad secondary sanctions on PRC financial institutions fracturing the technology-denial coalition — achieving tactical financial enforcement at the cost of the strategic instrument (FDPR coordination) with higher enforcement value and lower substitution risk</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 ADVERSARY ADAPTATION AND MANIPULATION PATTERNS</w:t>
      </w:r>
    </w:p>
    <w:p>
      <w:pPr>
        <w:spacing w:before="60" w:after="120"/>
        <w:jc w:val="both"/>
      </w:pPr>
      <w:r>
        <w:rPr>
          <w:rFonts w:ascii="Arial" w:cs="Arial" w:eastAsia="Arial" w:hAnsi="Arial"/>
          <w:sz w:val="22"/>
          <w:szCs w:val="22"/>
        </w:rPr>
        <w:t xml:space="preserve">The framework is designed to govern U.S. enforcement behavior. It is less complete on how target states strategically play against those controls. This section models adversary adaptation as a dynamic process, not a static catalog. Target states do not simply react — they probe thresholds, exploit review cycles, and institutionalize workarounds over time. A framework that does not model this learning cycle will be defeated by it.</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9.1 Adversary Adaptation Cycle</w:t>
      </w:r>
    </w:p>
    <w:p>
      <w:pPr>
        <w:spacing w:before="60" w:after="120"/>
        <w:jc w:val="both"/>
      </w:pPr>
      <w:r>
        <w:rPr>
          <w:rFonts w:ascii="Arial" w:cs="Arial" w:eastAsia="Arial" w:hAnsi="Arial"/>
          <w:sz w:val="22"/>
          <w:szCs w:val="22"/>
        </w:rPr>
        <w:t xml:space="preserve">Target states adapt to non-kinetic enforcement campaigns through a predictable four-phase cycle that plays out over 12–48 months depending on target-state institutional capacity and resource availability:</w:t>
      </w:r>
    </w:p>
    <w:p>
      <w:pPr>
        <w:pStyle w:val="ListParagraph"/>
        <w:numPr>
          <w:ilvl w:val="0"/>
          <w:numId w:val="2"/>
        </w:numPr>
        <w:spacing w:before="40" w:after="40"/>
      </w:pPr>
      <w:r>
        <w:rPr>
          <w:rFonts w:ascii="Arial" w:cs="Arial" w:eastAsia="Arial" w:hAnsi="Arial"/>
          <w:sz w:val="22"/>
          <w:szCs w:val="22"/>
        </w:rPr>
        <w:t xml:space="preserve">Phase A — Probe (0–6 months): target state tests framework thresholds without committing to a permanent workaround. Examples: limited use of alternative payment rails to assess U.S. and allied monitoring response; selective transactions with gray intermediaries below secondary sanctions materiality thresholds; partial compliance actions designed to test whether U.S. accepts compliance theater. Detection window is shortest here; the framework’s 90-day observability cycle and DNI confidence assessment are the primary counters. If probe behavior is not identified and addressed in the first two observability cycles, the target extracts threshold intelligence that makes subsequent exploitation more effective.</w:t>
      </w:r>
    </w:p>
    <w:p>
      <w:pPr>
        <w:pStyle w:val="ListParagraph"/>
        <w:numPr>
          <w:ilvl w:val="0"/>
          <w:numId w:val="2"/>
        </w:numPr>
        <w:spacing w:before="40" w:after="40"/>
      </w:pPr>
      <w:r>
        <w:rPr>
          <w:rFonts w:ascii="Arial" w:cs="Arial" w:eastAsia="Arial" w:hAnsi="Arial"/>
          <w:sz w:val="22"/>
          <w:szCs w:val="22"/>
        </w:rPr>
        <w:t xml:space="preserve">Phase B — Exploit (6–18 months): target state deploys workarounds at scale based on threshold intelligence gathered in Phase A. Examples: Iranian crude routed through UAE and Chinese shadow intermediaries at volumes calibrated to remain below secondary sanctions trigger thresholds; Russian financial transactions structured to use SPFS for interbank settlement while maintaining dollar-denominated commodity pricing to avoid full SWIFT exclusion costs; DPRK ship-to-ship transfers optimized around satellite revisit intervals identified through Phase A observation. Exploitation at scale is much harder to reverse — the framework’s substitution vulnerability matrix (Part V) is most operationally important in this phase because the sequencing decisions made in Phases 1–2 determine what exploitation pathways are available.</w:t>
      </w:r>
    </w:p>
    <w:p>
      <w:pPr>
        <w:pStyle w:val="ListParagraph"/>
        <w:numPr>
          <w:ilvl w:val="0"/>
          <w:numId w:val="2"/>
        </w:numPr>
        <w:spacing w:before="40" w:after="40"/>
      </w:pPr>
      <w:r>
        <w:rPr>
          <w:rFonts w:ascii="Arial" w:cs="Arial" w:eastAsia="Arial" w:hAnsi="Arial"/>
          <w:sz w:val="22"/>
          <w:szCs w:val="22"/>
        </w:rPr>
        <w:t xml:space="preserve">Phase C — Institutionalize Workaround (18–36 months): target state embeds the workaround into domestic economic and financial institutions, creating structural dependencies that reduce the target’s incentive to comply even if it wanted to. Examples: Iran’s development of yuan-denominated oil pricing infrastructure and domestic financial messaging alternatives to SWIFT; Russia’s shadow fleet insurance and flag-state ecosystem creating structural capacity that persists beyond any individual campaign. Once workarounds are institutionalized, the cost of compliance for the target state increases — dismantling the workaround infrastructure is itself costly regardless of sanctions relief offered.</w:t>
      </w:r>
    </w:p>
    <w:p>
      <w:pPr>
        <w:pStyle w:val="ListParagraph"/>
        <w:numPr>
          <w:ilvl w:val="0"/>
          <w:numId w:val="2"/>
        </w:numPr>
        <w:spacing w:before="40" w:after="40"/>
      </w:pPr>
      <w:r>
        <w:rPr>
          <w:rFonts w:ascii="Arial" w:cs="Arial" w:eastAsia="Arial" w:hAnsi="Arial"/>
          <w:sz w:val="22"/>
          <w:szCs w:val="22"/>
        </w:rPr>
        <w:t xml:space="preserve">Phase D — Normalize (36+ months): workarounds become standard operating procedure, the target state’s economic and financial sector adapts to the enforcement environment, and the marginal cost of additional sanctions pressure approaches zero. This is the condition documented in DPRK case analysis after approximately 2017–2018 — where the existing sanctions architecture had been so thoroughly normalized by target-state institutions that additional designation volume produced no marginal enforcement effect.</w:t>
      </w:r>
    </w:p>
    <w:p>
      <w:pPr>
        <w:spacing w:before="60" w:after="120"/>
        <w:jc w:val="both"/>
      </w:pPr>
      <w:r>
        <w:rPr>
          <w:rFonts w:ascii="Arial" w:cs="Arial" w:eastAsia="Arial" w:hAnsi="Arial"/>
          <w:sz w:val="22"/>
          <w:szCs w:val="22"/>
        </w:rPr>
        <w:t xml:space="preserve">Implication for campaign design: the framework’s 90-day observability cycle and Phase 2 initiation criteria must explicitly address Phase A probe behavior as an early warning signal, not only Phase B exploitation behavior. Campaign architects should specify, in the pre-Phase 2 verification criteria document, the observable indicators of probe behavior (small-volume alternative routing, threshold-testing transactions, selective compliance actions) and the decision criteria for whether probe behavior warrants accelerated Phase escalation or modified threshold parameters before exploitation begins.</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9.2 Adversary Objective Functions by Target</w:t>
      </w:r>
    </w:p>
    <w:p>
      <w:pPr>
        <w:spacing w:before="60" w:after="120"/>
        <w:jc w:val="both"/>
      </w:pPr>
      <w:r>
        <w:rPr>
          <w:rFonts w:ascii="Arial" w:cs="Arial" w:eastAsia="Arial" w:hAnsi="Arial"/>
          <w:sz w:val="22"/>
          <w:szCs w:val="22"/>
        </w:rPr>
        <w:t xml:space="preserve">Adversary adaptation is not uniform. Each target state operates with a distinct objective function that determines which framework controls they will comply with, which they will route around, and which they will accept as a permanent cost:</w:t>
      </w:r>
    </w:p>
    <w:p>
      <w:pPr>
        <w:pStyle w:val="ListParagraph"/>
        <w:numPr>
          <w:ilvl w:val="0"/>
          <w:numId w:val="2"/>
        </w:numPr>
        <w:spacing w:before="40" w:after="40"/>
      </w:pPr>
      <w:r>
        <w:rPr>
          <w:rFonts w:ascii="Arial" w:cs="Arial" w:eastAsia="Arial" w:hAnsi="Arial"/>
          <w:sz w:val="22"/>
          <w:szCs w:val="22"/>
        </w:rPr>
        <w:t xml:space="preserve">Iran: primary objective is regime survival and revolutionary ideological legitimacy; secondary objective is economic sustainability. Implication: Iran will comply with nuclear benchmarks if and only if compliance is necessary for regime survival — i.e., if the economic cost of non-compliance credibly threatens the regime coalition, not merely the civilian population. The framework’s sufficiency threshold architecture is most important for Iran because the regime’s incentive structure makes partial compliance theater a standard operating mode.</w:t>
      </w:r>
    </w:p>
    <w:p>
      <w:pPr>
        <w:pStyle w:val="ListParagraph"/>
        <w:numPr>
          <w:ilvl w:val="0"/>
          <w:numId w:val="2"/>
        </w:numPr>
        <w:spacing w:before="40" w:after="40"/>
      </w:pPr>
      <w:r>
        <w:rPr>
          <w:rFonts w:ascii="Arial" w:cs="Arial" w:eastAsia="Arial" w:hAnsi="Arial"/>
          <w:sz w:val="22"/>
          <w:szCs w:val="22"/>
        </w:rPr>
        <w:t xml:space="preserve">DPRK: primary objective is regime survival via nuclear deterrence; economic sustainability is secondary and met at minimal threshold. Implication: DPRK will not comply with nuclear benchmarks under any economically achievable pressure because nuclear capability is the regime survival mechanism. The framework’s adaptation cycle model applies here primarily to Phase D normalization — DPRK has already fully normalized the existing sanctions architecture. Campaign objectives must be secondary (revenue attrition, force posture constraint) or the campaign is misaligned with achievable outcomes.</w:t>
      </w:r>
    </w:p>
    <w:p>
      <w:pPr>
        <w:pStyle w:val="ListParagraph"/>
        <w:numPr>
          <w:ilvl w:val="0"/>
          <w:numId w:val="2"/>
        </w:numPr>
        <w:spacing w:before="40" w:after="40"/>
      </w:pPr>
      <w:r>
        <w:rPr>
          <w:rFonts w:ascii="Arial" w:cs="Arial" w:eastAsia="Arial" w:hAnsi="Arial"/>
          <w:sz w:val="22"/>
          <w:szCs w:val="22"/>
        </w:rPr>
        <w:t xml:space="preserve">Russia: primary objective is restoration of great power status and Eurasian sphere of influence; economic cost tolerance is high relative to most target states. Implication: Russia will sustain enforcement costs for longer than economic analysis suggests because the campaign objective (rollback from Ukraine) conflicts with a core national identity driver. The adaptation cycle will run fully to Phase D unless the campaign achieves strategic leverage on the core national identity objective, which requires tools beyond economic enforcement.</w:t>
      </w:r>
    </w:p>
    <w:p>
      <w:pPr>
        <w:pStyle w:val="ListParagraph"/>
        <w:numPr>
          <w:ilvl w:val="0"/>
          <w:numId w:val="2"/>
        </w:numPr>
        <w:spacing w:before="40" w:after="40"/>
      </w:pPr>
      <w:r>
        <w:rPr>
          <w:rFonts w:ascii="Arial" w:cs="Arial" w:eastAsia="Arial" w:hAnsi="Arial"/>
          <w:sz w:val="22"/>
          <w:szCs w:val="22"/>
        </w:rPr>
        <w:t xml:space="preserve">Venezuela: primary objective is Maduro government elite survival; national economic performance is secondary. Implication: compliance decisions are driven by elite personal exposure, not national economic indicators. The detection indicator for genuine compliance consideration is second-tier elite defection behavior, not policy announcements from the Maduro government.</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9.3 Static Adversary Manipulation Pattern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Adversary Pattern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How It Works Against the Framework</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Framework Counter</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Selective concession to split coalition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Partial compliance concession to European allies while maintaining core prohibited activity; exploits graduated relief provisions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Pre-defined sufficiency thresholds (75% compliance requirement); Tier 1 allied coordination cell ensures coordinated response, not bilateral</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Humanitarian weaponization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Deliberately reduces food and medicine imports to generate civilian harm attributable to sanctions; forces exemption expansion creating enforcement gaps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Simultaneous General License issuance prevents post-hoc exemption bargaining; GL scope set at designation, not in response to target-state behavior</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Propaganda exploitation of carve-outs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Publicizes humanitarian exemptions as evidence of sanctions weakness; invites third-country evasion through exempted categories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Public FAQ released simultaneously with designations; OFAC compliance advisory prevents over-broad exemption interpretation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Gray intermediary development</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Develops UAE, Turkey, Singapore, India, Hong Kong intermediaries to re-route prohibited transactions below secondary sanctions thresholds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Phase 4 bilateral enforcement MOUs; 72-hour pre-notification shares network mapping; Master Index v4 documents intermediary networks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Allied domestic backlash exploitation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Cultivates European business communities, energy sector, and anti-sanctions constituencies to generate allied government pressure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Phase 4 G7+ coordination cell; allied consultation before Phase 2 reduces surprise; simultaneous humanitarian licensing reduces legitimacy critique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Threshold probing</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Tests framework enforcement triggers through below-threshold transactions to extract intelligence about actual U.S. response thresholds before committing to full exploitation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Phase A probe detection in 90-day observability cycle; DNI confidence assessment includes threshold-calibration behavior as a probe indicator</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Substitution timing to degrade evidence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Shifts to opaque alternative systems precisely when building the Phase 3 secondary sanctions intelligence case; substitution degrades the evidence basis simultaneously with the enforcement action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Substitution matrix sequences enforcement against low-substitution chokepoints first; high-substitution-risk enforcement timed to preserve intelligence collection window</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Compliance theater</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Performs visible but inconsequential compliance actions to satisfy sufficiency thresholds without substantive behavioral change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Pre-defined verification mechanisms (IAEA, OPCW, NTM) rather than self-reporting; DNI confidence assessment addresses genuine vs. theatrical compliance at each cycle</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XII: IMPLEMENTATION POLITICAL ECONOMY</w:t>
      </w:r>
    </w:p>
    <w:p>
      <w:pPr>
        <w:spacing w:before="60" w:after="120"/>
        <w:jc w:val="both"/>
      </w:pPr>
      <w:r>
        <w:rPr>
          <w:rFonts w:ascii="Arial" w:cs="Arial" w:eastAsia="Arial" w:hAnsi="Arial"/>
          <w:sz w:val="22"/>
          <w:szCs w:val="22"/>
        </w:rPr>
        <w:t xml:space="preserve">The framework’s mandatory procedural gates are normatively correct and operationally fragile against the actual behavior of U.S. government institutions, where institutional incentives frequently diverge from the framework’s design requirements.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10.1 Treasury-State Sequencing Conflict</w:t>
      </w:r>
    </w:p>
    <w:p>
      <w:pPr>
        <w:spacing w:before="60" w:after="120"/>
        <w:jc w:val="both"/>
      </w:pPr>
      <w:r>
        <w:rPr>
          <w:rFonts w:ascii="Arial" w:cs="Arial" w:eastAsia="Arial" w:hAnsi="Arial"/>
          <w:sz w:val="22"/>
          <w:szCs w:val="22"/>
        </w:rPr>
        <w:t xml:space="preserve">Treasury’s institutional incentive structure rewards designation velocity and visible enforcement action. The graduated escalation model’s Phase discipline and allied pre-notification requirements impose direct costs on Treasury’s preferred operational tempo. The CAATSA precedent — where congressional mandatory sanctions were enacted in part because executive restraint was perceived as insufficiently visible — creates an institutional incentive for Treasury to front-load designations before congressional pressure materializes. NSC’s role in the interagency coordination matrix must explicitly include Phase discipline enforcement, not merely policy synchronization.</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10.2 DOE-Commerce Resource Allocation Conflict</w:t>
      </w:r>
    </w:p>
    <w:p>
      <w:pPr>
        <w:spacing w:before="60" w:after="120"/>
        <w:jc w:val="both"/>
      </w:pPr>
      <w:r>
        <w:rPr>
          <w:rFonts w:ascii="Arial" w:cs="Arial" w:eastAsia="Arial" w:hAnsi="Arial"/>
          <w:sz w:val="22"/>
          <w:szCs w:val="22"/>
        </w:rPr>
        <w:t xml:space="preserve">For campaigns with technology-denial components, DOE’s loan program priorities and Commerce/BIS export control allocation decisions can conflict at the operational level. The framework designates Treasury as the lead coordinator for identifying financing that creates enforcement contradictions, with authority to flag DOE-Commerce conflicts to Deputies Committee before commitments are made.</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10.3 Framework Decay Over Time</w:t>
      </w:r>
    </w:p>
    <w:p>
      <w:pPr>
        <w:spacing w:before="60" w:after="120"/>
        <w:jc w:val="both"/>
      </w:pPr>
      <w:r>
        <w:rPr>
          <w:rFonts w:ascii="Arial" w:cs="Arial" w:eastAsia="Arial" w:hAnsi="Arial"/>
          <w:sz w:val="22"/>
          <w:szCs w:val="22"/>
        </w:rPr>
        <w:t xml:space="preserve">The emergency exception protocol (Section 2.3) addresses acute process degradation — specific events where timeline pressure compresses Phase sequencing. A separate and more structurally serious risk is chronic process degradation: the gradual decay of framework discipline over multi-year campaigns without any single triggering event.</w:t>
      </w:r>
    </w:p>
    <w:p>
      <w:pPr>
        <w:spacing w:before="60" w:after="120"/>
        <w:jc w:val="both"/>
      </w:pPr>
      <w:r>
        <w:rPr>
          <w:rFonts w:ascii="Arial" w:cs="Arial" w:eastAsia="Arial" w:hAnsi="Arial"/>
          <w:sz w:val="22"/>
          <w:szCs w:val="22"/>
        </w:rPr>
        <w:t xml:space="preserve">Observed decay mechanisms in prior enforcement campaigns: (a) review formalization without enforcement teeth — mandatory 90-day reviews become scheduled briefings without written decisions; the review cadence is maintained but the decision-forcing function is lost; (b) compliance fatigue within agencies — OFAC, State, and NSC staff managing a campaign over 3–5 years experience attrition, personnel turnover, and reduced institutional memory of the framework’s design rationale, producing drift toward the institutional default mode (designation velocity for Treasury, diplomatic conflict-avoidance for State) that the framework was designed to counteract; (c) allied consultation formalization — the 72-hour pre-notification protocol becomes a bureaucratic notification checkbox rather than a substantive consultation, because allied governments have stopped expecting U.S. actions to change in response to their input; (d) humanitarian exemption scope drift — General License scopes expand incrementally through post-hoc guidance documents that effectively broaden humanitarian carve-outs beyond the original scope, creating enforcement gaps the target state exploits as compliance cover.</w:t>
      </w:r>
    </w:p>
    <w:p>
      <w:pPr>
        <w:spacing w:before="60" w:after="120"/>
        <w:jc w:val="both"/>
      </w:pPr>
      <w:r>
        <w:rPr>
          <w:rFonts w:ascii="Arial" w:cs="Arial" w:eastAsia="Arial" w:hAnsi="Arial"/>
          <w:sz w:val="22"/>
          <w:szCs w:val="22"/>
        </w:rPr>
        <w:t xml:space="preserve">Mitigation: the independent technical assessment every three years specified in the series cross-reference framework should include an explicit framework integrity audit — assessing whether mandatory review processes are producing written decisions, whether pre-notification is substantive, whether humanitarian exemption scopes remain within original parameters, and whether institutional compliance with Phase discipline has been maintained or has drifted. The audit should be conducted by an interagency team that includes NSC, not only Treasury and State, to prevent self-assessment bias.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10.4 Conditions Under Which the Framework Would Be Abandoned</w:t>
      </w:r>
    </w:p>
    <w:p>
      <w:pPr>
        <w:spacing w:before="60" w:after="120"/>
        <w:jc w:val="both"/>
      </w:pPr>
      <w:r>
        <w:rPr>
          <w:rFonts w:ascii="Arial" w:cs="Arial" w:eastAsia="Arial" w:hAnsi="Arial"/>
          <w:sz w:val="22"/>
          <w:szCs w:val="22"/>
        </w:rPr>
        <w:t xml:space="preserve">Framework termination triggers that campaign designers should treat as design-level contingencies, not implementation challenges:</w:t>
      </w:r>
    </w:p>
    <w:p>
      <w:pPr>
        <w:pStyle w:val="ListParagraph"/>
        <w:numPr>
          <w:ilvl w:val="0"/>
          <w:numId w:val="2"/>
        </w:numPr>
        <w:spacing w:before="40" w:after="40"/>
      </w:pPr>
      <w:r>
        <w:rPr>
          <w:rFonts w:ascii="Arial" w:cs="Arial" w:eastAsia="Arial" w:hAnsi="Arial"/>
          <w:sz w:val="22"/>
          <w:szCs w:val="22"/>
        </w:rPr>
        <w:t xml:space="preserve">Congressional mandatory sanctions legislation requiring designations on a political timeline inconsistent with Phase discipline — graduated escalation model becomes operationally void for covered authorities; default to maximizing flexibility within preserved waiver authority</w:t>
      </w:r>
    </w:p>
    <w:p>
      <w:pPr>
        <w:pStyle w:val="ListParagraph"/>
        <w:numPr>
          <w:ilvl w:val="0"/>
          <w:numId w:val="2"/>
        </w:numPr>
        <w:spacing w:before="40" w:after="40"/>
      </w:pPr>
      <w:r>
        <w:rPr>
          <w:rFonts w:ascii="Arial" w:cs="Arial" w:eastAsia="Arial" w:hAnsi="Arial"/>
          <w:sz w:val="22"/>
          <w:szCs w:val="22"/>
        </w:rPr>
        <w:t xml:space="preserve">Successful IEEPA judicial challenge voiding primary administrative blocking authority — immediate pivot to parallel statutory authorities per Part III authority failure contingency layer</w:t>
      </w:r>
    </w:p>
    <w:p>
      <w:pPr>
        <w:pStyle w:val="ListParagraph"/>
        <w:numPr>
          <w:ilvl w:val="0"/>
          <w:numId w:val="2"/>
        </w:numPr>
        <w:spacing w:before="40" w:after="40"/>
      </w:pPr>
      <w:r>
        <w:rPr>
          <w:rFonts w:ascii="Arial" w:cs="Arial" w:eastAsia="Arial" w:hAnsi="Arial"/>
          <w:sz w:val="22"/>
          <w:szCs w:val="22"/>
        </w:rPr>
        <w:t xml:space="preserve">Tier 1 ally publicly defects and actively undermines campaign (not merely reduces participation) — multilateral framework assumption has failed; campaign is functionally a U.S. unilateral action requiring reassessment</w:t>
      </w:r>
    </w:p>
    <w:p>
      <w:pPr>
        <w:pStyle w:val="ListParagraph"/>
        <w:numPr>
          <w:ilvl w:val="0"/>
          <w:numId w:val="2"/>
        </w:numPr>
        <w:spacing w:before="40" w:after="40"/>
      </w:pPr>
      <w:r>
        <w:rPr>
          <w:rFonts w:ascii="Arial" w:cs="Arial" w:eastAsia="Arial" w:hAnsi="Arial"/>
          <w:sz w:val="22"/>
          <w:szCs w:val="22"/>
        </w:rPr>
        <w:t xml:space="preserve">NEC determination that market impacts exceed the threshold at which campaign costs exceed projected behavioral change benefits — Presidential decision on accepting market costs or modifying campaign scope</w:t>
      </w:r>
    </w:p>
    <w:p>
      <w:pPr>
        <w:pStyle w:val="ListParagraph"/>
        <w:numPr>
          <w:ilvl w:val="0"/>
          <w:numId w:val="2"/>
        </w:numPr>
        <w:spacing w:before="40" w:after="40"/>
      </w:pPr>
      <w:r>
        <w:rPr>
          <w:rFonts w:ascii="Arial" w:cs="Arial" w:eastAsia="Arial" w:hAnsi="Arial"/>
          <w:sz w:val="22"/>
          <w:szCs w:val="22"/>
        </w:rPr>
        <w:t xml:space="preserve">Framework integrity audit finds chronic process degradation in two or more mandatory control mechanisms — NSC-led framework reset required before continued escalation is authorized</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XIII: CONGRESSIONAL DYNAMICS AND MANDATORY SANCTIONS RISK</w:t>
      </w:r>
    </w:p>
    <w:p>
      <w:pPr>
        <w:spacing w:before="60" w:after="120"/>
        <w:jc w:val="both"/>
      </w:pPr>
      <w:r>
        <w:rPr>
          <w:rFonts w:ascii="Arial" w:cs="Arial" w:eastAsia="Arial" w:hAnsi="Arial"/>
          <w:sz w:val="22"/>
          <w:szCs w:val="22"/>
        </w:rPr>
        <w:t xml:space="preserve">Congressional mandatory sanctions legislation is not an anti-indicator to monitor. It is an existential structural threat to the framework’s core operating assumption of executive sequencing control.</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11.1 The CAATSA Precedent: Anatomy of a Framework-Terminating Event</w:t>
      </w:r>
    </w:p>
    <w:p>
      <w:pPr>
        <w:spacing w:before="60" w:after="120"/>
        <w:jc w:val="both"/>
      </w:pPr>
      <w:r>
        <w:rPr>
          <w:rFonts w:ascii="Arial" w:cs="Arial" w:eastAsia="Arial" w:hAnsi="Arial"/>
          <w:sz w:val="22"/>
          <w:szCs w:val="22"/>
        </w:rPr>
        <w:t xml:space="preserve">CAATSA (Public Law 115-44, August 2017) enacted mandatory sanctions against Russia, Iran, and North Korea in direct response to congressional perception that executive restraint under IEEPA was insufficiently visible. CAATSA’s enactment transferred sequencing control from NSC to the legislative calendar, imposed mandatory designation timelines inconsistent with Phase 2 allied pre-notification requirements, and limited waiver authorities that the graduated escalation model requires as off-ramp mechanisms. The structural dynamic is predictable and repeatable: executive restraint under a graduated framework is perceived as insufficient enforcement; Congress responds with mandatory authorities that foreclose the graduated approach; the executive’s ability to offer credible off-ramps is degraded; the campaign’s behavioral change mechanism fails because the target cannot trust that compliance will produce relief the executive can actually deliver.</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11.2 Proactive Engagement Architecture</w:t>
      </w:r>
    </w:p>
    <w:p>
      <w:pPr>
        <w:spacing w:before="60" w:after="120"/>
        <w:jc w:val="both"/>
      </w:pPr>
      <w:r>
        <w:rPr>
          <w:rFonts w:ascii="Arial" w:cs="Arial" w:eastAsia="Arial" w:hAnsi="Arial"/>
          <w:sz w:val="22"/>
          <w:szCs w:val="22"/>
        </w:rPr>
        <w:t xml:space="preserve">State Department leads with Treasury providing technical briefings. Key committees: Senate Foreign Relations; Senate Banking; House Foreign Affairs; House Financial Services.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Early Warning System</w:t>
      </w:r>
    </w:p>
    <w:p>
      <w:pPr>
        <w:spacing w:before="60" w:after="120"/>
        <w:jc w:val="both"/>
      </w:pPr>
      <w:r>
        <w:rPr>
          <w:rFonts w:ascii="Arial" w:cs="Arial" w:eastAsia="Arial" w:hAnsi="Arial"/>
          <w:sz w:val="22"/>
          <w:szCs w:val="22"/>
        </w:rPr>
        <w:t xml:space="preserve">Monitor legislative proposals for mandatory sanctions provisions and identify bills that would remove executive waiver authority before they advance to markup. Track amendments to appropriations bills. Identify the specific congressional concerns driving mandatory sanctions momentum and address those concerns through visible executive action before legislation advances. The principal uncertainty concerns whether Treasury and State maintain the capacity and institutional willingness to execute proactive congressional engagement continuously across multi-year campaigns, given competing operational priorities.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Proactive Briefings as Enforcement Demonstration</w:t>
      </w:r>
    </w:p>
    <w:p>
      <w:pPr>
        <w:spacing w:before="60" w:after="120"/>
        <w:jc w:val="both"/>
      </w:pPr>
      <w:r>
        <w:rPr>
          <w:rFonts w:ascii="Arial" w:cs="Arial" w:eastAsia="Arial" w:hAnsi="Arial"/>
          <w:sz w:val="22"/>
          <w:szCs w:val="22"/>
        </w:rPr>
        <w:t xml:space="preserve">Quarterly classified briefings to key committee chairs with specific content: which targets are in the pipeline, on what timeline, with what allied coordination. Vague assurances of robust enforcement do not prevent mandatory sanctions legislation; documented enforcement action with explained rationale does.</w:t>
      </w:r>
    </w:p>
    <w:p>
      <w:pPr>
        <w:spacing w:before="0" w:after="60"/>
      </w:pPr>
      <w:r>
        <w:t xml:space="preserve"/>
      </w:r>
    </w:p>
    <w:p>
      <w:pPr>
        <w:pStyle w:val="Heading3"/>
        <w:spacing w:before="180" w:after="80"/>
      </w:pPr>
      <w:r>
        <w:rPr>
          <w:rFonts w:ascii="Arial" w:cs="Arial" w:eastAsia="Arial" w:hAnsi="Arial"/>
          <w:b/>
          <w:bCs/>
          <w:color w:val="4A5568"/>
          <w:sz w:val="22"/>
          <w:szCs w:val="22"/>
        </w:rPr>
        <w:t xml:space="preserve">Waiver Authority Preservation Strategy</w:t>
      </w:r>
    </w:p>
    <w:p>
      <w:pPr>
        <w:spacing w:before="60" w:after="120"/>
        <w:jc w:val="both"/>
      </w:pPr>
      <w:r>
        <w:rPr>
          <w:rFonts w:ascii="Arial" w:cs="Arial" w:eastAsia="Arial" w:hAnsi="Arial"/>
          <w:sz w:val="22"/>
          <w:szCs w:val="22"/>
        </w:rPr>
        <w:t xml:space="preserve">If mandatory sanctions legislation is inevitable, State and Treasury engage committee staff before markup to negotiate: (a) Presidential waiver authority tied to national security certification rather than automatic operation; (b) reporting requirements in lieu of mandatory action timelines where feasible; (c) sunset provisions that restore executive flexibility after a defined period; (d) explicit carve-outs for allied-jurisdiction entities where mandatory secondary sanctions would fracture coalition architecture.</w:t>
      </w:r>
    </w:p>
    <w:p>
      <w:pPr>
        <w:spacing w:before="0" w:after="60"/>
      </w:pPr>
      <w:r>
        <w:t xml:space="preserve"/>
      </w:r>
    </w:p>
    <w:p>
      <w:pPr>
        <w:pStyle w:val="Heading3"/>
        <w:spacing w:before="180" w:after="80"/>
      </w:pPr>
      <w:r>
        <w:rPr>
          <w:rFonts w:ascii="Arial" w:cs="Arial" w:eastAsia="Arial" w:hAnsi="Arial"/>
          <w:b/>
          <w:bCs/>
          <w:color w:val="4A5568"/>
          <w:sz w:val="22"/>
          <w:szCs w:val="22"/>
        </w:rPr>
        <w:t xml:space="preserve">Existing Mandatory Constraints</w:t>
      </w:r>
    </w:p>
    <w:p>
      <w:pPr>
        <w:spacing w:before="60" w:after="120"/>
        <w:jc w:val="both"/>
      </w:pPr>
      <w:r>
        <w:rPr>
          <w:rFonts w:ascii="Arial" w:cs="Arial" w:eastAsia="Arial" w:hAnsi="Arial"/>
          <w:sz w:val="22"/>
          <w:szCs w:val="22"/>
        </w:rPr>
        <w:t xml:space="preserve">CAATSA § 231/232 mandatory secondary sanctions (Russia defense and intelligence sector; limited waiver criteria); Caesar Act (Syria, mandatory designations for specified activities); Iran statutory sanctions programs with narrow waiver criteria under CISADA and IFCA. Campaign design within these constraints requires identifying mandatory trigger conditions and sequencing voluntary Phase 1 and Phase 2 actions to either achieve behavioral change before triggers activate or to use trigger activation as a Phase 3 escalation complement. The available evidence does not resolve whether waiver authority under these programs has been preserved in sufficient form to enable the graduated rollback architecture this framework requires; practitioners should obtain current legal assessment of waiver scope before campaign design proceeds.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XIV: DOCUMENTED FAILURE MODES</w:t>
      </w:r>
    </w:p>
    <w:p>
      <w:pPr>
        <w:spacing w:before="60" w:after="120"/>
        <w:jc w:val="both"/>
      </w:pPr>
      <w:r>
        <w:rPr>
          <w:rFonts w:ascii="Arial" w:cs="Arial" w:eastAsia="Arial" w:hAnsi="Arial"/>
          <w:sz w:val="22"/>
          <w:szCs w:val="22"/>
        </w:rPr>
        <w:t xml:space="preserve">The following failure modes are derived from documented analysis of prior non-kinetic campaigns. Each is addressed by a specific structural mechanism in this framework.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Observed Consequence</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Structural Prevention Mechanism</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Over-designation without strategy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Designation volume without behavioral change; credibility dilution; allied confusion</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Phase 2 criteria require Deputies Committee quality review; no more than 5 secondary designations per quarter without Principals review [ANALYTIC-DEFAULT: 5/quarter cap; calibrated to observed allied tolerance patterns, where rapid designation sequences have historically accelerated coalition fracture]</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Maximum pressure at initiation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Escalation leverage removed; off-ramps eliminated; coalition fracture within 12–18 months [ANALYTIC-DEFAULT]</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Mandatory graduated escalation; Phase discipline; Principals Committee approval for Phase 3</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Ambiguous success criteria</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Target claims compliance; interagency dispute; allied confidence loss</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Pre-defined verification criteria required before Phase 2 authorization; adjudication process specified</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Allied notification after action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Public criticism; coalition fracture; reduced effectiveness</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72-hour pre-notification protocol; automatic 48-hour Deputies review on objection</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Intelligence-driven designation without public evidence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Unable to defend to allies; appears arbitrary; legal challenge risk</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State Department public evidence sufficiency review (recommended governance control); veto authority; $50M threshold resolution pathways</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Humanitarian exemptions as afterthought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Over-compliance risk materially increases; legitimacy erosion; congressional backlash</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Simultaneous General License issuance mandatory at designation; materially reduces but does not eliminate over-compliance risk</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No rollback pathway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Target has no compliance incentive for partial concessions</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Graduated rollback sequencing with 75% benchmark threshold for partial relief [ANALYTIC-DEFAULT]</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Snapback without allied coordination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U.S. unilateral re-imposition creates arbitrage window; incoherent signal to target</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Snapback allied coordination protocol; secondary sanctions bridge authority during allied procedural gap</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Congressional surprise leading to mandatory sanctions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Mandatory authorities foreclose graduated approach; off-ramp authority lost</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Proactive congressional engagement as Phase 1 prerequisite; waiver authority preservation strategy (Part XI)</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Emergency exception normalization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Institutional pressure routinely bypasses Phase discipline; framework becomes decorative</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Post-action review mandatory; NSC framework review triggered by two consecutive emergency designations without genuine qualifying conditions</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Adversary compliance theater splitting coalition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Target performs visible inconsequential concessions to satisfy European allies while maintaining core prohibited activity</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Pre-defined verification mechanisms (not self-reporting); DNI confidence assessment on genuine vs. theatrical compliance at each review cycle</w:t>
            </w:r>
          </w:p>
        </w:tc>
      </w:tr>
      <w:tr>
        <w:trPr>
          <w:tblHeader w:val=""/>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Institutional incentive divergence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Treasury front-loads designations; DOE-Commerce conflicts create enforcement contradictions</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NSC Phase discipline enforcement mandate; Treasury lead coordinator for financing-enforcement conflicts</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XV: LIMITATIONS OF THE PUBLIC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ANALYTIC LIMITATIONS</w:t>
            </w:r>
          </w:p>
          <w:p>
            <w:pPr>
              <w:spacing w:before="0" w:after="60"/>
            </w:pPr>
            <w:r>
              <w:rPr>
                <w:rFonts w:ascii="Arial" w:cs="Arial" w:eastAsia="Arial" w:hAnsi="Arial"/>
                <w:sz w:val="20"/>
                <w:szCs w:val="20"/>
              </w:rPr>
              <w:t xml:space="preserve">This paper is based entirely on open-source, publicly available information. It does not incorporate classified assessments, proprietary financial intelligence, or internal agency deliberations.</w:t>
            </w:r>
          </w:p>
          <w:p>
            <w:pPr>
              <w:spacing w:before="0" w:after="60"/>
            </w:pPr>
            <w:r>
              <w:rPr>
                <w:rFonts w:ascii="Arial" w:cs="Arial" w:eastAsia="Arial" w:hAnsi="Arial"/>
                <w:sz w:val="20"/>
                <w:szCs w:val="20"/>
              </w:rPr>
              <w:t xml:space="preserve">Threshold labeling is applied throughout: [PRECEDENT] indicates thresholds derived from documented enforcement practice; [ANALYTIC-DEFAULT] indicates thresholds established as framework planning parameters through structured analysis, not empirically validated; [ILLUSTRATIVE] indicates thresholds offered as planning numbers requiring case-specific calibration before application. This labeling distinguishes between crisp operational thresholds and their evidentiary basis.</w:t>
            </w:r>
          </w:p>
          <w:p>
            <w:pPr>
              <w:spacing w:before="0" w:after="60"/>
            </w:pPr>
            <w:r>
              <w:rPr>
                <w:rFonts w:ascii="Arial" w:cs="Arial" w:eastAsia="Arial" w:hAnsi="Arial"/>
                <w:sz w:val="20"/>
                <w:szCs w:val="20"/>
              </w:rPr>
              <w:t xml:space="preserve">The institutional governance controls specified in this framework — including State Department veto authority, Deputies Committee Phase gates, and the emergency exception protocol — are governance design recommendations, not descriptions of current settled doctrine or established interagency operating procedure.</w:t>
            </w:r>
          </w:p>
          <w:p>
            <w:pPr>
              <w:spacing w:before="0" w:after="60"/>
            </w:pPr>
            <w:r>
              <w:rPr>
                <w:rFonts w:ascii="Arial" w:cs="Arial" w:eastAsia="Arial" w:hAnsi="Arial"/>
                <w:sz w:val="20"/>
                <w:szCs w:val="20"/>
              </w:rPr>
              <w:t xml:space="preserve">IEEPA judicial risk assessment is based on Supreme Court decisions through March 2026. The public record does not permit a firm conclusion on the outcome of any specific IEEPA challenge.</w:t>
            </w:r>
          </w:p>
          <w:p>
            <w:pPr>
              <w:spacing w:before="0" w:after="60"/>
            </w:pPr>
            <w:r>
              <w:rPr>
                <w:rFonts w:ascii="Arial" w:cs="Arial" w:eastAsia="Arial" w:hAnsi="Arial"/>
                <w:sz w:val="20"/>
                <w:szCs w:val="20"/>
              </w:rPr>
              <w:t xml:space="preserve">Intelligence collection capability assessments for Chinese and Russian alternative systems are derived from open-source reporting. Actual capability and utilization rates of CIPS, SPFS, and Chinese insurance alternatives are not fully established in the public record.</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Sources and Reference Basis</w:t>
      </w:r>
    </w:p>
    <w:p>
      <w:pPr>
        <w:pStyle w:val="Heading2"/>
        <w:spacing w:before="240" w:after="120"/>
      </w:pPr>
      <w:r>
        <w:rPr>
          <w:rFonts w:ascii="Arial" w:cs="Arial" w:eastAsia="Arial" w:hAnsi="Arial"/>
          <w:b/>
          <w:bCs/>
          <w:color w:val="1B2A4A"/>
          <w:sz w:val="24"/>
          <w:szCs w:val="24"/>
        </w:rPr>
        <w:t xml:space="preserve">Tier 1 Sources</w:t>
      </w:r>
    </w:p>
    <w:p>
      <w:pPr>
        <w:pStyle w:val="ListParagraph"/>
        <w:numPr>
          <w:ilvl w:val="0"/>
          <w:numId w:val="2"/>
        </w:numPr>
        <w:spacing w:before="40" w:after="40"/>
      </w:pPr>
      <w:r>
        <w:rPr>
          <w:rFonts w:ascii="Arial" w:cs="Arial" w:eastAsia="Arial" w:hAnsi="Arial"/>
          <w:sz w:val="22"/>
          <w:szCs w:val="22"/>
        </w:rPr>
        <w:t xml:space="preserve">ODNI Annual Threat Assessment 2025</w:t>
      </w:r>
    </w:p>
    <w:p>
      <w:pPr>
        <w:pStyle w:val="ListParagraph"/>
        <w:numPr>
          <w:ilvl w:val="0"/>
          <w:numId w:val="2"/>
        </w:numPr>
        <w:spacing w:before="40" w:after="40"/>
      </w:pPr>
      <w:r>
        <w:rPr>
          <w:rFonts w:ascii="Arial" w:cs="Arial" w:eastAsia="Arial" w:hAnsi="Arial"/>
          <w:sz w:val="22"/>
          <w:szCs w:val="22"/>
        </w:rPr>
        <w:t xml:space="preserve">OFAC SDN List and enforcement actions, October 22, 2025 (Rosneft, Lukoil designations)</w:t>
      </w:r>
    </w:p>
    <w:p>
      <w:pPr>
        <w:pStyle w:val="ListParagraph"/>
        <w:numPr>
          <w:ilvl w:val="0"/>
          <w:numId w:val="2"/>
        </w:numPr>
        <w:spacing w:before="40" w:after="40"/>
      </w:pPr>
      <w:r>
        <w:rPr>
          <w:rFonts w:ascii="Arial" w:cs="Arial" w:eastAsia="Arial" w:hAnsi="Arial"/>
          <w:sz w:val="22"/>
          <w:szCs w:val="22"/>
        </w:rPr>
        <w:t xml:space="preserve">EU Council Regulation 833/2014 as amended through 19th package, October 23, 2025</w:t>
      </w:r>
    </w:p>
    <w:p>
      <w:pPr>
        <w:pStyle w:val="ListParagraph"/>
        <w:numPr>
          <w:ilvl w:val="0"/>
          <w:numId w:val="2"/>
        </w:numPr>
        <w:spacing w:before="40" w:after="40"/>
      </w:pPr>
      <w:r>
        <w:rPr>
          <w:rFonts w:ascii="Arial" w:cs="Arial" w:eastAsia="Arial" w:hAnsi="Arial"/>
          <w:sz w:val="22"/>
          <w:szCs w:val="22"/>
        </w:rPr>
        <w:t xml:space="preserve">UNSCR 1718 (2006), 1874 (2009), 2094 (2013), 2270 (2016), 2321 (2016), 2356/2371/2375/2397 (2017)</w:t>
      </w:r>
    </w:p>
    <w:p>
      <w:pPr>
        <w:pStyle w:val="ListParagraph"/>
        <w:numPr>
          <w:ilvl w:val="0"/>
          <w:numId w:val="2"/>
        </w:numPr>
        <w:spacing w:before="40" w:after="40"/>
      </w:pPr>
      <w:r>
        <w:rPr>
          <w:rFonts w:ascii="Arial" w:cs="Arial" w:eastAsia="Arial" w:hAnsi="Arial"/>
          <w:sz w:val="22"/>
          <w:szCs w:val="22"/>
        </w:rPr>
        <w:t xml:space="preserve">UN Panel of Experts reports on DPRK sanctions implementation, 2022–2024</w:t>
      </w:r>
    </w:p>
    <w:p>
      <w:pPr>
        <w:pStyle w:val="ListParagraph"/>
        <w:numPr>
          <w:ilvl w:val="0"/>
          <w:numId w:val="2"/>
        </w:numPr>
        <w:spacing w:before="40" w:after="40"/>
      </w:pPr>
      <w:r>
        <w:rPr>
          <w:rFonts w:ascii="Arial" w:cs="Arial" w:eastAsia="Arial" w:hAnsi="Arial"/>
          <w:sz w:val="22"/>
          <w:szCs w:val="22"/>
        </w:rPr>
        <w:t xml:space="preserve">UN Human Rights Council Venezuela reports, 2020–2023</w:t>
      </w:r>
    </w:p>
    <w:p>
      <w:pPr>
        <w:pStyle w:val="ListParagraph"/>
        <w:numPr>
          <w:ilvl w:val="0"/>
          <w:numId w:val="2"/>
        </w:numPr>
        <w:spacing w:before="40" w:after="40"/>
      </w:pPr>
      <w:r>
        <w:rPr>
          <w:rFonts w:ascii="Arial" w:cs="Arial" w:eastAsia="Arial" w:hAnsi="Arial"/>
          <w:sz w:val="22"/>
          <w:szCs w:val="22"/>
        </w:rPr>
        <w:t xml:space="preserve">West Virginia v. EPA, 597 U.S. 697 (2022); Loper Bright Enterprises v. Raimondo, 603 U.S. 369 (2024)</w:t>
      </w:r>
    </w:p>
    <w:p>
      <w:pPr>
        <w:pStyle w:val="ListParagraph"/>
        <w:numPr>
          <w:ilvl w:val="0"/>
          <w:numId w:val="2"/>
        </w:numPr>
        <w:spacing w:before="40" w:after="40"/>
      </w:pPr>
      <w:r>
        <w:rPr>
          <w:rFonts w:ascii="Arial" w:cs="Arial" w:eastAsia="Arial" w:hAnsi="Arial"/>
          <w:sz w:val="22"/>
          <w:szCs w:val="22"/>
        </w:rPr>
        <w:t xml:space="preserve">IEEPA, 50 U.S.C. §§ 1701–1707; ECRA, 50 U.S.C. § 4801 et seq.; EAR, 15 C.F.R. § 730 et seq.</w:t>
      </w:r>
    </w:p>
    <w:p>
      <w:pPr>
        <w:pStyle w:val="ListParagraph"/>
        <w:numPr>
          <w:ilvl w:val="0"/>
          <w:numId w:val="2"/>
        </w:numPr>
        <w:spacing w:before="40" w:after="40"/>
      </w:pPr>
      <w:r>
        <w:rPr>
          <w:rFonts w:ascii="Arial" w:cs="Arial" w:eastAsia="Arial" w:hAnsi="Arial"/>
          <w:sz w:val="22"/>
          <w:szCs w:val="22"/>
        </w:rPr>
        <w:t xml:space="preserve">CAATSA, Public Law 115-44 (2017), §§ 231, 232; 18 U.S.C. §§ 2339A, 2339B; 18 U.S.C. § 981 et seq.</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Tier 2 Sources</w:t>
      </w:r>
    </w:p>
    <w:p>
      <w:pPr>
        <w:pStyle w:val="ListParagraph"/>
        <w:numPr>
          <w:ilvl w:val="0"/>
          <w:numId w:val="2"/>
        </w:numPr>
        <w:spacing w:before="40" w:after="40"/>
      </w:pPr>
      <w:r>
        <w:rPr>
          <w:rFonts w:ascii="Arial" w:cs="Arial" w:eastAsia="Arial" w:hAnsi="Arial"/>
          <w:sz w:val="22"/>
          <w:szCs w:val="22"/>
        </w:rPr>
        <w:t xml:space="preserve">Vortexa Ltd. — oil flow and shadow fleet tracking, March 2026 — contextual</w:t>
      </w:r>
    </w:p>
    <w:p>
      <w:pPr>
        <w:pStyle w:val="ListParagraph"/>
        <w:numPr>
          <w:ilvl w:val="0"/>
          <w:numId w:val="2"/>
        </w:numPr>
        <w:spacing w:before="40" w:after="40"/>
      </w:pPr>
      <w:r>
        <w:rPr>
          <w:rFonts w:ascii="Arial" w:cs="Arial" w:eastAsia="Arial" w:hAnsi="Arial"/>
          <w:sz w:val="22"/>
          <w:szCs w:val="22"/>
        </w:rPr>
        <w:t xml:space="preserve">SIA State of the U.S. Semiconductor Industry 2024</w:t>
      </w:r>
    </w:p>
    <w:p>
      <w:pPr>
        <w:pStyle w:val="ListParagraph"/>
        <w:numPr>
          <w:ilvl w:val="0"/>
          <w:numId w:val="2"/>
        </w:numPr>
        <w:spacing w:before="40" w:after="40"/>
      </w:pPr>
      <w:r>
        <w:rPr>
          <w:rFonts w:ascii="Arial" w:cs="Arial" w:eastAsia="Arial" w:hAnsi="Arial"/>
          <w:sz w:val="22"/>
          <w:szCs w:val="22"/>
        </w:rPr>
        <w:t xml:space="preserve">Atlantic Council — Venezuela energy sector, 2024; sanctions and allied coordination analysis</w:t>
      </w:r>
    </w:p>
    <w:p>
      <w:pPr>
        <w:pStyle w:val="ListParagraph"/>
        <w:numPr>
          <w:ilvl w:val="0"/>
          <w:numId w:val="2"/>
        </w:numPr>
        <w:spacing w:before="40" w:after="40"/>
      </w:pPr>
      <w:r>
        <w:rPr>
          <w:rFonts w:ascii="Arial" w:cs="Arial" w:eastAsia="Arial" w:hAnsi="Arial"/>
          <w:sz w:val="22"/>
          <w:szCs w:val="22"/>
        </w:rPr>
        <w:t xml:space="preserve">Carnegie Endowment for International Peace — Iran and DPRK sanctions analysis</w:t>
      </w:r>
    </w:p>
    <w:p>
      <w:pPr>
        <w:pStyle w:val="ListParagraph"/>
        <w:numPr>
          <w:ilvl w:val="0"/>
          <w:numId w:val="2"/>
        </w:numPr>
        <w:spacing w:before="40" w:after="40"/>
      </w:pPr>
      <w:r>
        <w:rPr>
          <w:rFonts w:ascii="Arial" w:cs="Arial" w:eastAsia="Arial" w:hAnsi="Arial"/>
          <w:sz w:val="22"/>
          <w:szCs w:val="22"/>
        </w:rPr>
        <w:t xml:space="preserve">RAND Corporation — coercive statecraft and sanctions effectiveness research</w:t>
      </w:r>
    </w:p>
    <w:p>
      <w:pPr>
        <w:pStyle w:val="ListParagraph"/>
        <w:numPr>
          <w:ilvl w:val="0"/>
          <w:numId w:val="2"/>
        </w:numPr>
        <w:spacing w:before="40" w:after="40"/>
      </w:pPr>
      <w:r>
        <w:rPr>
          <w:rFonts w:ascii="Arial" w:cs="Arial" w:eastAsia="Arial" w:hAnsi="Arial"/>
          <w:sz w:val="22"/>
          <w:szCs w:val="22"/>
        </w:rPr>
        <w:t xml:space="preserve">CSIS — sanctions enforcement and chokepoint analysis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Series Cross-References</w:t>
      </w:r>
    </w:p>
    <w:p>
      <w:pPr>
        <w:pStyle w:val="ListParagraph"/>
        <w:numPr>
          <w:ilvl w:val="0"/>
          <w:numId w:val="2"/>
        </w:numPr>
        <w:spacing w:before="40" w:after="40"/>
      </w:pPr>
      <w:r>
        <w:rPr>
          <w:rFonts w:ascii="Arial" w:cs="Arial" w:eastAsia="Arial" w:hAnsi="Arial"/>
          <w:sz w:val="22"/>
          <w:szCs w:val="22"/>
        </w:rPr>
        <w:t xml:space="preserve">ATTRIBUTION-01, NEXUS-01/CSE-01, PERSIST-01, CONTAIN-01, MAXPRESS-01, SHIELD-01, Russia-China Master Index v4, RESILIENCE-01</w:t>
      </w:r>
    </w:p>
    <w:p>
      <w:pPr>
        <w:spacing w:before="0" w:after="200"/>
      </w:pPr>
      <w:r>
        <w:t xml:space="preserve"/>
      </w:r>
    </w:p>
    <w:p>
      <w:pPr>
        <w:pBdr>
          <w:bottom w:val="single" w:color="1B2A4A" w:sz="12" w:space="1"/>
        </w:pBdr>
        <w:spacing w:before="0" w:after="120"/>
      </w:pPr>
    </w:p>
    <w:p>
      <w:pPr>
        <w:spacing w:before="80" w:after="80"/>
        <w:jc w:val="center"/>
      </w:pPr>
      <w:r>
        <w:rPr>
          <w:rFonts w:ascii="Arial" w:cs="Arial" w:eastAsia="Arial" w:hAnsi="Arial"/>
          <w:caps/>
          <w:color w:val="4A5568"/>
          <w:sz w:val="16"/>
          <w:szCs w:val="16"/>
        </w:rPr>
        <w:t xml:space="preserve">END OF DOCUMENT — ESCALATE-01 v3.0 — WP-2026 SERIES — MARCH 2026 — UNCLASSIFIED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8640"/>
      </w:tabs>
      <w:spacing w:before="60" w:after="0"/>
    </w:pPr>
    <w:r>
      <w:rPr>
        <w:rFonts w:ascii="Arial" w:cs="Arial" w:eastAsia="Arial" w:hAnsi="Arial"/>
        <w:color w:val="4A5568"/>
        <w:sz w:val="16"/>
        <w:szCs w:val="16"/>
      </w:rPr>
      <w:t xml:space="preserve">Center for Competitive Statecraft and Strategic Policy • Collin George • March 2026</w:t>
    </w:r>
    <w:r>
      <w:rPr>
        <w:rFonts w:ascii="Arial" w:cs="Arial" w:eastAsia="Arial" w:hAnsi="Arial"/>
        <w:sz w:val="16"/>
        <w:szCs w:val="16"/>
      </w:rPr>
      <w:t xml:space="preserve">	</w:t>
    </w:r>
    <w:r>
      <w:rPr>
        <w:rFonts w:ascii="Arial" w:cs="Arial" w:eastAsia="Arial" w:hAnsi="Arial"/>
        <w:color w:val="4A556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8640"/>
      </w:tabs>
      <w:spacing w:before="0" w:after="60"/>
    </w:pPr>
    <w:r>
      <w:rPr>
        <w:rFonts w:ascii="Arial" w:cs="Arial" w:eastAsia="Arial" w:hAnsi="Arial"/>
        <w:caps/>
        <w:color w:val="4A5568"/>
        <w:sz w:val="16"/>
        <w:szCs w:val="16"/>
      </w:rPr>
      <w:t xml:space="preserve">WP-2026 • ESCALATE-01</w:t>
    </w:r>
    <w:r>
      <w:rPr>
        <w:rFonts w:ascii="Arial" w:cs="Arial" w:eastAsia="Arial" w:hAnsi="Arial"/>
        <w:color w:val="4A5568"/>
        <w:sz w:val="16"/>
        <w:szCs w:val="16"/>
      </w:rPr>
      <w:t xml:space="preserve">   |   Non-Kinetic Escalation and Constraint Framework</w:t>
    </w:r>
    <w:r>
      <w:rPr>
        <w:rFonts w:ascii="Arial" w:cs="Arial" w:eastAsia="Arial" w:hAnsi="Arial"/>
        <w:sz w:val="16"/>
        <w:szCs w:val="16"/>
      </w:rPr>
      <w:t xml:space="preserve">	</w:t>
    </w:r>
    <w:r>
      <w:rPr>
        <w:rFonts w:ascii="Arial" w:cs="Arial" w:eastAsia="Arial" w:hAnsi="Arial"/>
        <w:caps/>
        <w:color w:val="4A5568"/>
        <w:sz w:val="16"/>
        <w:szCs w:val="16"/>
      </w:rPr>
      <w:t xml:space="preserve">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2026-03-25T16:19:32.743Z</dcterms:created>
  <dcterms:modified xsi:type="dcterms:W3CDTF">2026-03-25T16:19:32.744Z</dcterms:modified>
</cp:coreProperties>
</file>

<file path=docProps/custom.xml><?xml version="1.0" encoding="utf-8"?>
<Properties xmlns="http://schemas.openxmlformats.org/officeDocument/2006/custom-properties" xmlns:vt="http://schemas.openxmlformats.org/officeDocument/2006/docPropsVTypes"/>
</file>