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b/>
          <w:bCs/>
          <w:caps/>
          <w:color w:val="4A5568"/>
          <w:sz w:val="20"/>
          <w:szCs w:val="20"/>
        </w:rPr>
        <w:t xml:space="preserve">CENTER FOR COMPETITIVE STATECRAFT AND STRATEGIC POLICY</w:t>
      </w:r>
    </w:p>
    <w:p>
      <w:pPr>
        <w:spacing w:before="0" w:after="60"/>
      </w:pPr>
      <w:r>
        <w:rPr>
          <w:rFonts w:ascii="Arial" w:cs="Arial" w:eastAsia="Arial" w:hAnsi="Arial"/>
          <w:caps/>
          <w:color w:val="4A5568"/>
          <w:sz w:val="20"/>
          <w:szCs w:val="20"/>
        </w:rPr>
        <w:t xml:space="preserve">WP-2026 SERIES — RESILIENCE FOUNDATION LAYER</w:t>
      </w:r>
    </w:p>
    <w:p>
      <w:pPr>
        <w:pBdr>
          <w:bottom w:val="single" w:color="1B2A4A" w:sz="12" w:space="1"/>
        </w:pBdr>
        <w:spacing w:before="0" w:after="120"/>
      </w:pPr>
    </w:p>
    <w:p>
      <w:pPr>
        <w:spacing w:before="0" w:after="240"/>
      </w:pPr>
      <w:r>
        <w:t xml:space="preserve"/>
      </w:r>
    </w:p>
    <w:p>
      <w:pPr>
        <w:spacing w:before="0" w:after="120"/>
      </w:pPr>
      <w:r>
        <w:rPr>
          <w:rFonts w:ascii="Arial" w:cs="Arial" w:eastAsia="Arial" w:hAnsi="Arial"/>
          <w:b/>
          <w:bCs/>
          <w:color w:val="1B2A4A"/>
          <w:sz w:val="52"/>
          <w:szCs w:val="52"/>
        </w:rPr>
        <w:t xml:space="preserve">RESILIENCE-01</w:t>
      </w:r>
    </w:p>
    <w:p>
      <w:pPr>
        <w:spacing w:before="0" w:after="200"/>
      </w:pPr>
      <w:r>
        <w:rPr>
          <w:rFonts w:ascii="Arial" w:cs="Arial" w:eastAsia="Arial" w:hAnsi="Arial"/>
          <w:b/>
          <w:bCs/>
          <w:color w:val="1B2A4A"/>
          <w:sz w:val="36"/>
          <w:szCs w:val="36"/>
        </w:rPr>
        <w:t xml:space="preserve">National Technology Modernization and Industrial Resilience Strategy</w:t>
      </w:r>
    </w:p>
    <w:p>
      <w:pPr>
        <w:spacing w:before="0" w:after="320"/>
      </w:pPr>
      <w:r>
        <w:rPr>
          <w:rFonts w:ascii="Arial" w:cs="Arial" w:eastAsia="Arial" w:hAnsi="Arial"/>
          <w:color w:val="4A5568"/>
          <w:sz w:val="24"/>
          <w:szCs w:val="24"/>
        </w:rPr>
        <w:t xml:space="preserve">Domestic Capacity as the Prerequisite Layer for Credible Competitive Statecraft: Critical Minerals, Battery Manufacturing, Energy Systems, and Advanced Manufacturing (2026–2030)</w:t>
      </w:r>
    </w:p>
    <w:p>
      <w:pPr>
        <w:pBdr>
          <w:bottom w:val="single" w:color="1B2A4A" w:sz="12" w:space="1"/>
        </w:pBdr>
        <w:spacing w:before="0" w:after="120"/>
      </w:pP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color w:val="1B2A4A"/>
                <w:sz w:val="18"/>
                <w:szCs w:val="18"/>
              </w:rPr>
              <w:t xml:space="preserve">Author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Collin George</w:t>
            </w:r>
          </w:p>
        </w:tc>
      </w:tr>
      <w:tr>
        <w:tc>
          <w:tcPr>
            <w:tcW w:type="dxa" w:w="2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color w:val="1B2A4A"/>
                <w:sz w:val="18"/>
                <w:szCs w:val="18"/>
              </w:rPr>
              <w:t xml:space="preserve">Series Position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RESILIENCE-01 — Resilience Foundation Layer</w:t>
            </w:r>
          </w:p>
        </w:tc>
      </w:tr>
      <w:tr>
        <w:tc>
          <w:tcPr>
            <w:tcW w:type="dxa" w:w="2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color w:val="1B2A4A"/>
                <w:sz w:val="18"/>
                <w:szCs w:val="18"/>
              </w:rPr>
              <w:t xml:space="preserve">Version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8.0 — March 2026</w:t>
            </w:r>
          </w:p>
        </w:tc>
      </w:tr>
      <w:tr>
        <w:tc>
          <w:tcPr>
            <w:tcW w:type="dxa" w:w="2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color w:val="1B2A4A"/>
                <w:sz w:val="18"/>
                <w:szCs w:val="18"/>
              </w:rPr>
              <w:t xml:space="preserve">Classification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UNCLASSIFIED // OPEN SOURCE // INDEPENDENT POLICY RESEARCH</w:t>
            </w:r>
          </w:p>
        </w:tc>
      </w:tr>
      <w:tr>
        <w:tc>
          <w:tcPr>
            <w:tcW w:type="dxa" w:w="2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color w:val="1B2A4A"/>
                <w:sz w:val="18"/>
                <w:szCs w:val="18"/>
              </w:rPr>
              <w:t xml:space="preserve">Upstream</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PERSIST-01 (Pillar V) · CONTAIN-01 (SPAD) · ESCALATE-01 (Substitution Matrix)</w:t>
            </w:r>
          </w:p>
        </w:tc>
      </w:tr>
      <w:tr>
        <w:tc>
          <w:tcPr>
            <w:tcW w:type="dxa" w:w="2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color w:val="1B2A4A"/>
                <w:sz w:val="18"/>
                <w:szCs w:val="18"/>
              </w:rPr>
              <w:t xml:space="preserve">Reads Into</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ESCALATE-01 · SHIELD-01 · TARIFF-01 · All technology-denial enforcement papers</w:t>
            </w:r>
          </w:p>
        </w:tc>
      </w:tr>
      <w:tr>
        <w:tc>
          <w:tcPr>
            <w:tcW w:type="dxa" w:w="2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color w:val="1B2A4A"/>
                <w:sz w:val="18"/>
                <w:szCs w:val="18"/>
              </w:rPr>
              <w:t xml:space="preserve">Analytic Scope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2026–2030 implementation horizon; 2026–2035 for energy systems</w:t>
            </w:r>
          </w:p>
        </w:tc>
      </w:tr>
      <w:tr>
        <w:tc>
          <w:tcPr>
            <w:tcW w:type="dxa" w:w="2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color w:val="1B2A4A"/>
                <w:sz w:val="18"/>
                <w:szCs w:val="18"/>
              </w:rPr>
              <w:t xml:space="preserve">Repository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github.com/collingeorge/WP-2026</w:t>
            </w:r>
          </w:p>
        </w:tc>
      </w:tr>
      <w:tr>
        <w:tc>
          <w:tcPr>
            <w:tcW w:type="dxa" w:w="2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color w:val="1B2A4A"/>
                <w:sz w:val="18"/>
                <w:szCs w:val="18"/>
              </w:rPr>
              <w:t xml:space="preserve">Contact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collin.george@protonmail.com</w:t>
            </w:r>
          </w:p>
        </w:tc>
      </w:tr>
    </w:tbl>
    <w:p>
      <w:pPr>
        <w:spacing w:before="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A4000" w:sz="16"/>
              <w:bottom w:val="none" w:color="FFFFFF" w:sz="0"/>
              <w:right w:val="none" w:color="FFFFFF" w:sz="0"/>
            </w:tcBorders>
            <w:shd w:fill="FEF3E2" w:val="clear"/>
            <w:tcMar>
              <w:top w:type="dxa" w:w="120"/>
              <w:left w:type="dxa" w:w="160"/>
              <w:bottom w:type="dxa" w:w="120"/>
              <w:right w:type="dxa" w:w="120"/>
            </w:tcMar>
          </w:tcPr>
          <w:p>
            <w:pPr>
              <w:spacing w:before="0" w:after="80"/>
            </w:pPr>
            <w:r>
              <w:rPr>
                <w:rFonts w:ascii="Arial" w:cs="Arial" w:eastAsia="Arial" w:hAnsi="Arial"/>
                <w:b/>
                <w:bCs/>
                <w:caps/>
                <w:color w:val="7A4000"/>
                <w:sz w:val="20"/>
                <w:szCs w:val="20"/>
              </w:rPr>
              <w:t xml:space="preserve">NOTICE</w:t>
            </w:r>
          </w:p>
          <w:p>
            <w:pPr>
              <w:spacing w:before="0" w:after="60"/>
            </w:pPr>
            <w:r>
              <w:rPr>
                <w:rFonts w:ascii="Arial" w:cs="Arial" w:eastAsia="Arial" w:hAnsi="Arial"/>
                <w:sz w:val="20"/>
                <w:szCs w:val="20"/>
              </w:rPr>
              <w:t xml:space="preserve">This document is an independent policy analysis produced by the author in a personal capacity. Nothing in this paper reflects the views or positions of the University of Washington, UW Medical Center, or any other institution. All analysis is based entirely on open-source, publicly available information.</w:t>
            </w:r>
          </w:p>
          <w:p>
            <w:pPr>
              <w:spacing w:before="0" w:after="60"/>
            </w:pPr>
            <w:r>
              <w:rPr>
                <w:rFonts w:ascii="Arial" w:cs="Arial" w:eastAsia="Arial" w:hAnsi="Arial"/>
                <w:sz w:val="20"/>
                <w:szCs w:val="20"/>
              </w:rPr>
              <w:t xml:space="preserve">This paper models how a domestic industrial resilience strategy could be structured within existing U.S. institutional frameworks. It does not prescribe a specific legislative program and should not be interpreted as an endorsement, directive, or statement of coordination with any government entity.</w:t>
            </w:r>
          </w:p>
        </w:tc>
      </w:tr>
    </w:tbl>
    <w:p>
      <w:pPr>
        <w:spacing w:before="0" w:after="160"/>
      </w:pPr>
      <w:r>
        <w:t xml:space="preserve"/>
      </w:r>
    </w:p>
    <w:p>
      <w:r>
        <w:br w:type="page"/>
      </w:r>
    </w:p>
    <w:p>
      <w:pPr>
        <w:pStyle w:val="Heading1"/>
        <w:spacing w:before="320" w:after="160"/>
      </w:pPr>
      <w:r>
        <w:rPr>
          <w:rFonts w:ascii="Arial" w:cs="Arial" w:eastAsia="Arial" w:hAnsi="Arial"/>
          <w:b/>
          <w:bCs/>
          <w:color w:val="1B2A4A"/>
          <w:sz w:val="30"/>
          <w:szCs w:val="30"/>
        </w:rPr>
        <w:t xml:space="preserve">Series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2A4A" w:sz="16"/>
              <w:bottom w:val="none" w:color="FFFFFF" w:sz="0"/>
              <w:right w:val="none" w:color="FFFFFF" w:sz="0"/>
            </w:tcBorders>
            <w:shd w:fill="E8EDF5" w:val="clear"/>
            <w:tcMar>
              <w:top w:type="dxa" w:w="120"/>
              <w:left w:type="dxa" w:w="160"/>
              <w:bottom w:type="dxa" w:w="120"/>
              <w:right w:type="dxa" w:w="120"/>
            </w:tcMar>
          </w:tcPr>
          <w:p>
            <w:pPr>
              <w:spacing w:before="0" w:after="80"/>
            </w:pPr>
            <w:r>
              <w:rPr>
                <w:rFonts w:ascii="Arial" w:cs="Arial" w:eastAsia="Arial" w:hAnsi="Arial"/>
                <w:b/>
                <w:bCs/>
                <w:caps/>
                <w:color w:val="1B2A4A"/>
                <w:sz w:val="20"/>
                <w:szCs w:val="20"/>
              </w:rPr>
              <w:t xml:space="preserve">INDEPENDENT ASSESSMENT — RESILIENCE-01 OVERALL JUDGMENT</w:t>
            </w:r>
          </w:p>
          <w:p>
            <w:pPr>
              <w:spacing w:before="0" w:after="60"/>
            </w:pPr>
            <w:r>
              <w:rPr>
                <w:rFonts w:ascii="Arial" w:cs="Arial" w:eastAsia="Arial" w:hAnsi="Arial"/>
                <w:sz w:val="20"/>
                <w:szCs w:val="20"/>
              </w:rPr>
              <w:t xml:space="preserve">This is a strong strategic policy manuscript. It reads as serious institutional analysis, not a student essay. The document correctly distinguishes resilience from enforcement, maintains the domestic-capacity-as-enforcement-prerequisite thesis consistently, and avoids industrial-policy sloganism by returning repeatedly to throughput, OEE, yield, permitting timelines, and dependency reduction as the operative metrics.</w:t>
            </w:r>
          </w:p>
          <w:p>
            <w:pPr>
              <w:spacing w:before="0" w:after="60"/>
            </w:pPr>
            <w:r>
              <w:rPr>
                <w:rFonts w:ascii="Arial" w:cs="Arial" w:eastAsia="Arial" w:hAnsi="Arial"/>
                <w:sz w:val="20"/>
                <w:szCs w:val="20"/>
              </w:rPr>
              <w:t xml:space="preserve">Assessment grade: A- currently with a credible path to A / elite-tier after one serious revision pass. The paper is stronger on institutional design than on adversarial hardening.</w:t>
            </w:r>
          </w:p>
          <w:p>
            <w:pPr>
              <w:spacing w:before="0" w:after="60"/>
            </w:pPr>
            <w:r>
              <w:rPr>
                <w:rFonts w:ascii="Arial" w:cs="Arial" w:eastAsia="Arial" w:hAnsi="Arial"/>
                <w:sz w:val="20"/>
                <w:szCs w:val="20"/>
              </w:rPr>
              <w:t xml:space="preserve">Key strengths: controlled scope; disciplined series integration; explicit boundary-setting; implementation architecture; anti-hype language throughout; and series integration that is intelligent rather than decorative. The departmental division in the implementation framework shows execution occurs through existing authorities and institutional constraints, not abstract national will.</w:t>
            </w:r>
          </w:p>
          <w:p>
            <w:pPr>
              <w:spacing w:before="0" w:after="60"/>
            </w:pPr>
            <w:r>
              <w:rPr>
                <w:rFonts w:ascii="Arial" w:cs="Arial" w:eastAsia="Arial" w:hAnsi="Arial"/>
                <w:sz w:val="20"/>
                <w:szCs w:val="20"/>
              </w:rPr>
              <w:t xml:space="preserve">Key remaining vulnerabilities: the paper under-prices the political economy of failure at the execution layer; allied-complementary is correct but treated as a stabilizing assumption rather than a conditional variable; the energy section covers the widest terrain and is broadest relative to the document’s otherwise disciplined architecture; and explicit prioritization under resource constraints was absent.</w:t>
            </w:r>
          </w:p>
          <w:p>
            <w:pPr>
              <w:spacing w:before="0" w:after="60"/>
            </w:pPr>
            <w:r>
              <w:rPr>
                <w:rFonts w:ascii="Arial" w:cs="Arial" w:eastAsia="Arial" w:hAnsi="Arial"/>
                <w:sz w:val="20"/>
                <w:szCs w:val="20"/>
              </w:rPr>
              <w:t xml:space="preserve">What keeps it from full top-tier status: insufficient forced prioritization; insufficient political-economy hardening; insufficient conversion of implementation friction into decision thresholds. All incorporated in this version: Priority Discipline Under Resource Constraints (Part VIII); decision thresholds for each domain; allied dependency tolerance matrix; energy section narrowed to industrial continuity thesis; Political Durability and Domestic Coalition Risk (Part XI).</w:t>
            </w:r>
          </w:p>
        </w:tc>
      </w:tr>
    </w:tbl>
    <w:p>
      <w:pPr>
        <w:spacing w:before="0" w:after="160"/>
      </w:pPr>
      <w:r>
        <w:t xml:space="preserve"/>
      </w:r>
    </w:p>
    <w:p>
      <w:r>
        <w:br w:type="page"/>
      </w:r>
    </w:p>
    <w:p>
      <w:pPr>
        <w:pStyle w:val="Heading1"/>
        <w:spacing w:before="320" w:after="160"/>
      </w:pPr>
      <w:r>
        <w:rPr>
          <w:rFonts w:ascii="Arial" w:cs="Arial" w:eastAsia="Arial" w:hAnsi="Arial"/>
          <w:b/>
          <w:bCs/>
          <w:color w:val="1B2A4A"/>
          <w:sz w:val="30"/>
          <w:szCs w:val="30"/>
        </w:rPr>
        <w:t xml:space="preserve">Methodological Note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2A4A" w:sz="16"/>
              <w:bottom w:val="none" w:color="FFFFFF" w:sz="0"/>
              <w:right w:val="none" w:color="FFFFFF" w:sz="0"/>
            </w:tcBorders>
            <w:shd w:fill="E8EDF5" w:val="clear"/>
            <w:tcMar>
              <w:top w:type="dxa" w:w="120"/>
              <w:left w:type="dxa" w:w="160"/>
              <w:bottom w:type="dxa" w:w="120"/>
              <w:right w:type="dxa" w:w="120"/>
            </w:tcMar>
          </w:tcPr>
          <w:p>
            <w:pPr>
              <w:spacing w:before="0" w:after="80"/>
            </w:pPr>
            <w:r>
              <w:rPr>
                <w:rFonts w:ascii="Arial" w:cs="Arial" w:eastAsia="Arial" w:hAnsi="Arial"/>
                <w:b/>
                <w:bCs/>
                <w:caps/>
                <w:color w:val="1B2A4A"/>
                <w:sz w:val="20"/>
                <w:szCs w:val="20"/>
              </w:rPr>
              <w:t xml:space="preserve">ANALYTIC POSTURE AND SERIES PLACEMENT</w:t>
            </w:r>
          </w:p>
          <w:p>
            <w:pPr>
              <w:spacing w:before="0" w:after="60"/>
            </w:pPr>
            <w:r>
              <w:rPr>
                <w:rFonts w:ascii="Arial" w:cs="Arial" w:eastAsia="Arial" w:hAnsi="Arial"/>
                <w:sz w:val="20"/>
                <w:szCs w:val="20"/>
              </w:rPr>
              <w:t xml:space="preserve">RESILIENCE-01 occupies the resilience foundation layer of the WP-2026 series. It provides the domestic capacity architecture that PERSIST-01’s Pillar V requires, that CONTAIN-01’s SPAD component depends on, and that ESCALATE-01’s substitution vulnerability matrix identifies as a structural prerequisite for maximum chokepoint enforcement effectiveness.</w:t>
            </w:r>
          </w:p>
          <w:p>
            <w:pPr>
              <w:spacing w:before="0" w:after="60"/>
            </w:pPr>
            <w:r>
              <w:rPr>
                <w:rFonts w:ascii="Arial" w:cs="Arial" w:eastAsia="Arial" w:hAnsi="Arial"/>
                <w:sz w:val="20"/>
                <w:szCs w:val="20"/>
              </w:rPr>
              <w:t xml:space="preserve">This paper does not apply the WP-2026 enforcement tradecraft framework. It addresses whether the United States retains sufficient industrial and technological capacity to make enforcement-layer strategies credible and sustainable over multi-year campaigns.</w:t>
            </w:r>
          </w:p>
          <w:p>
            <w:pPr>
              <w:spacing w:before="0" w:after="60"/>
            </w:pPr>
            <w:r>
              <w:rPr>
                <w:rFonts w:ascii="Arial" w:cs="Arial" w:eastAsia="Arial" w:hAnsi="Arial"/>
                <w:sz w:val="20"/>
                <w:szCs w:val="20"/>
              </w:rPr>
              <w:t xml:space="preserve">All capacity figures, concentration estimates, and dependency metrics are drawn from Tier 1 and Tier 2 sources as cited. For citations where underlying data has materially changed since original publication, the most current available sourcing is used and vintage is explicitly identified.</w:t>
            </w:r>
          </w:p>
          <w:p>
            <w:pPr>
              <w:spacing w:before="0" w:after="60"/>
            </w:pPr>
            <w:r>
              <w:rPr>
                <w:rFonts w:ascii="Arial" w:cs="Arial" w:eastAsia="Arial" w:hAnsi="Arial"/>
                <w:sz w:val="20"/>
                <w:szCs w:val="20"/>
              </w:rPr>
              <w:t xml:space="preserve">Threshold instability caveat: quantitative thresholds presented in this document — adequacy percentages, resilience day-counts, reserve margin floors — should be interpreted as planning anchors, not decision predictors. Real-world industrial strategy outcomes vary substantively based on political context, allied cooperation levels, commodity price environments, and adversary countermeasure timing. These thresholds do not behave deterministically; they are analytically inferred reference points derived from a messy, politically contingent history in which the same threshold value has produced different strategic outcomes in different administrations and market conditions.</w:t>
            </w:r>
          </w:p>
          <w:p>
            <w:pPr>
              <w:spacing w:before="0" w:after="60"/>
            </w:pPr>
            <w:r>
              <w:rPr>
                <w:rFonts w:ascii="Arial" w:cs="Arial" w:eastAsia="Arial" w:hAnsi="Arial"/>
                <w:sz w:val="20"/>
                <w:szCs w:val="20"/>
              </w:rPr>
              <w:t xml:space="preserve">Ideal vs. real-world divergence: this framework represents an idealized coordination model. It describes how a disciplined, phased, allied-integrated industrial resilience strategy should be designed and governed. Real-world implementation is systematically degraded under political fragmentation, funding discontinuity, institutional incentive divergence, and adversary countermeasure pressure. The framework is not presented as a description of how U.S. agencies currently coordinate; it is a constrained design model against which actual behavior can be measured and toward which institutional design should aspire.</w:t>
            </w:r>
          </w:p>
          <w:p>
            <w:pPr>
              <w:spacing w:before="0" w:after="60"/>
            </w:pPr>
            <w:r>
              <w:rPr>
                <w:rFonts w:ascii="Arial" w:cs="Arial" w:eastAsia="Arial" w:hAnsi="Arial"/>
                <w:sz w:val="20"/>
                <w:szCs w:val="20"/>
              </w:rPr>
              <w:t xml:space="preserve">Multi-factor causality: industrial strategy outcomes are jointly determined by investment levels, workforce pipeline depth, allied cooperation quality, enabling legislation durability, permitting timelines, and adversary countermeasure intensity. No single input determines the outcome. A high-investment, low-workforce-pipeline strategy will underdeliver. A well-coordinated allied strategy that faces PRC countermeasures before reaching adequacy thresholds may still fail to achieve enforcement credibility. The framework’s integrated portfolio approach reflects this joint determination rather than treating public investment as the sole operative variable.</w:t>
            </w:r>
          </w:p>
          <w:p>
            <w:pPr>
              <w:spacing w:before="0" w:after="60"/>
            </w:pPr>
            <w:r>
              <w:rPr>
                <w:rFonts w:ascii="Arial" w:cs="Arial" w:eastAsia="Arial" w:hAnsi="Arial"/>
                <w:sz w:val="20"/>
                <w:szCs w:val="20"/>
              </w:rPr>
              <w:t xml:space="preserve">Documented/modeled boundary convention: sections describing current vulnerabilities are grounded in documented open-source reporting. Sections describing 2026–2030 implementation pathways are modeling exercises, explicitly identified as such.</w:t>
            </w:r>
          </w:p>
          <w:p>
            <w:pPr>
              <w:spacing w:before="0" w:after="60"/>
            </w:pPr>
            <w:r>
              <w:rPr>
                <w:rFonts w:ascii="Arial" w:cs="Arial" w:eastAsia="Arial" w:hAnsi="Arial"/>
                <w:sz w:val="20"/>
                <w:szCs w:val="20"/>
              </w:rPr>
              <w:t xml:space="preserve">CHIPS Act and IRA authority note: this framework cites CHIPS and Science Act (Public Law 117-167) and IRA (Public Law 117-169) as primary enabling authorities. The political durability of these authorities across administration transitions is addressed in Part VII as a material implementation constraint, not treated as a fixed input.</w:t>
            </w:r>
          </w:p>
          <w:p>
            <w:pPr>
              <w:spacing w:before="0" w:after="60"/>
            </w:pPr>
            <w:r>
              <w:rPr>
                <w:rFonts w:ascii="Arial" w:cs="Arial" w:eastAsia="Arial" w:hAnsi="Arial"/>
                <w:sz w:val="20"/>
                <w:szCs w:val="20"/>
              </w:rPr>
              <w:t xml:space="preserve">Adversary countermeasure analysis (Part X) is scenario-conditioned. Allied coordination is treated as a conditional variable throughout, not a stabilizing assumption.</w:t>
            </w:r>
          </w:p>
        </w:tc>
      </w:tr>
    </w:tbl>
    <w:p>
      <w:pPr>
        <w:spacing w:before="0" w:after="120"/>
      </w:pPr>
      <w:r>
        <w:t xml:space="preserve"/>
      </w:r>
    </w:p>
    <w:p>
      <w:pPr>
        <w:pStyle w:val="Heading1"/>
        <w:spacing w:before="320" w:after="160"/>
      </w:pPr>
      <w:r>
        <w:rPr>
          <w:rFonts w:ascii="Arial" w:cs="Arial" w:eastAsia="Arial" w:hAnsi="Arial"/>
          <w:b/>
          <w:bCs/>
          <w:color w:val="1B2A4A"/>
          <w:sz w:val="30"/>
          <w:szCs w:val="30"/>
        </w:rPr>
        <w:t xml:space="preserve">Key Judgments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B2A4A"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1</w:t>
            </w:r>
          </w:p>
        </w:tc>
        <w:tc>
          <w:tcPr>
            <w:tcW w:type="dxa" w:w="8560"/>
            <w:tcBorders>
              <w:top w:val="none" w:color="FFFFFF" w:sz="0"/>
              <w:left w:val="single" w:color="1B2A4A" w:sz="1"/>
              <w:bottom w:val="none" w:color="FFFFFF" w:sz="0"/>
              <w:right w:val="none" w:color="FFFFFF" w:sz="0"/>
            </w:tcBorders>
            <w:shd w:fill="E8EDF5" w:val="clear"/>
            <w:tcMar>
              <w:top w:type="dxa" w:w="120"/>
              <w:left w:type="dxa" w:w="160"/>
              <w:bottom w:type="dxa" w:w="120"/>
              <w:right w:type="dxa" w:w="120"/>
            </w:tcMar>
          </w:tcPr>
          <w:p>
            <w:pPr>
              <w:spacing w:before="0" w:after="60"/>
            </w:pPr>
            <w:r>
              <w:rPr>
                <w:rFonts w:ascii="Arial" w:cs="Arial" w:eastAsia="Arial" w:hAnsi="Arial"/>
                <w:b/>
                <w:bCs/>
                <w:caps/>
                <w:color w:val="8B6914"/>
                <w:sz w:val="18"/>
                <w:szCs w:val="18"/>
              </w:rPr>
              <w:t xml:space="preserve">High Confidence · Documented</w:t>
            </w:r>
          </w:p>
          <w:p>
            <w:pPr>
              <w:spacing w:before="0" w:after="0"/>
            </w:pPr>
            <w:r>
              <w:rPr>
                <w:rFonts w:ascii="Arial" w:cs="Arial" w:eastAsia="Arial" w:hAnsi="Arial"/>
                <w:sz w:val="22"/>
                <w:szCs w:val="22"/>
              </w:rPr>
              <w:t xml:space="preserve">The U.S. industrial base exhibits structural dependencies in critical minerals processing and refining, battery cell manufacturing, and advanced semiconductor fabrication that constrain the credibility and sustainability of export control and technology-denial enforcement strategies; the U.S. share of global semiconductor fabrication has declined from approximately 37% in 1990 to approximately 10–12% as of 2023, with recent CHIPS Act investments beginning to shift the trajectory but not yet having materially altered the structural dependency profile. [TIER 1 — USGS Mineral Commodity Summaries 2025; TIER 2 — SIA State of the U.S. Semiconductor Industry 2024]</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B2A4A"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2</w:t>
            </w:r>
          </w:p>
        </w:tc>
        <w:tc>
          <w:tcPr>
            <w:tcW w:type="dxa" w:w="8560"/>
            <w:tcBorders>
              <w:top w:val="none" w:color="FFFFFF" w:sz="0"/>
              <w:left w:val="single" w:color="1B2A4A" w:sz="1"/>
              <w:bottom w:val="none" w:color="FFFFFF" w:sz="0"/>
              <w:right w:val="none" w:color="FFFFFF" w:sz="0"/>
            </w:tcBorders>
            <w:shd w:fill="E8EDF5" w:val="clear"/>
            <w:tcMar>
              <w:top w:type="dxa" w:w="120"/>
              <w:left w:type="dxa" w:w="160"/>
              <w:bottom w:type="dxa" w:w="120"/>
              <w:right w:type="dxa" w:w="120"/>
            </w:tcMar>
          </w:tcPr>
          <w:p>
            <w:pPr>
              <w:spacing w:before="0" w:after="60"/>
            </w:pPr>
            <w:r>
              <w:rPr>
                <w:rFonts w:ascii="Arial" w:cs="Arial" w:eastAsia="Arial" w:hAnsi="Arial"/>
                <w:b/>
                <w:bCs/>
                <w:caps/>
                <w:color w:val="8B6914"/>
                <w:sz w:val="18"/>
                <w:szCs w:val="18"/>
              </w:rPr>
              <w:t xml:space="preserve">Moderate Confidence · Analytically Inferred</w:t>
            </w:r>
          </w:p>
          <w:p>
            <w:pPr>
              <w:spacing w:before="0" w:after="0"/>
            </w:pPr>
            <w:r>
              <w:rPr>
                <w:rFonts w:ascii="Arial" w:cs="Arial" w:eastAsia="Arial" w:hAnsi="Arial"/>
                <w:sz w:val="22"/>
                <w:szCs w:val="22"/>
              </w:rPr>
              <w:t xml:space="preserve">The binding constraint on U.S. industrial resilience in priority domains is not geological resource availability or capital availability but midstream processing capacity (critical minerals), manufacturing throughput discipline (batteries), licensing and construction timelines (advanced nuclear), and workforce pipeline depth (all domains); public investment that addresses announced nameplate capacity without closing these structural bottlenecks is likely to underdeliver on dependency reduction objectives.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B2A4A"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3</w:t>
            </w:r>
          </w:p>
        </w:tc>
        <w:tc>
          <w:tcPr>
            <w:tcW w:type="dxa" w:w="8560"/>
            <w:tcBorders>
              <w:top w:val="none" w:color="FFFFFF" w:sz="0"/>
              <w:left w:val="single" w:color="1B2A4A" w:sz="1"/>
              <w:bottom w:val="none" w:color="FFFFFF" w:sz="0"/>
              <w:right w:val="none" w:color="FFFFFF" w:sz="0"/>
            </w:tcBorders>
            <w:shd w:fill="E8EDF5" w:val="clear"/>
            <w:tcMar>
              <w:top w:type="dxa" w:w="120"/>
              <w:left w:type="dxa" w:w="160"/>
              <w:bottom w:type="dxa" w:w="120"/>
              <w:right w:type="dxa" w:w="120"/>
            </w:tcMar>
          </w:tcPr>
          <w:p>
            <w:pPr>
              <w:spacing w:before="0" w:after="60"/>
            </w:pPr>
            <w:r>
              <w:rPr>
                <w:rFonts w:ascii="Arial" w:cs="Arial" w:eastAsia="Arial" w:hAnsi="Arial"/>
                <w:b/>
                <w:bCs/>
                <w:caps/>
                <w:color w:val="8B6914"/>
                <w:sz w:val="18"/>
                <w:szCs w:val="18"/>
              </w:rPr>
              <w:t xml:space="preserve">Moderate-High Confidence · Documented</w:t>
            </w:r>
          </w:p>
          <w:p>
            <w:pPr>
              <w:spacing w:before="0" w:after="0"/>
            </w:pPr>
            <w:r>
              <w:rPr>
                <w:rFonts w:ascii="Arial" w:cs="Arial" w:eastAsia="Arial" w:hAnsi="Arial"/>
                <w:sz w:val="22"/>
                <w:szCs w:val="22"/>
              </w:rPr>
              <w:t xml:space="preserve">FDPR enforcement against advanced semiconductor fabrication is one contributor to near-total denial effectiveness for sub-10nm nodes, given the assessed absence of credible Chinese domestic alternatives; this chokepoint’s enforceability is materially affected by the sustainability of allied coordination with Japan, the Netherlands, and South Korea, which in turn is improved when allied supply security for non-sanctioned applications is not materially degraded by U.S. domestic production shortfalls during enforcement campaigns. [TIER 1 — BIS FDPR assessments 2023–2025; TIER 2 — SIA 2024]</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B2A4A"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4</w:t>
            </w:r>
          </w:p>
        </w:tc>
        <w:tc>
          <w:tcPr>
            <w:tcW w:type="dxa" w:w="8560"/>
            <w:tcBorders>
              <w:top w:val="none" w:color="FFFFFF" w:sz="0"/>
              <w:left w:val="single" w:color="1B2A4A" w:sz="1"/>
              <w:bottom w:val="none" w:color="FFFFFF" w:sz="0"/>
              <w:right w:val="none" w:color="FFFFFF" w:sz="0"/>
            </w:tcBorders>
            <w:shd w:fill="E8EDF5" w:val="clear"/>
            <w:tcMar>
              <w:top w:type="dxa" w:w="120"/>
              <w:left w:type="dxa" w:w="160"/>
              <w:bottom w:type="dxa" w:w="120"/>
              <w:right w:type="dxa" w:w="120"/>
            </w:tcMar>
          </w:tcPr>
          <w:p>
            <w:pPr>
              <w:spacing w:before="0" w:after="60"/>
            </w:pPr>
            <w:r>
              <w:rPr>
                <w:rFonts w:ascii="Arial" w:cs="Arial" w:eastAsia="Arial" w:hAnsi="Arial"/>
                <w:b/>
                <w:bCs/>
                <w:caps/>
                <w:color w:val="8B6914"/>
                <w:sz w:val="18"/>
                <w:szCs w:val="18"/>
              </w:rPr>
              <w:t xml:space="preserve">Moderate Confidence · Analytically Inferred</w:t>
            </w:r>
          </w:p>
          <w:p>
            <w:pPr>
              <w:spacing w:before="0" w:after="0"/>
            </w:pPr>
            <w:r>
              <w:rPr>
                <w:rFonts w:ascii="Arial" w:cs="Arial" w:eastAsia="Arial" w:hAnsi="Arial"/>
                <w:sz w:val="22"/>
                <w:szCs w:val="22"/>
              </w:rPr>
              <w:t xml:space="preserve">A strategy that targets durability rather than dominance — sufficient domestic and allied capacity to prevent systemic chokepoint vulnerability, not comprehensive reshoring or cost parity across all categories — is more likely to achieve implementation sustainability across administration transitions than strategies that overpromise; sufficiency thresholds at which domestic capacity becomes coalition-credible for priority domains are defined in Part IX.</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B2A4A"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5</w:t>
            </w:r>
          </w:p>
        </w:tc>
        <w:tc>
          <w:tcPr>
            <w:tcW w:type="dxa" w:w="8560"/>
            <w:tcBorders>
              <w:top w:val="none" w:color="FFFFFF" w:sz="0"/>
              <w:left w:val="single" w:color="1B2A4A" w:sz="1"/>
              <w:bottom w:val="none" w:color="FFFFFF" w:sz="0"/>
              <w:right w:val="none" w:color="FFFFFF" w:sz="0"/>
            </w:tcBorders>
            <w:shd w:fill="E8EDF5" w:val="clear"/>
            <w:tcMar>
              <w:top w:type="dxa" w:w="120"/>
              <w:left w:type="dxa" w:w="160"/>
              <w:bottom w:type="dxa" w:w="120"/>
              <w:right w:type="dxa" w:w="120"/>
            </w:tcMar>
          </w:tcPr>
          <w:p>
            <w:pPr>
              <w:spacing w:before="0" w:after="60"/>
            </w:pPr>
            <w:r>
              <w:rPr>
                <w:rFonts w:ascii="Arial" w:cs="Arial" w:eastAsia="Arial" w:hAnsi="Arial"/>
                <w:b/>
                <w:bCs/>
                <w:caps/>
                <w:color w:val="8B6914"/>
                <w:sz w:val="18"/>
                <w:szCs w:val="18"/>
              </w:rPr>
              <w:t xml:space="preserve">Moderate Confidence · Analytically Inferred</w:t>
            </w:r>
          </w:p>
          <w:p>
            <w:pPr>
              <w:spacing w:before="0" w:after="0"/>
            </w:pPr>
            <w:r>
              <w:rPr>
                <w:rFonts w:ascii="Arial" w:cs="Arial" w:eastAsia="Arial" w:hAnsi="Arial"/>
                <w:sz w:val="22"/>
                <w:szCs w:val="22"/>
              </w:rPr>
              <w:t xml:space="preserve">The four priority domains exhibit interdependencies requiring integrated portfolio management and explicit prioritization under resource constraints; in conditions of binding fiscal, workforce, or permitting constraints — which are the expected operating conditions, not edge cases — the framework’s priority discipline rules (Part VIII) determine which investments receive protection and which are deferred or allied-complemented.</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B2A4A"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6</w:t>
            </w:r>
          </w:p>
        </w:tc>
        <w:tc>
          <w:tcPr>
            <w:tcW w:type="dxa" w:w="8560"/>
            <w:tcBorders>
              <w:top w:val="none" w:color="FFFFFF" w:sz="0"/>
              <w:left w:val="single" w:color="1B2A4A" w:sz="1"/>
              <w:bottom w:val="none" w:color="FFFFFF" w:sz="0"/>
              <w:right w:val="none" w:color="FFFFFF" w:sz="0"/>
            </w:tcBorders>
            <w:shd w:fill="E8EDF5" w:val="clear"/>
            <w:tcMar>
              <w:top w:type="dxa" w:w="120"/>
              <w:left w:type="dxa" w:w="160"/>
              <w:bottom w:type="dxa" w:w="120"/>
              <w:right w:type="dxa" w:w="120"/>
            </w:tcMar>
          </w:tcPr>
          <w:p>
            <w:pPr>
              <w:spacing w:before="0" w:after="60"/>
            </w:pPr>
            <w:r>
              <w:rPr>
                <w:rFonts w:ascii="Arial" w:cs="Arial" w:eastAsia="Arial" w:hAnsi="Arial"/>
                <w:b/>
                <w:bCs/>
                <w:caps/>
                <w:color w:val="8B6914"/>
                <w:sz w:val="18"/>
                <w:szCs w:val="18"/>
              </w:rPr>
              <w:t xml:space="preserve">Moderate Confidence · Scenario-Conditioned</w:t>
            </w:r>
          </w:p>
          <w:p>
            <w:pPr>
              <w:spacing w:before="0" w:after="0"/>
            </w:pPr>
            <w:r>
              <w:rPr>
                <w:rFonts w:ascii="Arial" w:cs="Arial" w:eastAsia="Arial" w:hAnsi="Arial"/>
                <w:sz w:val="22"/>
                <w:szCs w:val="22"/>
              </w:rPr>
              <w:t xml:space="preserve">PRC countermeasures against U.S. domestic capacity expansion — including targeted export controls on gallium, germanium, graphite, and rare earth permanent magnets, and subsidized pricing designed to undercut new domestic producers — are assessed with moderate confidence as very likely to materialize before the 2026–2030 implementation horizon completes; the strategy’s effectiveness depends on whether domestic and allied capacity can achieve sufficient scale before PRC countermeasures collapse the implementation window, a contingency addressed in Part X.</w:t>
            </w:r>
          </w:p>
        </w:tc>
      </w:tr>
    </w:tbl>
    <w:p>
      <w:pPr>
        <w:spacing w:before="0" w:after="160"/>
      </w:pPr>
      <w:r>
        <w:t xml:space="preserve"/>
      </w:r>
    </w:p>
    <w:p>
      <w:r>
        <w:br w:type="page"/>
      </w:r>
    </w:p>
    <w:p>
      <w:pPr>
        <w:pStyle w:val="Heading1"/>
        <w:spacing w:before="320" w:after="160"/>
      </w:pPr>
      <w:r>
        <w:rPr>
          <w:rFonts w:ascii="Arial" w:cs="Arial" w:eastAsia="Arial" w:hAnsi="Arial"/>
          <w:b/>
          <w:bCs/>
          <w:color w:val="1B2A4A"/>
          <w:sz w:val="30"/>
          <w:szCs w:val="30"/>
        </w:rPr>
        <w:t xml:space="preserve">PART I: STRATEGIC RATIONALE AND FRAMEWORK DESIGN</w:t>
      </w:r>
    </w:p>
    <w:p>
      <w:pPr>
        <w:pStyle w:val="Heading2"/>
        <w:spacing w:before="240" w:after="120"/>
      </w:pPr>
      <w:r>
        <w:rPr>
          <w:rFonts w:ascii="Arial" w:cs="Arial" w:eastAsia="Arial" w:hAnsi="Arial"/>
          <w:b/>
          <w:bCs/>
          <w:color w:val="1B2A4A"/>
          <w:sz w:val="24"/>
          <w:szCs w:val="24"/>
        </w:rPr>
        <w:t xml:space="preserve">1.1 The Domestic Capacity Problem</w:t>
      </w:r>
    </w:p>
    <w:p>
      <w:pPr>
        <w:spacing w:before="60" w:after="120"/>
        <w:jc w:val="both"/>
      </w:pPr>
      <w:r>
        <w:rPr>
          <w:rFonts w:ascii="Arial" w:cs="Arial" w:eastAsia="Arial" w:hAnsi="Arial"/>
          <w:sz w:val="22"/>
          <w:szCs w:val="22"/>
        </w:rPr>
        <w:t xml:space="preserve">The United States is entering a period in which long-run economic performance, national security posture, and strategic flexibility are increasingly conditioned by the durability of domestic technological and industrial capacity. Critical segments of the U.S. industrial base have become structurally dependent on foreign production and refining capacity over approximately three decades.</w:t>
      </w:r>
    </w:p>
    <w:p>
      <w:pPr>
        <w:spacing w:before="60" w:after="120"/>
        <w:jc w:val="both"/>
      </w:pPr>
      <w:r>
        <w:rPr>
          <w:rFonts w:ascii="Arial" w:cs="Arial" w:eastAsia="Arial" w:hAnsi="Arial"/>
          <w:sz w:val="22"/>
          <w:szCs w:val="22"/>
        </w:rPr>
        <w:t xml:space="preserve">This dependency creates two categories of strategic constraint. First, it limits the credibility of technology-denial and export-control enforcement strategies: chokepoint enforcement is more durable when U.S. and allied domestic capacity can absorb supply disruptions without imposing disproportionate costs on partner states. Second, it constrains operational continuity during external shocks: the 2020–2022 period demonstrated that simultaneous supply chain disruptions across semiconductors, rare earth magnets, batteries, and precision components can degrade defense production, critical infrastructure, and industrial operations concurrently. The public record does not establish a causal link between domestic capacity levels and enforcement success in prior non-kinetic campaigns with the precision required for confident threshold calibration; the adequacy thresholds in Part X are analytically inferred.</w:t>
      </w:r>
    </w:p>
    <w:p>
      <w:pPr>
        <w:spacing w:before="60" w:after="120"/>
        <w:jc w:val="both"/>
      </w:pPr>
      <w:r>
        <w:rPr>
          <w:rFonts w:ascii="Arial" w:cs="Arial" w:eastAsia="Arial" w:hAnsi="Arial"/>
          <w:sz w:val="22"/>
          <w:szCs w:val="22"/>
        </w:rPr>
        <w:t xml:space="preserve">The binding question is not whether to invest but how to structure investment so that announced capacity translates into operational output, workforce pipeline depth, and supply chain integration sufficient to reduce structural dependencies within a policy-relevant timeframe — and whether those investments survive across administration transitions. The principal uncertainty concerns whether the political, legislative, and institutional conditions required for sustained implementation will persist across the 2026–2030 horizon; this is assessed as a higher-probability failure mode than technical capacity barriers in most priority domains.</w:t>
      </w:r>
    </w:p>
    <w:p>
      <w:pPr>
        <w:spacing w:before="0" w:after="80"/>
      </w:pPr>
      <w:r>
        <w:t xml:space="preserve"/>
      </w:r>
    </w:p>
    <w:p>
      <w:pPr>
        <w:pStyle w:val="Heading2"/>
        <w:spacing w:before="240" w:after="120"/>
      </w:pPr>
      <w:r>
        <w:rPr>
          <w:rFonts w:ascii="Arial" w:cs="Arial" w:eastAsia="Arial" w:hAnsi="Arial"/>
          <w:b/>
          <w:bCs/>
          <w:color w:val="1B2A4A"/>
          <w:sz w:val="24"/>
          <w:szCs w:val="24"/>
        </w:rPr>
        <w:t xml:space="preserve">1.2 Design Principles and Operating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5C2E" w:sz="16"/>
              <w:bottom w:val="none" w:color="FFFFFF" w:sz="0"/>
              <w:right w:val="none" w:color="FFFFFF" w:sz="0"/>
            </w:tcBorders>
            <w:shd w:fill="EAF4EC" w:val="clear"/>
            <w:tcMar>
              <w:top w:type="dxa" w:w="120"/>
              <w:left w:type="dxa" w:w="160"/>
              <w:bottom w:type="dxa" w:w="120"/>
              <w:right w:type="dxa" w:w="120"/>
            </w:tcMar>
          </w:tcPr>
          <w:p>
            <w:pPr>
              <w:spacing w:before="0" w:after="80"/>
            </w:pPr>
            <w:r>
              <w:rPr>
                <w:rFonts w:ascii="Arial" w:cs="Arial" w:eastAsia="Arial" w:hAnsi="Arial"/>
                <w:b/>
                <w:bCs/>
                <w:caps/>
                <w:color w:val="1A5C2E"/>
                <w:sz w:val="20"/>
                <w:szCs w:val="20"/>
              </w:rPr>
              <w:t xml:space="preserve">DOCUMENTED STRUCTURAL CONSTRAINT — FRAMEWORK DESIGN PRINCIPLES</w:t>
            </w:r>
          </w:p>
          <w:p>
            <w:pPr>
              <w:spacing w:before="0" w:after="60"/>
            </w:pPr>
            <w:r>
              <w:rPr>
                <w:rFonts w:ascii="Arial" w:cs="Arial" w:eastAsia="Arial" w:hAnsi="Arial"/>
                <w:sz w:val="20"/>
                <w:szCs w:val="20"/>
              </w:rPr>
              <w:t xml:space="preserve">Capacity over signaling: success is measured by throughput, operational output, and dependency reduction — not announced facilities, spending volume, or declaratory commitments.</w:t>
            </w:r>
          </w:p>
          <w:p>
            <w:pPr>
              <w:spacing w:before="0" w:after="60"/>
            </w:pPr>
            <w:r>
              <w:rPr>
                <w:rFonts w:ascii="Arial" w:cs="Arial" w:eastAsia="Arial" w:hAnsi="Arial"/>
                <w:sz w:val="20"/>
                <w:szCs w:val="20"/>
              </w:rPr>
              <w:t xml:space="preserve">Market-compatible: public action catalyzes private investment and reduces structural barriers. It does not replace market decision-making or permanently subsidize uncompetitive capacity.</w:t>
            </w:r>
          </w:p>
          <w:p>
            <w:pPr>
              <w:spacing w:before="0" w:after="60"/>
            </w:pPr>
            <w:r>
              <w:rPr>
                <w:rFonts w:ascii="Arial" w:cs="Arial" w:eastAsia="Arial" w:hAnsi="Arial"/>
                <w:sz w:val="20"/>
                <w:szCs w:val="20"/>
              </w:rPr>
              <w:t xml:space="preserve">Civilian-led: execution is anchored in civilian agencies (Energy, Commerce, Interior, Labor, Treasury) consistent with statutory mandates.</w:t>
            </w:r>
          </w:p>
          <w:p>
            <w:pPr>
              <w:spacing w:before="0" w:after="60"/>
            </w:pPr>
            <w:r>
              <w:rPr>
                <w:rFonts w:ascii="Arial" w:cs="Arial" w:eastAsia="Arial" w:hAnsi="Arial"/>
                <w:sz w:val="20"/>
                <w:szCs w:val="20"/>
              </w:rPr>
              <w:t xml:space="preserve">Time-bound and measurable: initiatives are scoped to the 2026–2030 horizon with interim milestones, quantitative metrics, and periodic review mechanisms enabling course correction or termination.</w:t>
            </w:r>
          </w:p>
          <w:p>
            <w:pPr>
              <w:spacing w:before="0" w:after="60"/>
            </w:pPr>
            <w:r>
              <w:rPr>
                <w:rFonts w:ascii="Arial" w:cs="Arial" w:eastAsia="Arial" w:hAnsi="Arial"/>
                <w:sz w:val="20"/>
                <w:szCs w:val="20"/>
              </w:rPr>
              <w:t xml:space="preserve">Allied-complementary, not substitutionary: domestic capacity is strengthened in parallel with trusted partner coordination. Allied coordination is treated as a conditional variable requiring case-specific assessment, not a stabilizing assumption.</w:t>
            </w:r>
          </w:p>
          <w:p>
            <w:pPr>
              <w:spacing w:before="0" w:after="60"/>
            </w:pPr>
            <w:r>
              <w:rPr>
                <w:rFonts w:ascii="Arial" w:cs="Arial" w:eastAsia="Arial" w:hAnsi="Arial"/>
                <w:sz w:val="20"/>
                <w:szCs w:val="20"/>
              </w:rPr>
              <w:t xml:space="preserve">Technology-neutral where alternatives exist: single-pathway mandates are reserved for demonstrated chokepoints with high maturity and justified risk.</w:t>
            </w:r>
          </w:p>
          <w:p>
            <w:pPr>
              <w:spacing w:before="0" w:after="60"/>
            </w:pPr>
            <w:r>
              <w:rPr>
                <w:rFonts w:ascii="Arial" w:cs="Arial" w:eastAsia="Arial" w:hAnsi="Arial"/>
                <w:sz w:val="20"/>
                <w:szCs w:val="20"/>
              </w:rPr>
              <w:t xml:space="preserve">Priority discipline under resource constraints: when fiscal, workforce, or permitting capacity is binding, the framework specifies what gets funded first, what remains allied-complemented rather than domestically built, and what is deferred. These are design constraints, not implementation options (see Part VIII).</w:t>
            </w:r>
          </w:p>
        </w:tc>
      </w:tr>
    </w:tbl>
    <w:p>
      <w:pPr>
        <w:spacing w:before="0" w:after="80"/>
      </w:pPr>
      <w:r>
        <w:t xml:space="preserve"/>
      </w:r>
    </w:p>
    <w:p>
      <w:pPr>
        <w:spacing w:before="60" w:after="120"/>
        <w:jc w:val="both"/>
      </w:pPr>
      <w:r>
        <w:rPr>
          <w:rFonts w:ascii="Arial" w:cs="Arial" w:eastAsia="Arial" w:hAnsi="Arial"/>
          <w:sz w:val="22"/>
          <w:szCs w:val="22"/>
        </w:rPr>
        <w:t xml:space="preserve">This framework explicitly does not assume unlimited fiscal resources, seek dominance across all technologies, replace private capital allocation with central planning, override environmental and labor standards, function as a sanctions or export-control instrument, supersede existing statutory authorities, or assume technology trajectories can be predicted with precision.</w:t>
      </w:r>
    </w:p>
    <w:p>
      <w:pPr>
        <w:spacing w:before="0" w:after="120"/>
      </w:pPr>
      <w:r>
        <w:t xml:space="preserve"/>
      </w:r>
    </w:p>
    <w:p>
      <w:pPr>
        <w:pStyle w:val="Heading2"/>
        <w:spacing w:before="240" w:after="120"/>
      </w:pPr>
      <w:r>
        <w:rPr>
          <w:rFonts w:ascii="Arial" w:cs="Arial" w:eastAsia="Arial" w:hAnsi="Arial"/>
          <w:b/>
          <w:bCs/>
          <w:color w:val="1B2A4A"/>
          <w:sz w:val="24"/>
          <w:szCs w:val="24"/>
        </w:rPr>
        <w:t xml:space="preserve">1.3 Strategic Objectives and Definition of Success</w:t>
      </w:r>
    </w:p>
    <w:p>
      <w:pPr>
        <w:pStyle w:val="ListParagraph"/>
        <w:numPr>
          <w:ilvl w:val="0"/>
          <w:numId w:val="2"/>
        </w:numPr>
        <w:spacing w:before="40" w:after="40"/>
      </w:pPr>
      <w:r>
        <w:rPr>
          <w:rFonts w:ascii="Arial" w:cs="Arial" w:eastAsia="Arial" w:hAnsi="Arial"/>
          <w:sz w:val="22"/>
          <w:szCs w:val="22"/>
        </w:rPr>
        <w:t xml:space="preserve">Reduce structural dependencies in critical technology and materials sectors where disruption imposes systemic risk</w:t>
      </w:r>
    </w:p>
    <w:p>
      <w:pPr>
        <w:pStyle w:val="ListParagraph"/>
        <w:numPr>
          <w:ilvl w:val="0"/>
          <w:numId w:val="2"/>
        </w:numPr>
        <w:spacing w:before="40" w:after="40"/>
      </w:pPr>
      <w:r>
        <w:rPr>
          <w:rFonts w:ascii="Arial" w:cs="Arial" w:eastAsia="Arial" w:hAnsi="Arial"/>
          <w:sz w:val="22"/>
          <w:szCs w:val="22"/>
        </w:rPr>
        <w:t xml:space="preserve">Expand domestic scaling capacity: translate research leadership into reliable, cost-competitive manufacturing at commercial scale within the 2026–2030 horizon</w:t>
      </w:r>
    </w:p>
    <w:p>
      <w:pPr>
        <w:pStyle w:val="ListParagraph"/>
        <w:numPr>
          <w:ilvl w:val="0"/>
          <w:numId w:val="2"/>
        </w:numPr>
        <w:spacing w:before="40" w:after="40"/>
      </w:pPr>
      <w:r>
        <w:rPr>
          <w:rFonts w:ascii="Arial" w:cs="Arial" w:eastAsia="Arial" w:hAnsi="Arial"/>
          <w:sz w:val="22"/>
          <w:szCs w:val="22"/>
        </w:rPr>
        <w:t xml:space="preserve">Strengthen enabling ecosystems: build the workforce, infrastructure, financing mechanisms, and regulatory pathways required to sustain industrial growth across administration transitions</w:t>
      </w:r>
    </w:p>
    <w:p>
      <w:pPr>
        <w:pStyle w:val="ListParagraph"/>
        <w:numPr>
          <w:ilvl w:val="0"/>
          <w:numId w:val="2"/>
        </w:numPr>
        <w:spacing w:before="40" w:after="40"/>
      </w:pPr>
      <w:r>
        <w:rPr>
          <w:rFonts w:ascii="Arial" w:cs="Arial" w:eastAsia="Arial" w:hAnsi="Arial"/>
          <w:sz w:val="22"/>
          <w:szCs w:val="22"/>
        </w:rPr>
        <w:t xml:space="preserve">Preserve strategic optionality: enable future economic, diplomatic, and security choices without being constrained by domestic production shortfalls during disruption or geopolitical stress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2A4A" w:sz="16"/>
              <w:bottom w:val="none" w:color="FFFFFF" w:sz="0"/>
              <w:right w:val="none" w:color="FFFFFF" w:sz="0"/>
            </w:tcBorders>
            <w:shd w:fill="E8EDF5" w:val="clear"/>
            <w:tcMar>
              <w:top w:type="dxa" w:w="120"/>
              <w:left w:type="dxa" w:w="160"/>
              <w:bottom w:type="dxa" w:w="120"/>
              <w:right w:type="dxa" w:w="120"/>
            </w:tcMar>
          </w:tcPr>
          <w:p>
            <w:pPr>
              <w:spacing w:before="0" w:after="80"/>
            </w:pPr>
            <w:r>
              <w:rPr>
                <w:rFonts w:ascii="Arial" w:cs="Arial" w:eastAsia="Arial" w:hAnsi="Arial"/>
                <w:b/>
                <w:bCs/>
                <w:caps/>
                <w:color w:val="1B2A4A"/>
                <w:sz w:val="20"/>
                <w:szCs w:val="20"/>
              </w:rPr>
              <w:t xml:space="preserve">WHAT SUCCESS IS AND IS NOT</w:t>
            </w:r>
          </w:p>
          <w:p>
            <w:pPr>
              <w:spacing w:before="0" w:after="60"/>
            </w:pPr>
            <w:r>
              <w:rPr>
                <w:rFonts w:ascii="Arial" w:cs="Arial" w:eastAsia="Arial" w:hAnsi="Arial"/>
                <w:sz w:val="20"/>
                <w:szCs w:val="20"/>
              </w:rPr>
              <w:t xml:space="preserve">Success indicators: measurable reductions in net import reliance for selected critical inputs; increased domestic share of output in priority sectors; shortened time-to-scale from pilot to commercial deployment; durable private investment beyond initial public participation; sustained capability across administrations.</w:t>
            </w:r>
          </w:p>
          <w:p>
            <w:pPr>
              <w:spacing w:before="0" w:after="60"/>
            </w:pPr>
            <w:r>
              <w:rPr>
                <w:rFonts w:ascii="Arial" w:cs="Arial" w:eastAsia="Arial" w:hAnsi="Arial"/>
                <w:sz w:val="20"/>
                <w:szCs w:val="20"/>
              </w:rPr>
              <w:t xml:space="preserve">Not success: government spending volume as a standalone metric; announced facilities absent operational throughput; near-term displacement of all foreign competitors; permanent market intervention or state ownership.</w:t>
            </w:r>
          </w:p>
          <w:p>
            <w:pPr>
              <w:spacing w:before="0" w:after="60"/>
            </w:pPr>
            <w:r>
              <w:rPr>
                <w:rFonts w:ascii="Arial" w:cs="Arial" w:eastAsia="Arial" w:hAnsi="Arial"/>
                <w:sz w:val="20"/>
                <w:szCs w:val="20"/>
              </w:rPr>
              <w:t xml:space="preserve">Competing interpretation: an alternative explanation for inadequate prior U.S. industrial policy outcomes is not insufficient investment or institutional coordination, but structural market conditions — cost curves, comparative advantage, and allied overcapacity — that no governance design can fully overcome. This paper’s framework is more consistent with the institutional coordination failure explanation, but the structural market conditions explanation cannot be excluded based on available open-source evidence, and the mitigation architecture should be assessed against both hypotheses.</w:t>
            </w:r>
          </w:p>
        </w:tc>
      </w:tr>
    </w:tbl>
    <w:p>
      <w:pPr>
        <w:spacing w:before="0" w:after="160"/>
      </w:pPr>
      <w:r>
        <w:t xml:space="preserve"/>
      </w:r>
    </w:p>
    <w:p>
      <w:r>
        <w:br w:type="page"/>
      </w:r>
    </w:p>
    <w:p>
      <w:pPr>
        <w:pStyle w:val="Heading1"/>
        <w:spacing w:before="320" w:after="160"/>
      </w:pPr>
      <w:r>
        <w:rPr>
          <w:rFonts w:ascii="Arial" w:cs="Arial" w:eastAsia="Arial" w:hAnsi="Arial"/>
          <w:b/>
          <w:bCs/>
          <w:color w:val="1B2A4A"/>
          <w:sz w:val="30"/>
          <w:szCs w:val="30"/>
        </w:rPr>
        <w:t xml:space="preserve">PART II: CRITICAL MINERALS PROCESSING AND REFINING</w:t>
      </w:r>
    </w:p>
    <w:p>
      <w:pPr>
        <w:pStyle w:val="Heading2"/>
        <w:spacing w:before="240" w:after="120"/>
      </w:pPr>
      <w:r>
        <w:rPr>
          <w:rFonts w:ascii="Arial" w:cs="Arial" w:eastAsia="Arial" w:hAnsi="Arial"/>
          <w:b/>
          <w:bCs/>
          <w:color w:val="1B2A4A"/>
          <w:sz w:val="24"/>
          <w:szCs w:val="24"/>
        </w:rPr>
        <w:t xml:space="preserve">2.1 Strategic Problem</w:t>
      </w:r>
    </w:p>
    <w:p>
      <w:pPr>
        <w:spacing w:before="60" w:after="120"/>
        <w:jc w:val="both"/>
      </w:pPr>
      <w:r>
        <w:rPr>
          <w:rFonts w:ascii="Arial" w:cs="Arial" w:eastAsia="Arial" w:hAnsi="Arial"/>
          <w:sz w:val="22"/>
          <w:szCs w:val="22"/>
        </w:rPr>
        <w:t xml:space="preserve">The United States’ most acute vulnerability in critical minerals is midstream processing and refining, not geological scarcity or extraction capacity. USGS Mineral Commodity Summaries (2025 edition) are assessed to indicate that foreign processors control approximately 85% of global rare earth refining, 70% of cobalt processing, and 60% of lithium hydroxide production. [TIER 1 — USGS Mineral Commodity Summaries 2025] These figures represent single-point vulnerabilities across defense, transportation, energy, and advanced technology sectors. This analysis treats the processing and refining bottleneck as structural, not as a temporary market imbalance.</w:t>
      </w:r>
    </w:p>
    <w:p>
      <w:pPr>
        <w:spacing w:before="0" w:after="80"/>
      </w:pPr>
      <w:r>
        <w:t xml:space="preserve"/>
      </w:r>
    </w:p>
    <w:p>
      <w:pPr>
        <w:pStyle w:val="Heading2"/>
        <w:spacing w:before="240" w:after="120"/>
      </w:pPr>
      <w:r>
        <w:rPr>
          <w:rFonts w:ascii="Arial" w:cs="Arial" w:eastAsia="Arial" w:hAnsi="Arial"/>
          <w:b/>
          <w:bCs/>
          <w:color w:val="1B2A4A"/>
          <w:sz w:val="24"/>
          <w:szCs w:val="24"/>
        </w:rPr>
        <w:t xml:space="preserve">2.2 Strategic Objectives (2026–2030) and Decision Thresholds</w:t>
      </w:r>
    </w:p>
    <w:p>
      <w:pPr>
        <w:pStyle w:val="ListParagraph"/>
        <w:numPr>
          <w:ilvl w:val="0"/>
          <w:numId w:val="2"/>
        </w:numPr>
        <w:spacing w:before="40" w:after="40"/>
      </w:pPr>
      <w:r>
        <w:rPr>
          <w:rFonts w:ascii="Arial" w:cs="Arial" w:eastAsia="Arial" w:hAnsi="Arial"/>
          <w:sz w:val="22"/>
          <w:szCs w:val="22"/>
        </w:rPr>
        <w:t xml:space="preserve">Reduce net import reliance: expand domestic and allied processing capacity in rare earth elements, lithium hydroxide, cobalt, and graphite</w:t>
      </w:r>
    </w:p>
    <w:p>
      <w:pPr>
        <w:pStyle w:val="ListParagraph"/>
        <w:numPr>
          <w:ilvl w:val="0"/>
          <w:numId w:val="2"/>
        </w:numPr>
        <w:spacing w:before="40" w:after="40"/>
      </w:pPr>
      <w:r>
        <w:rPr>
          <w:rFonts w:ascii="Arial" w:cs="Arial" w:eastAsia="Arial" w:hAnsi="Arial"/>
          <w:sz w:val="22"/>
          <w:szCs w:val="22"/>
        </w:rPr>
        <w:t xml:space="preserve">Establish allied processing redundancy through the Minerals Security Partnership, IPEF critical minerals pillar, and bilateral coordination with Australia, Canada, and Japan</w:t>
      </w:r>
    </w:p>
    <w:p>
      <w:pPr>
        <w:pStyle w:val="ListParagraph"/>
        <w:numPr>
          <w:ilvl w:val="0"/>
          <w:numId w:val="2"/>
        </w:numPr>
        <w:spacing w:before="40" w:after="40"/>
      </w:pPr>
      <w:r>
        <w:rPr>
          <w:rFonts w:ascii="Arial" w:cs="Arial" w:eastAsia="Arial" w:hAnsi="Arial"/>
          <w:sz w:val="22"/>
          <w:szCs w:val="22"/>
        </w:rPr>
        <w:t xml:space="preserve">Maintain market resilience through diversification mechanisms that avoid long-term distortion of private investment signals</w:t>
      </w:r>
    </w:p>
    <w:p>
      <w:pPr>
        <w:pStyle w:val="ListParagraph"/>
        <w:numPr>
          <w:ilvl w:val="0"/>
          <w:numId w:val="2"/>
        </w:numPr>
        <w:spacing w:before="40" w:after="40"/>
      </w:pPr>
      <w:r>
        <w:rPr>
          <w:rFonts w:ascii="Arial" w:cs="Arial" w:eastAsia="Arial" w:hAnsi="Arial"/>
          <w:sz w:val="22"/>
          <w:szCs w:val="22"/>
        </w:rPr>
        <w:t xml:space="preserve">Preserve regulatory integrity by treating environmental compliance as a design constraint, not an implementation friction</w:t>
      </w:r>
    </w:p>
    <w:p>
      <w:pPr>
        <w:spacing w:before="0" w:after="60"/>
      </w:pPr>
      <w:r>
        <w:t xml:space="preserve"/>
      </w:r>
    </w:p>
    <w:p>
      <w:pPr>
        <w:spacing w:before="60" w:after="120"/>
        <w:jc w:val="both"/>
      </w:pPr>
      <w:r>
        <w:rPr>
          <w:rFonts w:ascii="Arial" w:cs="Arial" w:eastAsia="Arial" w:hAnsi="Arial"/>
          <w:sz w:val="22"/>
          <w:szCs w:val="22"/>
        </w:rPr>
        <w:t xml:space="preserve">Decision thresholds for critical minerals 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Condition</w:t>
            </w:r>
          </w:p>
        </w:tc>
        <w:tc>
          <w:tcPr>
            <w:tcW w:type="dxa" w:w="3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Threshold</w:t>
            </w:r>
          </w:p>
        </w:tc>
        <w:tc>
          <w:tcPr>
            <w:tcW w:type="dxa" w:w="3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Decision</w:t>
            </w:r>
          </w:p>
        </w:tc>
      </w:tr>
      <w:tr>
        <w:trPr>
          <w:tblHeader w:val=""/>
        </w:trP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Domestic + allied resilience buffer</w:t>
            </w:r>
          </w:p>
        </w:tc>
        <w:tc>
          <w:tcPr>
            <w:tcW w:type="dxa" w:w="3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Below 30-day buffer: CONTINUE investment; above 90-day buffer: PHASE DOWN public support</w:t>
            </w:r>
          </w:p>
        </w:tc>
        <w:tc>
          <w:tcPr>
            <w:tcW w:type="dxa" w:w="3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Go/No-Go: investment protected below 90-day threshold; sunset review triggered above</w:t>
            </w:r>
          </w:p>
        </w:tc>
      </w:tr>
      <w:tr>
        <w:trPr>
          <w:tblHeader w:val=""/>
        </w:trP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Project timeline slippage</w:t>
            </w:r>
          </w:p>
        </w:tc>
        <w:tc>
          <w:tcPr>
            <w:tcW w:type="dxa" w:w="3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Construction more than 18 months behind committed timeline without documented cause</w:t>
            </w:r>
          </w:p>
        </w:tc>
        <w:tc>
          <w:tcPr>
            <w:tcW w:type="dxa" w:w="3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RESTRUCTURE: review financing, permitting, or contractor selection</w:t>
            </w:r>
          </w:p>
        </w:tc>
      </w:tr>
      <w:tr>
        <w:trPr>
          <w:tblHeader w:val=""/>
        </w:trP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Allied partner non-performance</w:t>
            </w:r>
          </w:p>
        </w:tc>
        <w:tc>
          <w:tcPr>
            <w:tcW w:type="dxa" w:w="3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Tier 1 ally fails to reach agreed processing milestones for two consecutive annual reviews</w:t>
            </w:r>
          </w:p>
        </w:tc>
        <w:tc>
          <w:tcPr>
            <w:tcW w:type="dxa" w:w="3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ADJUST: shift allocation to performing partners; do not increase U.S. domestic-only concentration above 60% of critical minerals strategy</w:t>
            </w:r>
          </w:p>
        </w:tc>
      </w:tr>
      <w:tr>
        <w:trPr>
          <w:tblHeader w:val=""/>
        </w:trP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PRC retaliatory export restriction imposed</w:t>
            </w:r>
          </w:p>
        </w:tc>
        <w:tc>
          <w:tcPr>
            <w:tcW w:type="dxa" w:w="3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Export restriction on priority material before 30-day resilience threshold is reached</w:t>
            </w:r>
          </w:p>
        </w:tc>
        <w:tc>
          <w:tcPr>
            <w:tcW w:type="dxa" w:w="3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ACTIVATE: National Defense Stockpile expansion; allied advance purchasing; immediate processing capacity acceleration for affected material</w:t>
            </w:r>
          </w:p>
        </w:tc>
      </w:tr>
    </w:tbl>
    <w:p>
      <w:pPr>
        <w:spacing w:before="0" w:after="80"/>
      </w:pPr>
      <w:r>
        <w:t xml:space="preserve"/>
      </w:r>
    </w:p>
    <w:p>
      <w:pPr>
        <w:pStyle w:val="Heading2"/>
        <w:spacing w:before="240" w:after="120"/>
      </w:pPr>
      <w:r>
        <w:rPr>
          <w:rFonts w:ascii="Arial" w:cs="Arial" w:eastAsia="Arial" w:hAnsi="Arial"/>
          <w:b/>
          <w:bCs/>
          <w:color w:val="1B2A4A"/>
          <w:sz w:val="24"/>
          <w:szCs w:val="24"/>
        </w:rPr>
        <w:t xml:space="preserve">2.3 Priority Lines of Effort</w:t>
      </w:r>
    </w:p>
    <w:p>
      <w:pPr>
        <w:pStyle w:val="Heading3"/>
        <w:spacing w:before="180" w:after="80"/>
      </w:pPr>
      <w:r>
        <w:rPr>
          <w:rFonts w:ascii="Arial" w:cs="Arial" w:eastAsia="Arial" w:hAnsi="Arial"/>
          <w:b/>
          <w:bCs/>
          <w:color w:val="4A5568"/>
          <w:sz w:val="22"/>
          <w:szCs w:val="22"/>
        </w:rPr>
        <w:t xml:space="preserve">Domestic Processing Capacity</w:t>
      </w:r>
    </w:p>
    <w:p>
      <w:pPr>
        <w:spacing w:before="60" w:after="120"/>
        <w:jc w:val="both"/>
      </w:pPr>
      <w:r>
        <w:rPr>
          <w:rFonts w:ascii="Arial" w:cs="Arial" w:eastAsia="Arial" w:hAnsi="Arial"/>
          <w:sz w:val="22"/>
          <w:szCs w:val="22"/>
        </w:rPr>
        <w:t xml:space="preserve">Federal participation is limited to enabling conditions: site development support, infrastructure alignment, regulatory coordination, and targeted de-risking tools. Selective prioritization focuses on materials with highest foreign processing concentration and greatest downstream impact. Permitting timelines are a binding constraint addressed through process coordination, not statutory waiver.</w:t>
      </w:r>
    </w:p>
    <w:p>
      <w:pPr>
        <w:pStyle w:val="Heading3"/>
        <w:spacing w:before="180" w:after="80"/>
      </w:pPr>
      <w:r>
        <w:rPr>
          <w:rFonts w:ascii="Arial" w:cs="Arial" w:eastAsia="Arial" w:hAnsi="Arial"/>
          <w:b/>
          <w:bCs/>
          <w:color w:val="4A5568"/>
          <w:sz w:val="22"/>
          <w:szCs w:val="22"/>
        </w:rPr>
        <w:t xml:space="preserve">Financing and Allied Redundancy</w:t>
      </w:r>
    </w:p>
    <w:p>
      <w:pPr>
        <w:spacing w:before="60" w:after="120"/>
        <w:jc w:val="both"/>
      </w:pPr>
      <w:r>
        <w:rPr>
          <w:rFonts w:ascii="Arial" w:cs="Arial" w:eastAsia="Arial" w:hAnsi="Arial"/>
          <w:sz w:val="22"/>
          <w:szCs w:val="22"/>
        </w:rPr>
        <w:t xml:space="preserve">Existing authorities (DOE Loan Programs Office, Development Finance Corporation, EXIM Bank) crowd in private capital rather than displace it. Sunset provisions ensure public support phases out as projects achieve commercial viability. Allied coordination through the Minerals Security Partnership requires funded advance purchase commitments, not merely framework participation. Allied coordination is treated as a conditional variable: if allied states prioritize their own industrial policies over coordinated complementarity, the strategy adjusts allocation rather than treating allied commitment as fixed.</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A4000" w:sz="16"/>
              <w:bottom w:val="none" w:color="FFFFFF" w:sz="0"/>
              <w:right w:val="none" w:color="FFFFFF" w:sz="0"/>
            </w:tcBorders>
            <w:shd w:fill="FEF3E2" w:val="clear"/>
            <w:tcMar>
              <w:top w:type="dxa" w:w="120"/>
              <w:left w:type="dxa" w:w="160"/>
              <w:bottom w:type="dxa" w:w="120"/>
              <w:right w:type="dxa" w:w="120"/>
            </w:tcMar>
          </w:tcPr>
          <w:p>
            <w:pPr>
              <w:spacing w:before="0" w:after="80"/>
            </w:pPr>
            <w:r>
              <w:rPr>
                <w:rFonts w:ascii="Arial" w:cs="Arial" w:eastAsia="Arial" w:hAnsi="Arial"/>
                <w:b/>
                <w:bCs/>
                <w:caps/>
                <w:color w:val="7A4000"/>
                <w:sz w:val="20"/>
                <w:szCs w:val="20"/>
              </w:rPr>
              <w:t xml:space="preserve">IMPLEMENTATION FRICTION — CRITICAL MINERALS</w:t>
            </w:r>
          </w:p>
          <w:p>
            <w:pPr>
              <w:spacing w:before="0" w:after="60"/>
            </w:pPr>
            <w:r>
              <w:rPr>
                <w:rFonts w:ascii="Arial" w:cs="Arial" w:eastAsia="Arial" w:hAnsi="Arial"/>
                <w:sz w:val="20"/>
                <w:szCs w:val="20"/>
              </w:rPr>
              <w:t xml:space="preserve">PRC retaliatory risk: PRC imposed gallium and germanium export controls (August 2023) and graphite export controls (December 2023) specifically as counter-leverage against supply chain diversification. Rare earth permanent magnet restrictions represent the highest-consequence potential countermeasure. Permitting and timeline risk may delay capacity realization beyond near-term policy horizons. Workforce availability: metallurgy, chemical engineering, and process control expertise cannot be rapidly scaled.</w:t>
            </w:r>
          </w:p>
          <w:p>
            <w:pPr>
              <w:spacing w:before="0" w:after="60"/>
            </w:pPr>
            <w:r>
              <w:rPr>
                <w:rFonts w:ascii="Arial" w:cs="Arial" w:eastAsia="Arial" w:hAnsi="Arial"/>
                <w:sz w:val="20"/>
                <w:szCs w:val="20"/>
              </w:rPr>
              <w:t xml:space="preserve">Competing explanation: the binding constraint on domestic critical minerals processing may be structural economic uncompetitiveness rather than institutional coordination failure. PRC state enterprises operate with subsidized capital costs that cannot be matched by market-rate U.S. producers regardless of regulatory streamlining. Under this alternative hypothesis, the strategy’s primary tool — enabling conditions and de-risking — is insufficient absent production subsidies that explicitly exceed PRC state enterprise cost advantages. The public record does not establish which hypothesis better characterizes the primary constraint for each priority material.</w:t>
            </w:r>
          </w:p>
        </w:tc>
      </w:tr>
    </w:tbl>
    <w:p>
      <w:pPr>
        <w:spacing w:before="0" w:after="160"/>
      </w:pPr>
      <w:r>
        <w:t xml:space="preserve"/>
      </w:r>
    </w:p>
    <w:p>
      <w:r>
        <w:br w:type="page"/>
      </w:r>
    </w:p>
    <w:p>
      <w:pPr>
        <w:pStyle w:val="Heading1"/>
        <w:spacing w:before="320" w:after="160"/>
      </w:pPr>
      <w:r>
        <w:rPr>
          <w:rFonts w:ascii="Arial" w:cs="Arial" w:eastAsia="Arial" w:hAnsi="Arial"/>
          <w:b/>
          <w:bCs/>
          <w:color w:val="1B2A4A"/>
          <w:sz w:val="30"/>
          <w:szCs w:val="30"/>
        </w:rPr>
        <w:t xml:space="preserve">PART III: BATTERY TECHNOLOGY AND ENERGY STORAGE</w:t>
      </w:r>
    </w:p>
    <w:p>
      <w:pPr>
        <w:pStyle w:val="Heading2"/>
        <w:spacing w:before="240" w:after="120"/>
      </w:pPr>
      <w:r>
        <w:rPr>
          <w:rFonts w:ascii="Arial" w:cs="Arial" w:eastAsia="Arial" w:hAnsi="Arial"/>
          <w:b/>
          <w:bCs/>
          <w:color w:val="1B2A4A"/>
          <w:sz w:val="24"/>
          <w:szCs w:val="24"/>
        </w:rPr>
        <w:t xml:space="preserve">3.1 Strategic Problem</w:t>
      </w:r>
    </w:p>
    <w:p>
      <w:pPr>
        <w:spacing w:before="60" w:after="120"/>
        <w:jc w:val="both"/>
      </w:pPr>
      <w:r>
        <w:rPr>
          <w:rFonts w:ascii="Arial" w:cs="Arial" w:eastAsia="Arial" w:hAnsi="Arial"/>
          <w:sz w:val="22"/>
          <w:szCs w:val="22"/>
        </w:rPr>
        <w:t xml:space="preserve">The binding constraint is industrialization, not invention. Li-ion cell manufacturing, module and pack assembly, and cost-competitive production at scale remain globally concentrated. Projected domestic demand growth in EVs, grid storage, and industrial applications is outpacing secure domestic supply. Announced nameplate capacity does not equate to sustained operational output.</w:t>
      </w:r>
    </w:p>
    <w:p>
      <w:pPr>
        <w:spacing w:before="0" w:after="80"/>
      </w:pPr>
      <w:r>
        <w:t xml:space="preserve"/>
      </w:r>
    </w:p>
    <w:p>
      <w:pPr>
        <w:pStyle w:val="Heading2"/>
        <w:spacing w:before="240" w:after="120"/>
      </w:pPr>
      <w:r>
        <w:rPr>
          <w:rFonts w:ascii="Arial" w:cs="Arial" w:eastAsia="Arial" w:hAnsi="Arial"/>
          <w:b/>
          <w:bCs/>
          <w:color w:val="1B2A4A"/>
          <w:sz w:val="24"/>
          <w:szCs w:val="24"/>
        </w:rPr>
        <w:t xml:space="preserve">3.2 Strategic Objectives (2026–2030) and Decision Thresholds</w:t>
      </w:r>
    </w:p>
    <w:p>
      <w:pPr>
        <w:pStyle w:val="ListParagraph"/>
        <w:numPr>
          <w:ilvl w:val="0"/>
          <w:numId w:val="2"/>
        </w:numPr>
        <w:spacing w:before="40" w:after="40"/>
      </w:pPr>
      <w:r>
        <w:rPr>
          <w:rFonts w:ascii="Arial" w:cs="Arial" w:eastAsia="Arial" w:hAnsi="Arial"/>
          <w:sz w:val="22"/>
          <w:szCs w:val="22"/>
        </w:rPr>
        <w:t xml:space="preserve">Expand domestic manufacturing capacity and throughput while reducing reliance on imported cells and modules</w:t>
      </w:r>
    </w:p>
    <w:p>
      <w:pPr>
        <w:pStyle w:val="ListParagraph"/>
        <w:numPr>
          <w:ilvl w:val="0"/>
          <w:numId w:val="2"/>
        </w:numPr>
        <w:spacing w:before="40" w:after="40"/>
      </w:pPr>
      <w:r>
        <w:rPr>
          <w:rFonts w:ascii="Arial" w:cs="Arial" w:eastAsia="Arial" w:hAnsi="Arial"/>
          <w:sz w:val="22"/>
          <w:szCs w:val="22"/>
        </w:rPr>
        <w:t xml:space="preserve">Achieve cost competitiveness in mature Li-ion chemistries through scale, yield improvement, and supply chain efficiency — not through permanently subsidized production</w:t>
      </w:r>
    </w:p>
    <w:p>
      <w:pPr>
        <w:pStyle w:val="ListParagraph"/>
        <w:numPr>
          <w:ilvl w:val="0"/>
          <w:numId w:val="2"/>
        </w:numPr>
        <w:spacing w:before="40" w:after="40"/>
      </w:pPr>
      <w:r>
        <w:rPr>
          <w:rFonts w:ascii="Arial" w:cs="Arial" w:eastAsia="Arial" w:hAnsi="Arial"/>
          <w:sz w:val="22"/>
          <w:szCs w:val="22"/>
        </w:rPr>
        <w:t xml:space="preserve">Advance next-generation pathways toward manufacturable commercial readiness where they improve safety, performance, and resource diversity</w:t>
      </w:r>
    </w:p>
    <w:p>
      <w:pPr>
        <w:spacing w:before="0" w:after="60"/>
      </w:pPr>
      <w:r>
        <w:t xml:space="preserve"/>
      </w:r>
    </w:p>
    <w:p>
      <w:pPr>
        <w:spacing w:before="60" w:after="120"/>
        <w:jc w:val="both"/>
      </w:pPr>
      <w:r>
        <w:rPr>
          <w:rFonts w:ascii="Arial" w:cs="Arial" w:eastAsia="Arial" w:hAnsi="Arial"/>
          <w:sz w:val="22"/>
          <w:szCs w:val="22"/>
        </w:rPr>
        <w:t xml:space="preserve">Decision thresholds for battery manufacturing: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Condition</w:t>
            </w:r>
          </w:p>
        </w:tc>
        <w:tc>
          <w:tcPr>
            <w:tcW w:type="dxa" w:w="3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Threshold</w:t>
            </w:r>
          </w:p>
        </w:tc>
        <w:tc>
          <w:tcPr>
            <w:tcW w:type="dxa" w:w="3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Decision</w:t>
            </w:r>
          </w:p>
        </w:tc>
      </w:tr>
      <w:tr>
        <w:trPr>
          <w:tblHeader w:val=""/>
        </w:trP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Domestic cell production share</w:t>
            </w:r>
          </w:p>
        </w:tc>
        <w:tc>
          <w:tcPr>
            <w:tcW w:type="dxa" w:w="3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Below 40% of domestic demand: CONTINUE investment; above 60% (adequacy threshold): PHASE DOWN public capacity de-risking</w:t>
            </w:r>
          </w:p>
        </w:tc>
        <w:tc>
          <w:tcPr>
            <w:tcW w:type="dxa" w:w="3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Adequacy threshold: 60% domestic production share [analytically inferred]</w:t>
            </w:r>
          </w:p>
        </w:tc>
      </w:tr>
      <w:tr>
        <w:trPr>
          <w:tblHeader w:val=""/>
        </w:trP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OEE at operational facilities</w:t>
            </w:r>
          </w:p>
        </w:tc>
        <w:tc>
          <w:tcPr>
            <w:tcW w:type="dxa" w:w="3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Below 65% OEE after 18-month ramp window: RESTRUCTURE; persistent below 65% after 24 months: assess TERMINATION of public support for that facility</w:t>
            </w:r>
          </w:p>
        </w:tc>
        <w:tc>
          <w:tcPr>
            <w:tcW w:type="dxa" w:w="3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OEE = Availability x Performance x Quality</w:t>
            </w:r>
          </w:p>
        </w:tc>
      </w:tr>
      <w:tr>
        <w:trPr>
          <w:tblHeader w:val=""/>
        </w:trP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Next-generation pathway maturity gate</w:t>
            </w:r>
          </w:p>
        </w:tc>
        <w:tc>
          <w:tcPr>
            <w:tcW w:type="dxa" w:w="3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Pilot line below TRL 7 after 36 months of public funding: DEFERRAL of commercial scale-up support pending independent technical review</w:t>
            </w:r>
          </w:p>
        </w:tc>
        <w:tc>
          <w:tcPr>
            <w:tcW w:type="dxa" w:w="3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Manufacturability, supply chain feasibility, and safety assurance are gating criteria, not performance metrics alone</w:t>
            </w:r>
          </w:p>
        </w:tc>
      </w:tr>
      <w:tr>
        <w:trPr>
          <w:tblHeader w:val=""/>
        </w:trP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Cost competitiveness trajectory</w:t>
            </w:r>
          </w:p>
        </w:tc>
        <w:tc>
          <w:tcPr>
            <w:tcW w:type="dxa" w:w="3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Unsubsidized unit cost not trending toward competitive parity within 5-year horizon: assess SUNSET of production support; maintain workforce and R&amp;D investment</w:t>
            </w:r>
          </w:p>
        </w:tc>
        <w:tc>
          <w:tcPr>
            <w:tcW w:type="dxa" w:w="3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Competitive parity assessment uses IEA and BloombergNEF cost benchmarks [TIER 2]</w:t>
            </w:r>
          </w:p>
        </w:tc>
      </w:tr>
    </w:tbl>
    <w:p>
      <w:pPr>
        <w:spacing w:before="0" w:after="80"/>
      </w:pPr>
      <w:r>
        <w:t xml:space="preserve"/>
      </w:r>
    </w:p>
    <w:p>
      <w:pPr>
        <w:pStyle w:val="Heading2"/>
        <w:spacing w:before="240" w:after="120"/>
      </w:pPr>
      <w:r>
        <w:rPr>
          <w:rFonts w:ascii="Arial" w:cs="Arial" w:eastAsia="Arial" w:hAnsi="Arial"/>
          <w:b/>
          <w:bCs/>
          <w:color w:val="1B2A4A"/>
          <w:sz w:val="24"/>
          <w:szCs w:val="24"/>
        </w:rPr>
        <w:t xml:space="preserve">3.3 Priority Lines of Effort</w:t>
      </w:r>
    </w:p>
    <w:p>
      <w:pPr>
        <w:pStyle w:val="Heading3"/>
        <w:spacing w:before="180" w:after="80"/>
      </w:pPr>
      <w:r>
        <w:rPr>
          <w:rFonts w:ascii="Arial" w:cs="Arial" w:eastAsia="Arial" w:hAnsi="Arial"/>
          <w:b/>
          <w:bCs/>
          <w:color w:val="4A5568"/>
          <w:sz w:val="22"/>
          <w:szCs w:val="22"/>
        </w:rPr>
        <w:t xml:space="preserve">Manufacturing Scale-Up</w:t>
      </w:r>
    </w:p>
    <w:p>
      <w:pPr>
        <w:spacing w:before="60" w:after="120"/>
        <w:jc w:val="both"/>
      </w:pPr>
      <w:r>
        <w:rPr>
          <w:rFonts w:ascii="Arial" w:cs="Arial" w:eastAsia="Arial" w:hAnsi="Arial"/>
          <w:sz w:val="22"/>
          <w:szCs w:val="22"/>
        </w:rPr>
        <w:t xml:space="preserve">Priority: LFP and NMC variant production where near-term demand is predictable. Performance measured by sustained operational output at target yield. Federal engagement focuses on enabling conditions rather than direct operational control.</w:t>
      </w:r>
    </w:p>
    <w:p>
      <w:pPr>
        <w:pStyle w:val="Heading3"/>
        <w:spacing w:before="180" w:after="80"/>
      </w:pPr>
      <w:r>
        <w:rPr>
          <w:rFonts w:ascii="Arial" w:cs="Arial" w:eastAsia="Arial" w:hAnsi="Arial"/>
          <w:b/>
          <w:bCs/>
          <w:color w:val="4A5568"/>
          <w:sz w:val="22"/>
          <w:szCs w:val="22"/>
        </w:rPr>
        <w:t xml:space="preserve">Next-Generation Pathways</w:t>
      </w:r>
    </w:p>
    <w:p>
      <w:pPr>
        <w:spacing w:before="60" w:after="120"/>
        <w:jc w:val="both"/>
      </w:pPr>
      <w:r>
        <w:rPr>
          <w:rFonts w:ascii="Arial" w:cs="Arial" w:eastAsia="Arial" w:hAnsi="Arial"/>
          <w:sz w:val="22"/>
          <w:szCs w:val="22"/>
        </w:rPr>
        <w:t xml:space="preserve">Advancement criteria include manufacturability, supply chain feasibility, and safety assurance — not performance metrics alone. Technology-neutral competition maintained until maturity and scaling constraints justify focus.</w:t>
      </w:r>
    </w:p>
    <w:p>
      <w:pPr>
        <w:pStyle w:val="Heading3"/>
        <w:spacing w:before="180" w:after="80"/>
      </w:pPr>
      <w:r>
        <w:rPr>
          <w:rFonts w:ascii="Arial" w:cs="Arial" w:eastAsia="Arial" w:hAnsi="Arial"/>
          <w:b/>
          <w:bCs/>
          <w:color w:val="4A5568"/>
          <w:sz w:val="22"/>
          <w:szCs w:val="22"/>
        </w:rPr>
        <w:t xml:space="preserve">Supply Chain Integration</w:t>
      </w:r>
    </w:p>
    <w:p>
      <w:pPr>
        <w:spacing w:before="60" w:after="120"/>
        <w:jc w:val="both"/>
      </w:pPr>
      <w:r>
        <w:rPr>
          <w:rFonts w:ascii="Arial" w:cs="Arial" w:eastAsia="Arial" w:hAnsi="Arial"/>
          <w:sz w:val="22"/>
          <w:szCs w:val="22"/>
        </w:rPr>
        <w:t xml:space="preserve">Battery resilience is inseparable from upstream critical minerals processing (Part II). Cathode and anode ecosystem development reduces precursor bottlenecks. Recycling is a strategic hedge, not a near-term substitute for primary supply.</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A4000" w:sz="16"/>
              <w:bottom w:val="none" w:color="FFFFFF" w:sz="0"/>
              <w:right w:val="none" w:color="FFFFFF" w:sz="0"/>
            </w:tcBorders>
            <w:shd w:fill="FEF3E2" w:val="clear"/>
            <w:tcMar>
              <w:top w:type="dxa" w:w="120"/>
              <w:left w:type="dxa" w:w="160"/>
              <w:bottom w:type="dxa" w:w="120"/>
              <w:right w:type="dxa" w:w="120"/>
            </w:tcMar>
          </w:tcPr>
          <w:p>
            <w:pPr>
              <w:spacing w:before="0" w:after="80"/>
            </w:pPr>
            <w:r>
              <w:rPr>
                <w:rFonts w:ascii="Arial" w:cs="Arial" w:eastAsia="Arial" w:hAnsi="Arial"/>
                <w:b/>
                <w:bCs/>
                <w:caps/>
                <w:color w:val="7A4000"/>
                <w:sz w:val="20"/>
                <w:szCs w:val="20"/>
              </w:rPr>
              <w:t xml:space="preserve">IMPLEMENTATION FRICTION — BATTERY MANUFACTURING</w:t>
            </w:r>
          </w:p>
          <w:p>
            <w:pPr>
              <w:spacing w:before="0" w:after="60"/>
            </w:pPr>
            <w:r>
              <w:rPr>
                <w:rFonts w:ascii="Arial" w:cs="Arial" w:eastAsia="Arial" w:hAnsi="Arial"/>
                <w:sz w:val="20"/>
                <w:szCs w:val="20"/>
              </w:rPr>
              <w:t xml:space="preserve">IRA Section 45X advanced manufacturing production credits face material legislative risk across administration transitions. Investment structures should prioritize loan guarantees and offtake agreements that create contractual obligations surviving appropriations changes. Cost competitiveness risk: PRC subsidized pricing may compress margins. Workforce risk: electrochemistry and process engineering expertise cannot be scaled instantly through capital deployment alone. The public record does not establish whether U.S. domestic battery manufacturing can achieve unsubsidized cost parity with PRC producers within the 2026–2030 horizon under any investment or workforce scenario, or whether sustained public subsidy is a permanent structural requirement rather than a transitional de-risking measure.</w:t>
            </w:r>
          </w:p>
        </w:tc>
      </w:tr>
    </w:tbl>
    <w:p>
      <w:pPr>
        <w:spacing w:before="0" w:after="160"/>
      </w:pPr>
      <w:r>
        <w:t xml:space="preserve"/>
      </w:r>
    </w:p>
    <w:p>
      <w:r>
        <w:br w:type="page"/>
      </w:r>
    </w:p>
    <w:p>
      <w:pPr>
        <w:pStyle w:val="Heading1"/>
        <w:spacing w:before="320" w:after="160"/>
      </w:pPr>
      <w:r>
        <w:rPr>
          <w:rFonts w:ascii="Arial" w:cs="Arial" w:eastAsia="Arial" w:hAnsi="Arial"/>
          <w:b/>
          <w:bCs/>
          <w:color w:val="1B2A4A"/>
          <w:sz w:val="30"/>
          <w:szCs w:val="30"/>
        </w:rPr>
        <w:t xml:space="preserve">PART IV: ENERGY SYSTEM RESILIENCE FOR INDUSTRIAL CONTINUITY</w:t>
      </w:r>
    </w:p>
    <w:p>
      <w:pPr>
        <w:pStyle w:val="Heading2"/>
        <w:spacing w:before="240" w:after="120"/>
      </w:pPr>
      <w:r>
        <w:rPr>
          <w:rFonts w:ascii="Arial" w:cs="Arial" w:eastAsia="Arial" w:hAnsi="Arial"/>
          <w:b/>
          <w:bCs/>
          <w:color w:val="1B2A4A"/>
          <w:sz w:val="24"/>
          <w:szCs w:val="24"/>
        </w:rPr>
        <w:t xml:space="preserve">4.1 Scope and Thesis</w:t>
      </w:r>
    </w:p>
    <w:p>
      <w:pPr>
        <w:spacing w:before="60" w:after="120"/>
        <w:jc w:val="both"/>
      </w:pPr>
      <w:r>
        <w:rPr>
          <w:rFonts w:ascii="Arial" w:cs="Arial" w:eastAsia="Arial" w:hAnsi="Arial"/>
          <w:sz w:val="22"/>
          <w:szCs w:val="22"/>
        </w:rPr>
        <w:t xml:space="preserve">This section addresses energy resilience specifically as a prerequisite for sustained industrial operations — not as a comprehensive energy transition strategy. The operative question is whether the energy system can sustain the semiconductor fabs, battery gigafactories, minerals processing facilities, and defense production lines that the resilience strategy requires. This scoping is deliberate. The framework does not prescribe a specific energy pathway; it specifies the reliability, fuel diversity, and supply-chain resilience requirements that industrial continuity imposes.</w:t>
      </w:r>
    </w:p>
    <w:p>
      <w:pPr>
        <w:spacing w:before="60" w:after="120"/>
        <w:jc w:val="both"/>
      </w:pPr>
      <w:r>
        <w:rPr>
          <w:rFonts w:ascii="Arial" w:cs="Arial" w:eastAsia="Arial" w:hAnsi="Arial"/>
          <w:sz w:val="22"/>
          <w:szCs w:val="22"/>
        </w:rPr>
        <w:t xml:space="preserve">NERC’s 2024 Long-Term Reliability Assessment documents compressing reserve margins in select U.S. regions driven by dispatchable capacity retirements outpacing firm resource additions. [TIER 1 — NERC 2024 Long-Term Reliability Assessment] Semiconductor fabs, battery gigafactories, and minerals processing facilities require highly stable, uninterruptible power at industrial scale with short restoration timelines. These are not typical residential or commercial loads; they require power quality and reliability specifications that grid-scale disruptions cannot satisfy through demand response alone.</w:t>
      </w:r>
    </w:p>
    <w:p>
      <w:pPr>
        <w:spacing w:before="0" w:after="80"/>
      </w:pPr>
      <w:r>
        <w:t xml:space="preserve"/>
      </w:r>
    </w:p>
    <w:p>
      <w:pPr>
        <w:pStyle w:val="Heading2"/>
        <w:spacing w:before="240" w:after="120"/>
      </w:pPr>
      <w:r>
        <w:rPr>
          <w:rFonts w:ascii="Arial" w:cs="Arial" w:eastAsia="Arial" w:hAnsi="Arial"/>
          <w:b/>
          <w:bCs/>
          <w:color w:val="1B2A4A"/>
          <w:sz w:val="24"/>
          <w:szCs w:val="24"/>
        </w:rPr>
        <w:t xml:space="preserve">4.2 Strategic Objectives (2026–2035) and Decision Thresholds</w:t>
      </w:r>
    </w:p>
    <w:p>
      <w:pPr>
        <w:pStyle w:val="ListParagraph"/>
        <w:numPr>
          <w:ilvl w:val="0"/>
          <w:numId w:val="2"/>
        </w:numPr>
        <w:spacing w:before="40" w:after="40"/>
      </w:pPr>
      <w:r>
        <w:rPr>
          <w:rFonts w:ascii="Arial" w:cs="Arial" w:eastAsia="Arial" w:hAnsi="Arial"/>
          <w:sz w:val="22"/>
          <w:szCs w:val="22"/>
        </w:rPr>
        <w:t xml:space="preserve">Restore and sustain firm, dispatchable capacity sufficient to maintain reliability during peak demand and extended variable generation shortfalls in industrial corridors</w:t>
      </w:r>
    </w:p>
    <w:p>
      <w:pPr>
        <w:pStyle w:val="ListParagraph"/>
        <w:numPr>
          <w:ilvl w:val="0"/>
          <w:numId w:val="2"/>
        </w:numPr>
        <w:spacing w:before="40" w:after="40"/>
      </w:pPr>
      <w:r>
        <w:rPr>
          <w:rFonts w:ascii="Arial" w:cs="Arial" w:eastAsia="Arial" w:hAnsi="Arial"/>
          <w:sz w:val="22"/>
          <w:szCs w:val="22"/>
        </w:rPr>
        <w:t xml:space="preserve">Modernize transmission infrastructure to enable interregional power flows and accelerate disruption recovery in priority industrial regions</w:t>
      </w:r>
    </w:p>
    <w:p>
      <w:pPr>
        <w:pStyle w:val="ListParagraph"/>
        <w:numPr>
          <w:ilvl w:val="0"/>
          <w:numId w:val="2"/>
        </w:numPr>
        <w:spacing w:before="40" w:after="40"/>
      </w:pPr>
      <w:r>
        <w:rPr>
          <w:rFonts w:ascii="Arial" w:cs="Arial" w:eastAsia="Arial" w:hAnsi="Arial"/>
          <w:sz w:val="22"/>
          <w:szCs w:val="22"/>
        </w:rPr>
        <w:t xml:space="preserve">Diversify generation portfolios to reduce single-technology and single-fuel concentration risks</w:t>
      </w:r>
    </w:p>
    <w:p>
      <w:pPr>
        <w:pStyle w:val="ListParagraph"/>
        <w:numPr>
          <w:ilvl w:val="0"/>
          <w:numId w:val="2"/>
        </w:numPr>
        <w:spacing w:before="40" w:after="40"/>
      </w:pPr>
      <w:r>
        <w:rPr>
          <w:rFonts w:ascii="Arial" w:cs="Arial" w:eastAsia="Arial" w:hAnsi="Arial"/>
          <w:sz w:val="22"/>
          <w:szCs w:val="22"/>
        </w:rPr>
        <w:t xml:space="preserve">Strengthen fuel-cycle and supply-chain resilience for critical energy technologies</w:t>
      </w:r>
    </w:p>
    <w:p>
      <w:pPr>
        <w:spacing w:before="0" w:after="60"/>
      </w:pPr>
      <w:r>
        <w:t xml:space="preserve"/>
      </w:r>
    </w:p>
    <w:p>
      <w:pPr>
        <w:spacing w:before="60" w:after="120"/>
        <w:jc w:val="both"/>
      </w:pPr>
      <w:r>
        <w:rPr>
          <w:rFonts w:ascii="Arial" w:cs="Arial" w:eastAsia="Arial" w:hAnsi="Arial"/>
          <w:sz w:val="22"/>
          <w:szCs w:val="22"/>
        </w:rPr>
        <w:t xml:space="preserve">Decision thresholds for energy system resilience: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Condition</w:t>
            </w:r>
          </w:p>
        </w:tc>
        <w:tc>
          <w:tcPr>
            <w:tcW w:type="dxa" w:w="3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Threshold</w:t>
            </w:r>
          </w:p>
        </w:tc>
        <w:tc>
          <w:tcPr>
            <w:tcW w:type="dxa" w:w="3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Decision</w:t>
            </w:r>
          </w:p>
        </w:tc>
      </w:tr>
      <w:tr>
        <w:trPr>
          <w:tblHeader w:val=""/>
        </w:trP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Reserve margin in industrial corridor regions</w:t>
            </w:r>
          </w:p>
        </w:tc>
        <w:tc>
          <w:tcPr>
            <w:tcW w:type="dxa" w:w="3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Below 15% planning reserve in regions with concentrated industrial load</w:t>
            </w:r>
          </w:p>
        </w:tc>
        <w:tc>
          <w:tcPr>
            <w:tcW w:type="dxa" w:w="3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PRIORITIZE firm capacity additions in those specific regions</w:t>
            </w:r>
          </w:p>
        </w:tc>
      </w:tr>
      <w:tr>
        <w:trPr>
          <w:tblHeader w:val=""/>
        </w:trP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Grid stress events affecting industrial facilities</w:t>
            </w:r>
          </w:p>
        </w:tc>
        <w:tc>
          <w:tcPr>
            <w:tcW w:type="dxa" w:w="3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Two or more major grid stress events causing unplanned industrial facility shutdowns within any 12-month period in a priority region</w:t>
            </w:r>
          </w:p>
        </w:tc>
        <w:tc>
          <w:tcPr>
            <w:tcW w:type="dxa" w:w="3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ESCALATE: targeted hardening investment; islanding capability review for critical facilities</w:t>
            </w:r>
          </w:p>
        </w:tc>
      </w:tr>
      <w:tr>
        <w:trPr>
          <w:tblHeader w:val=""/>
        </w:trP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Advanced nuclear demonstration schedule</w:t>
            </w:r>
          </w:p>
        </w:tc>
        <w:tc>
          <w:tcPr>
            <w:tcW w:type="dxa" w:w="3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Demonstration project exceeds committed schedule by more than 24 months without documented force-majeure cause</w:t>
            </w:r>
          </w:p>
        </w:tc>
        <w:tc>
          <w:tcPr>
            <w:tcW w:type="dxa" w:w="3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REASSESS: independent technical review; maintain fuel-cycle investment regardless of deployment timeline</w:t>
            </w:r>
          </w:p>
        </w:tc>
      </w:tr>
      <w:tr>
        <w:trPr>
          <w:tblHeader w:val=""/>
        </w:trP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HALEU domestic enrichment capacity</w:t>
            </w:r>
          </w:p>
        </w:tc>
        <w:tc>
          <w:tcPr>
            <w:tcW w:type="dxa" w:w="3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Below minimum to sustain declared advanced reactor demonstration program</w:t>
            </w:r>
          </w:p>
        </w:tc>
        <w:tc>
          <w:tcPr>
            <w:tcW w:type="dxa" w:w="3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PROTECT: fuel-cycle investment cannot be deferred without degrading entire advanced nuclear strategy</w:t>
            </w:r>
          </w:p>
        </w:tc>
      </w:tr>
    </w:tbl>
    <w:p>
      <w:pPr>
        <w:spacing w:before="0" w:after="80"/>
      </w:pPr>
      <w:r>
        <w:t xml:space="preserve"/>
      </w:r>
    </w:p>
    <w:p>
      <w:pPr>
        <w:pStyle w:val="Heading2"/>
        <w:spacing w:before="240" w:after="120"/>
      </w:pPr>
      <w:r>
        <w:rPr>
          <w:rFonts w:ascii="Arial" w:cs="Arial" w:eastAsia="Arial" w:hAnsi="Arial"/>
          <w:b/>
          <w:bCs/>
          <w:color w:val="1B2A4A"/>
          <w:sz w:val="24"/>
          <w:szCs w:val="24"/>
        </w:rPr>
        <w:t xml:space="preserve">4.3 Priority Lines of Effort</w:t>
      </w:r>
    </w:p>
    <w:p>
      <w:pPr>
        <w:pStyle w:val="Heading3"/>
        <w:spacing w:before="180" w:after="80"/>
      </w:pPr>
      <w:r>
        <w:rPr>
          <w:rFonts w:ascii="Arial" w:cs="Arial" w:eastAsia="Arial" w:hAnsi="Arial"/>
          <w:b/>
          <w:bCs/>
          <w:color w:val="4A5568"/>
          <w:sz w:val="22"/>
          <w:szCs w:val="22"/>
        </w:rPr>
        <w:t xml:space="preserve">Firm Dispatchable Capacity</w:t>
      </w:r>
    </w:p>
    <w:p>
      <w:pPr>
        <w:spacing w:before="60" w:after="120"/>
        <w:jc w:val="both"/>
      </w:pPr>
      <w:r>
        <w:rPr>
          <w:rFonts w:ascii="Arial" w:cs="Arial" w:eastAsia="Arial" w:hAnsi="Arial"/>
          <w:sz w:val="22"/>
          <w:szCs w:val="22"/>
        </w:rPr>
        <w:t xml:space="preserve">Advanced nuclear provides the firmest pathway for industrial-grade power reliability. Framework priorities: standardized designs and phased licensing; domestic HALEU enrichment and conversion; domestic manufacturing for critical reactor components; and demonstration-to-deployment gating on deliverability and manufacturability, not performance metrics alone. The delivery uncertainty for advanced nuclear is a real constraint: first-mover deployments should be explicitly designed as learning projects with gating criteria, not programmatic commitments to fixed fleet development.</w:t>
      </w:r>
    </w:p>
    <w:p>
      <w:pPr>
        <w:pStyle w:val="Heading3"/>
        <w:spacing w:before="180" w:after="80"/>
      </w:pPr>
      <w:r>
        <w:rPr>
          <w:rFonts w:ascii="Arial" w:cs="Arial" w:eastAsia="Arial" w:hAnsi="Arial"/>
          <w:b/>
          <w:bCs/>
          <w:color w:val="4A5568"/>
          <w:sz w:val="22"/>
          <w:szCs w:val="22"/>
        </w:rPr>
        <w:t xml:space="preserve">Transmission Adequacy and Supply-Chain Resilience</w:t>
      </w:r>
    </w:p>
    <w:p>
      <w:pPr>
        <w:spacing w:before="60" w:after="120"/>
        <w:jc w:val="both"/>
      </w:pPr>
      <w:r>
        <w:rPr>
          <w:rFonts w:ascii="Arial" w:cs="Arial" w:eastAsia="Arial" w:hAnsi="Arial"/>
          <w:sz w:val="22"/>
          <w:szCs w:val="22"/>
        </w:rPr>
        <w:t xml:space="preserve">Transmission priorities: interregional transfer capability in industrial-load regions; permitting and siting coordination without diluting statutory protections; and operational modernization through enhanced monitoring and grid-forming controls. Grid hardware (large power transformers, substation equipment, advanced control systems) represents a supply-chain resilience problem with concentrated foreign sourcing and lead times exceeding 3 years; this is a supply chain resilience issue regardless of generation mix.</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A4000" w:sz="16"/>
              <w:bottom w:val="none" w:color="FFFFFF" w:sz="0"/>
              <w:right w:val="none" w:color="FFFFFF" w:sz="0"/>
            </w:tcBorders>
            <w:shd w:fill="FEF3E2" w:val="clear"/>
            <w:tcMar>
              <w:top w:type="dxa" w:w="120"/>
              <w:left w:type="dxa" w:w="160"/>
              <w:bottom w:type="dxa" w:w="120"/>
              <w:right w:type="dxa" w:w="120"/>
            </w:tcMar>
          </w:tcPr>
          <w:p>
            <w:pPr>
              <w:spacing w:before="0" w:after="80"/>
            </w:pPr>
            <w:r>
              <w:rPr>
                <w:rFonts w:ascii="Arial" w:cs="Arial" w:eastAsia="Arial" w:hAnsi="Arial"/>
                <w:b/>
                <w:bCs/>
                <w:caps/>
                <w:color w:val="7A4000"/>
                <w:sz w:val="20"/>
                <w:szCs w:val="20"/>
              </w:rPr>
              <w:t xml:space="preserve">IMPLEMENTATION FRICTION — ENERGY SYSTEMS</w:t>
            </w:r>
          </w:p>
          <w:p>
            <w:pPr>
              <w:spacing w:before="0" w:after="60"/>
            </w:pPr>
            <w:r>
              <w:rPr>
                <w:rFonts w:ascii="Arial" w:cs="Arial" w:eastAsia="Arial" w:hAnsi="Arial"/>
                <w:sz w:val="20"/>
                <w:szCs w:val="20"/>
              </w:rPr>
              <w:t xml:space="preserve">Advanced nuclear delivery uncertainty is the highest-consequence implementation risk in this section. Advanced reactor cost and schedule performance on first-mover deployments has consistently exceeded projections; demonstration-to-deployment gating is designed to prevent premature fleet commitment. Transmission permitting and siting creates timelines frequently exceeding 5–10 years; early permitting sequencing is the primary mitigation within existing statutory authority. Nuclear workforce and licensing bottlenecks are binding near-term constraints that cannot be resolved through capital investment alone. The public record does not establish that any advanced reactor design currently in the U.S. development pipeline has achieved cost and schedule performance consistent with the deployment timelines assumed in this framework; available evidence is more consistent with a judgment that advanced nuclear industrial continuity contributions will materialize at the later end of the 2026–2035 objective horizon rather than the earlier end.</w:t>
            </w:r>
          </w:p>
        </w:tc>
      </w:tr>
    </w:tbl>
    <w:p>
      <w:pPr>
        <w:spacing w:before="0" w:after="160"/>
      </w:pPr>
      <w:r>
        <w:t xml:space="preserve"/>
      </w:r>
    </w:p>
    <w:p>
      <w:r>
        <w:br w:type="page"/>
      </w:r>
    </w:p>
    <w:p>
      <w:pPr>
        <w:pStyle w:val="Heading1"/>
        <w:spacing w:before="320" w:after="160"/>
      </w:pPr>
      <w:r>
        <w:rPr>
          <w:rFonts w:ascii="Arial" w:cs="Arial" w:eastAsia="Arial" w:hAnsi="Arial"/>
          <w:b/>
          <w:bCs/>
          <w:color w:val="1B2A4A"/>
          <w:sz w:val="30"/>
          <w:szCs w:val="30"/>
        </w:rPr>
        <w:t xml:space="preserve">PART V: ADVANCED MANUFACTURING AND INDUSTRIAL BASE</w:t>
      </w:r>
    </w:p>
    <w:p>
      <w:pPr>
        <w:pStyle w:val="Heading2"/>
        <w:spacing w:before="240" w:after="120"/>
      </w:pPr>
      <w:r>
        <w:rPr>
          <w:rFonts w:ascii="Arial" w:cs="Arial" w:eastAsia="Arial" w:hAnsi="Arial"/>
          <w:b/>
          <w:bCs/>
          <w:color w:val="1B2A4A"/>
          <w:sz w:val="24"/>
          <w:szCs w:val="24"/>
        </w:rPr>
        <w:t xml:space="preserve">5.1 Strategic Problem</w:t>
      </w:r>
    </w:p>
    <w:p>
      <w:pPr>
        <w:spacing w:before="60" w:after="120"/>
        <w:jc w:val="both"/>
      </w:pPr>
      <w:r>
        <w:rPr>
          <w:rFonts w:ascii="Arial" w:cs="Arial" w:eastAsia="Arial" w:hAnsi="Arial"/>
          <w:sz w:val="22"/>
          <w:szCs w:val="22"/>
        </w:rPr>
        <w:t xml:space="preserve">The U.S. share of global semiconductor fabrication capacity has declined from approximately 37% in 1990 to approximately 10–12% as of 2023, with CHIPS Act investments beginning to shift the trajectory but not yet having materially altered the structural dependency profile. [TIER 2 — SIA State of the U.S. Semiconductor Industry 2024; updated from SIA/BCG 2021 baseline] The constraint is not insufficient factory count but the absence of integrated industrial ecosystems — supplier networks, skilled workforce pipelines, quality control systems, and operational experience — enabling reliable, cost-competitive production at commercial scale.</w:t>
      </w:r>
    </w:p>
    <w:p>
      <w:pPr>
        <w:spacing w:before="0" w:after="80"/>
      </w:pPr>
      <w:r>
        <w:t xml:space="preserve"/>
      </w:r>
    </w:p>
    <w:p>
      <w:pPr>
        <w:pStyle w:val="Heading2"/>
        <w:spacing w:before="240" w:after="120"/>
      </w:pPr>
      <w:r>
        <w:rPr>
          <w:rFonts w:ascii="Arial" w:cs="Arial" w:eastAsia="Arial" w:hAnsi="Arial"/>
          <w:b/>
          <w:bCs/>
          <w:color w:val="1B2A4A"/>
          <w:sz w:val="24"/>
          <w:szCs w:val="24"/>
        </w:rPr>
        <w:t xml:space="preserve">5.2 Strategic Objectives (2026–2030) and Decision Thresholds</w:t>
      </w:r>
    </w:p>
    <w:p>
      <w:pPr>
        <w:pStyle w:val="ListParagraph"/>
        <w:numPr>
          <w:ilvl w:val="0"/>
          <w:numId w:val="2"/>
        </w:numPr>
        <w:spacing w:before="40" w:after="40"/>
      </w:pPr>
      <w:r>
        <w:rPr>
          <w:rFonts w:ascii="Arial" w:cs="Arial" w:eastAsia="Arial" w:hAnsi="Arial"/>
          <w:sz w:val="22"/>
          <w:szCs w:val="22"/>
        </w:rPr>
        <w:t xml:space="preserve">Expand domestic semiconductor fabrication across leading-edge, mature-node, and specialized applications to reduce concentration risk in defense-critical and infrastructure-essential systems</w:t>
      </w:r>
    </w:p>
    <w:p>
      <w:pPr>
        <w:pStyle w:val="ListParagraph"/>
        <w:numPr>
          <w:ilvl w:val="0"/>
          <w:numId w:val="2"/>
        </w:numPr>
        <w:spacing w:before="40" w:after="40"/>
      </w:pPr>
      <w:r>
        <w:rPr>
          <w:rFonts w:ascii="Arial" w:cs="Arial" w:eastAsia="Arial" w:hAnsi="Arial"/>
          <w:sz w:val="22"/>
          <w:szCs w:val="22"/>
        </w:rPr>
        <w:t xml:space="preserve">Strengthen precision manufacturing ecosystems for components required in energy systems, grid infrastructure, aerospace, nuclear, and advanced industrial equipment</w:t>
      </w:r>
    </w:p>
    <w:p>
      <w:pPr>
        <w:pStyle w:val="ListParagraph"/>
        <w:numPr>
          <w:ilvl w:val="0"/>
          <w:numId w:val="2"/>
        </w:numPr>
        <w:spacing w:before="40" w:after="40"/>
      </w:pPr>
      <w:r>
        <w:rPr>
          <w:rFonts w:ascii="Arial" w:cs="Arial" w:eastAsia="Arial" w:hAnsi="Arial"/>
          <w:sz w:val="22"/>
          <w:szCs w:val="22"/>
        </w:rPr>
        <w:t xml:space="preserve">Advance AI-enabled manufacturing systems to improve yield, reduce waste, and accelerate time-to-scale</w:t>
      </w:r>
    </w:p>
    <w:p>
      <w:pPr>
        <w:pStyle w:val="ListParagraph"/>
        <w:numPr>
          <w:ilvl w:val="0"/>
          <w:numId w:val="2"/>
        </w:numPr>
        <w:spacing w:before="40" w:after="40"/>
      </w:pPr>
      <w:r>
        <w:rPr>
          <w:rFonts w:ascii="Arial" w:cs="Arial" w:eastAsia="Arial" w:hAnsi="Arial"/>
          <w:sz w:val="22"/>
          <w:szCs w:val="22"/>
        </w:rPr>
        <w:t xml:space="preserve">Build integrated supplier ecosystems to reduce single-point failures and improve surge capacity</w:t>
      </w:r>
    </w:p>
    <w:p>
      <w:pPr>
        <w:spacing w:before="0" w:after="60"/>
      </w:pPr>
      <w:r>
        <w:t xml:space="preserve"/>
      </w:r>
    </w:p>
    <w:p>
      <w:pPr>
        <w:spacing w:before="60" w:after="120"/>
        <w:jc w:val="both"/>
      </w:pPr>
      <w:r>
        <w:rPr>
          <w:rFonts w:ascii="Arial" w:cs="Arial" w:eastAsia="Arial" w:hAnsi="Arial"/>
          <w:sz w:val="22"/>
          <w:szCs w:val="22"/>
        </w:rPr>
        <w:t xml:space="preserve">Decision thresholds for advanced manufacturing: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Condition</w:t>
            </w:r>
          </w:p>
        </w:tc>
        <w:tc>
          <w:tcPr>
            <w:tcW w:type="dxa" w:w="3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Threshold</w:t>
            </w:r>
          </w:p>
        </w:tc>
        <w:tc>
          <w:tcPr>
            <w:tcW w:type="dxa" w:w="3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Decision</w:t>
            </w:r>
          </w:p>
        </w:tc>
      </w:tr>
      <w:tr>
        <w:trPr>
          <w:tblHeader w:val=""/>
        </w:trP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Domestic semiconductor fabrication share</w:t>
            </w:r>
          </w:p>
        </w:tc>
        <w:tc>
          <w:tcPr>
            <w:tcW w:type="dxa" w:w="3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Below 14% of global wafer capacity: CONTINUE current CHIPS Act investment pace; below 20% including allied capacity integration (coalition-credibility threshold): EVALUATE whether allied integration framework is sufficient; above 20% including Tier 1 allied: PHASE DOWN new public capacity de-risking</w:t>
            </w:r>
          </w:p>
        </w:tc>
        <w:tc>
          <w:tcPr>
            <w:tcW w:type="dxa" w:w="3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Coalition-credibility threshold: 20% domestic + Tier 1 allied [analytically inferred]</w:t>
            </w:r>
          </w:p>
        </w:tc>
      </w:tr>
      <w:tr>
        <w:trPr>
          <w:tblHeader w:val=""/>
        </w:trP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Defense allocation availability</w:t>
            </w:r>
          </w:p>
        </w:tc>
        <w:tc>
          <w:tcPr>
            <w:tcW w:type="dxa" w:w="3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Domestic capacity unable to meet DoD priority requirements during commercial demand surge in two or more consecutive quarters</w:t>
            </w:r>
          </w:p>
        </w:tc>
        <w:tc>
          <w:tcPr>
            <w:tcW w:type="dxa" w:w="3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PROTECT: ring-fence allocation mechanism for defense applications</w:t>
            </w:r>
          </w:p>
        </w:tc>
      </w:tr>
      <w:tr>
        <w:trPr>
          <w:tblHeader w:val=""/>
        </w:trP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CHIPS Act program funding</w:t>
            </w:r>
          </w:p>
        </w:tc>
        <w:tc>
          <w:tcPr>
            <w:tcW w:type="dxa" w:w="3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Appropriations reduction exceeding 25% from FY2026 baseline without supplemental authorization</w:t>
            </w:r>
          </w:p>
        </w:tc>
        <w:tc>
          <w:tcPr>
            <w:tcW w:type="dxa" w:w="3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ACTIVATE: private capital pre-commitment protection; accelerate loan guarantee closings to create contractual obligations before further reduction risk materializes</w:t>
            </w:r>
          </w:p>
        </w:tc>
      </w:tr>
      <w:tr>
        <w:trPr>
          <w:tblHeader w:val=""/>
        </w:trP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Backend packaging concentration</w:t>
            </w:r>
          </w:p>
        </w:tc>
        <w:tc>
          <w:tcPr>
            <w:tcW w:type="dxa" w:w="3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Advanced packaging capacity below 20% domestic or allied equivalent for leading-edge applications</w:t>
            </w:r>
          </w:p>
        </w:tc>
        <w:tc>
          <w:tcPr>
            <w:tcW w:type="dxa" w:w="3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PRIORITIZE: packaging vulnerability is a near-term operational risk; currently underaddressed relative to fabrication investment</w:t>
            </w:r>
          </w:p>
        </w:tc>
      </w:tr>
    </w:tbl>
    <w:p>
      <w:pPr>
        <w:spacing w:before="0" w:after="80"/>
      </w:pPr>
      <w:r>
        <w:t xml:space="preserve"/>
      </w:r>
    </w:p>
    <w:p>
      <w:pPr>
        <w:pStyle w:val="Heading2"/>
        <w:spacing w:before="240" w:after="120"/>
      </w:pPr>
      <w:r>
        <w:rPr>
          <w:rFonts w:ascii="Arial" w:cs="Arial" w:eastAsia="Arial" w:hAnsi="Arial"/>
          <w:b/>
          <w:bCs/>
          <w:color w:val="1B2A4A"/>
          <w:sz w:val="24"/>
          <w:szCs w:val="24"/>
        </w:rPr>
        <w:t xml:space="preserve">5.3 Priority Lines of Effort</w:t>
      </w:r>
    </w:p>
    <w:p>
      <w:pPr>
        <w:pStyle w:val="Heading3"/>
        <w:spacing w:before="180" w:after="80"/>
      </w:pPr>
      <w:r>
        <w:rPr>
          <w:rFonts w:ascii="Arial" w:cs="Arial" w:eastAsia="Arial" w:hAnsi="Arial"/>
          <w:b/>
          <w:bCs/>
          <w:color w:val="4A5568"/>
          <w:sz w:val="22"/>
          <w:szCs w:val="22"/>
        </w:rPr>
        <w:t xml:space="preserve">Semiconductor Manufacturing</w:t>
      </w:r>
    </w:p>
    <w:p>
      <w:pPr>
        <w:spacing w:before="60" w:after="120"/>
        <w:jc w:val="both"/>
      </w:pPr>
      <w:r>
        <w:rPr>
          <w:rFonts w:ascii="Arial" w:cs="Arial" w:eastAsia="Arial" w:hAnsi="Arial"/>
          <w:sz w:val="22"/>
          <w:szCs w:val="22"/>
        </w:rPr>
        <w:t xml:space="preserve">Building on CHIPS Act investments, priority areas address workforce, backend processing, and supply chain gaps: mature-node capacity at 28nm–90nm (essential to automotive, industrial, and defense; underaddressed relative to advanced node investment); advanced packaging and testing resilience; materials and equipment supply chains; and workforce acceleration aligned to fab commissioning timelines.</w:t>
      </w:r>
    </w:p>
    <w:p>
      <w:pPr>
        <w:pStyle w:val="Heading3"/>
        <w:spacing w:before="180" w:after="80"/>
      </w:pPr>
      <w:r>
        <w:rPr>
          <w:rFonts w:ascii="Arial" w:cs="Arial" w:eastAsia="Arial" w:hAnsi="Arial"/>
          <w:b/>
          <w:bCs/>
          <w:color w:val="4A5568"/>
          <w:sz w:val="22"/>
          <w:szCs w:val="22"/>
        </w:rPr>
        <w:t xml:space="preserve">Precision Manufacturing and AI-Enabled Production</w:t>
      </w:r>
    </w:p>
    <w:p>
      <w:pPr>
        <w:spacing w:before="60" w:after="120"/>
        <w:jc w:val="both"/>
      </w:pPr>
      <w:r>
        <w:rPr>
          <w:rFonts w:ascii="Arial" w:cs="Arial" w:eastAsia="Arial" w:hAnsi="Arial"/>
          <w:sz w:val="22"/>
          <w:szCs w:val="22"/>
        </w:rPr>
        <w:t xml:space="preserve">Nuclear-grade manufacturing capacity; grid hardware and power electronics; battery manufacturing equipment; aerospace and defense precision components. AI-enabled manufacturing applications: predictive maintenance; real-time defect detection; process optimization. Industrial software with cybersecurity-by-design is mandatory for defense, nuclear, grid, and critical manufacturing sectors.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A4000" w:sz="16"/>
              <w:bottom w:val="none" w:color="FFFFFF" w:sz="0"/>
              <w:right w:val="none" w:color="FFFFFF" w:sz="0"/>
            </w:tcBorders>
            <w:shd w:fill="FEF3E2" w:val="clear"/>
            <w:tcMar>
              <w:top w:type="dxa" w:w="120"/>
              <w:left w:type="dxa" w:w="160"/>
              <w:bottom w:type="dxa" w:w="120"/>
              <w:right w:type="dxa" w:w="120"/>
            </w:tcMar>
          </w:tcPr>
          <w:p>
            <w:pPr>
              <w:spacing w:before="0" w:after="80"/>
            </w:pPr>
            <w:r>
              <w:rPr>
                <w:rFonts w:ascii="Arial" w:cs="Arial" w:eastAsia="Arial" w:hAnsi="Arial"/>
                <w:b/>
                <w:bCs/>
                <w:caps/>
                <w:color w:val="7A4000"/>
                <w:sz w:val="20"/>
                <w:szCs w:val="20"/>
              </w:rPr>
              <w:t xml:space="preserve">IMPLEMENTATION FRICTION — ADVANCED MANUFACTURING</w:t>
            </w:r>
          </w:p>
          <w:p>
            <w:pPr>
              <w:spacing w:before="0" w:after="60"/>
            </w:pPr>
            <w:r>
              <w:rPr>
                <w:rFonts w:ascii="Arial" w:cs="Arial" w:eastAsia="Arial" w:hAnsi="Arial"/>
                <w:sz w:val="20"/>
                <w:szCs w:val="20"/>
              </w:rPr>
              <w:t xml:space="preserve">Capital intensity misaligns with private financing timelines without public de-risking. Decades of offshoring have reduced manufacturing engineer and technician pipelines; ramp-up bottlenecks from workforce constraints cannot be resolved through capital deployment alone. Domestic production at unsubsidized cost parity with established foreign producers is not achievable in the 2026–2030 window for most categories; the framework targets strategic sufficiency, not cost parity. The principal uncertainty concerns whether “strategic sufficiency” as defined in Part X represents a threshold that is achievable within the implementation horizon given simultaneous workforce, permitting, and capital constraints, or whether the compound constraint environment systematically prevents multiple domains from reaching their adequacy thresholds simultaneously regardless of investment level.</w:t>
            </w:r>
          </w:p>
        </w:tc>
      </w:tr>
    </w:tbl>
    <w:p>
      <w:pPr>
        <w:spacing w:before="0" w:after="160"/>
      </w:pPr>
      <w:r>
        <w:t xml:space="preserve"/>
      </w:r>
    </w:p>
    <w:p>
      <w:r>
        <w:br w:type="page"/>
      </w:r>
    </w:p>
    <w:p>
      <w:pPr>
        <w:pStyle w:val="Heading1"/>
        <w:spacing w:before="320" w:after="160"/>
      </w:pPr>
      <w:r>
        <w:rPr>
          <w:rFonts w:ascii="Arial" w:cs="Arial" w:eastAsia="Arial" w:hAnsi="Arial"/>
          <w:b/>
          <w:bCs/>
          <w:color w:val="1B2A4A"/>
          <w:sz w:val="30"/>
          <w:szCs w:val="30"/>
        </w:rPr>
        <w:t xml:space="preserve">PART VI: CROSS-CUTTING ENABLERS</w:t>
      </w:r>
    </w:p>
    <w:p>
      <w:pPr>
        <w:pStyle w:val="Heading2"/>
        <w:spacing w:before="240" w:after="120"/>
      </w:pPr>
      <w:r>
        <w:rPr>
          <w:rFonts w:ascii="Arial" w:cs="Arial" w:eastAsia="Arial" w:hAnsi="Arial"/>
          <w:b/>
          <w:bCs/>
          <w:color w:val="1B2A4A"/>
          <w:sz w:val="24"/>
          <w:szCs w:val="24"/>
        </w:rPr>
        <w:t xml:space="preserve">6.1 Horizontal Execution Risk</w:t>
      </w:r>
    </w:p>
    <w:p>
      <w:pPr>
        <w:spacing w:before="60" w:after="120"/>
        <w:jc w:val="both"/>
      </w:pPr>
      <w:r>
        <w:rPr>
          <w:rFonts w:ascii="Arial" w:cs="Arial" w:eastAsia="Arial" w:hAnsi="Arial"/>
          <w:sz w:val="22"/>
          <w:szCs w:val="22"/>
        </w:rPr>
        <w:t xml:space="preserve">Battery gigafactories, semiconductor fabs, advanced nuclear deployments, and minerals processing facilities compete for the same limited supply of process engineers, skilled technicians, project managers, and industrial construction trades. They rely on capital markets misaligned with multi-year construction timelines. They navigate permitting systems designed for sequential rather than synchronized deployment. Execution risk is horizontal, not sector-specific. Workforce pipeline constraints are assessed as binding earlier in the implementation horizon than capital constraints in all four domains: capital can be committed in quarters; workforce cannot be credentialed in under two to four years. The enabling systems address coordination failures; they do not eliminate structural problems of bureaucratic conflict, statutory mismatch, litigation exposure, and misaligned incentives that require statutory clarification, dedicated staffing, or shared budget incentives beyond coordination design alone. Escalation pathways resolve prioritization conflicts but do not eliminate underlying incentive divergence, which persists as a structural execution risk throughout the implementation horizon.</w:t>
      </w:r>
    </w:p>
    <w:p>
      <w:pPr>
        <w:spacing w:before="0" w:after="80"/>
      </w:pPr>
      <w:r>
        <w:t xml:space="preserve"/>
      </w:r>
    </w:p>
    <w:p>
      <w:pPr>
        <w:pStyle w:val="Heading2"/>
        <w:spacing w:before="240" w:after="120"/>
      </w:pPr>
      <w:r>
        <w:rPr>
          <w:rFonts w:ascii="Arial" w:cs="Arial" w:eastAsia="Arial" w:hAnsi="Arial"/>
          <w:b/>
          <w:bCs/>
          <w:color w:val="1B2A4A"/>
          <w:sz w:val="24"/>
          <w:szCs w:val="24"/>
        </w:rPr>
        <w:t xml:space="preserve">6.2 Workforce Acceleration Track</w:t>
      </w:r>
    </w:p>
    <w:p>
      <w:pPr>
        <w:spacing w:before="60" w:after="120"/>
        <w:jc w:val="both"/>
      </w:pPr>
      <w:r>
        <w:rPr>
          <w:rFonts w:ascii="Arial" w:cs="Arial" w:eastAsia="Arial" w:hAnsi="Arial"/>
          <w:sz w:val="22"/>
          <w:szCs w:val="22"/>
        </w:rPr>
        <w:t xml:space="preserve">Key actions: community college and technical program expansion aligned to facility construction timelines; registered apprenticeship expansion; mid-career transition pathways for workers from declining industrial sectors; and safety culture and quality systems training embedded in all programs.</w:t>
      </w:r>
    </w:p>
    <w:p>
      <w:pPr>
        <w:spacing w:before="60" w:after="120"/>
        <w:jc w:val="both"/>
      </w:pPr>
      <w:r>
        <w:rPr>
          <w:rFonts w:ascii="Arial" w:cs="Arial" w:eastAsia="Arial" w:hAnsi="Arial"/>
          <w:sz w:val="22"/>
          <w:szCs w:val="22"/>
        </w:rPr>
        <w:t xml:space="preserve">Strategic immigration as a workforce lever requires explicit CI risk management. Streamlined pathways for highly skilled engineers and specialized technicians in semiconductor manufacturing, advanced nuclear, and critical minerals processing are necessary workforce strategy components. These sectors also carry elevated technology transfer and insider threat risk. Foreign-national workforce recruitment must be accompanied by appropriate vetting architecture — security clearance pathways where applicable, enhanced background screening, export control compliance training, and cleared personnel integration protocols. This is not a reason to forgo the workforce lever; it is a reason to operationalize it with appropriate institutional architecture rather than through undifferentiated immigration streamlining. The public record does not establish the relative magnitude of workforce constraints versus capital constraints in determining industrial strategy implementation outcomes; available evidence is more consistent with workforce as the binding near-term constraint in most domains, but an alternative interpretation — that capital formation and regulatory certainty are the primary binding constraints, and that workforce supply would respond to capital deployment — cannot be excluded based on available open-source evidence, and would have different policy implications.</w:t>
      </w:r>
    </w:p>
    <w:p>
      <w:pPr>
        <w:spacing w:before="0" w:after="80"/>
      </w:pPr>
      <w:r>
        <w:t xml:space="preserve"/>
      </w:r>
    </w:p>
    <w:p>
      <w:pPr>
        <w:pStyle w:val="Heading2"/>
        <w:spacing w:before="240" w:after="120"/>
      </w:pPr>
      <w:r>
        <w:rPr>
          <w:rFonts w:ascii="Arial" w:cs="Arial" w:eastAsia="Arial" w:hAnsi="Arial"/>
          <w:b/>
          <w:bCs/>
          <w:color w:val="1B2A4A"/>
          <w:sz w:val="24"/>
          <w:szCs w:val="24"/>
        </w:rPr>
        <w:t xml:space="preserve">6.3 Commercialization Bridge, Capital Formation, and Permitting Tracks</w:t>
      </w:r>
    </w:p>
    <w:p>
      <w:pPr>
        <w:spacing w:before="60" w:after="120"/>
        <w:jc w:val="both"/>
      </w:pPr>
      <w:r>
        <w:rPr>
          <w:rFonts w:ascii="Arial" w:cs="Arial" w:eastAsia="Arial" w:hAnsi="Arial"/>
          <w:sz w:val="22"/>
          <w:szCs w:val="22"/>
        </w:rPr>
        <w:t xml:space="preserve">Commercialization bridge: embeds scale-up engineering expertise within late-stage R&amp;D; expands shared pilot facilities; utilizes structured loan guarantees and cost-sharing for first-of-a-kind facilities; establishes performance-based milestones. Capital formation: expanded federal loan and credit authority; partial risk-sharing; production-based incentives aligned to operational output; structured sunset provisions. Permitting: parallel review initiation; shared environmental baselines; lead agency designation for strategic projects; timeline transparency. These mechanisms reduce friction where coordination failure is the binding constraint; they escalate to Deputies Committee where structural conflicts require resolution. The available evidence does not resolve whether these mechanisms are sufficient to accelerate commercialization timelines to the degree required for adequacy threshold achievement within the 2026–2030 horizon, or whether the primary barrier is structural market economics that coordination mechanisms cannot address.</w:t>
      </w:r>
    </w:p>
    <w:p>
      <w:pPr>
        <w:spacing w:before="0" w:after="160"/>
      </w:pPr>
      <w:r>
        <w:t xml:space="preserve"/>
      </w:r>
    </w:p>
    <w:p>
      <w:r>
        <w:br w:type="page"/>
      </w:r>
    </w:p>
    <w:p>
      <w:pPr>
        <w:pStyle w:val="Heading1"/>
        <w:spacing w:before="320" w:after="160"/>
      </w:pPr>
      <w:r>
        <w:rPr>
          <w:rFonts w:ascii="Arial" w:cs="Arial" w:eastAsia="Arial" w:hAnsi="Arial"/>
          <w:b/>
          <w:bCs/>
          <w:color w:val="1B2A4A"/>
          <w:sz w:val="30"/>
          <w:szCs w:val="30"/>
        </w:rPr>
        <w:t xml:space="preserve">PART VII: IMPLEMENTATION FRAMEWORK</w:t>
      </w:r>
    </w:p>
    <w:p>
      <w:pPr>
        <w:pStyle w:val="Heading2"/>
        <w:spacing w:before="240" w:after="120"/>
      </w:pPr>
      <w:r>
        <w:rPr>
          <w:rFonts w:ascii="Arial" w:cs="Arial" w:eastAsia="Arial" w:hAnsi="Arial"/>
          <w:b/>
          <w:bCs/>
          <w:color w:val="1B2A4A"/>
          <w:sz w:val="24"/>
          <w:szCs w:val="24"/>
        </w:rPr>
        <w:t xml:space="preserve">7.1 Structural Principles</w:t>
      </w:r>
    </w:p>
    <w:p>
      <w:pPr>
        <w:spacing w:before="60" w:after="120"/>
        <w:jc w:val="both"/>
      </w:pPr>
      <w:r>
        <w:rPr>
          <w:rFonts w:ascii="Arial" w:cs="Arial" w:eastAsia="Arial" w:hAnsi="Arial"/>
          <w:sz w:val="22"/>
          <w:szCs w:val="22"/>
        </w:rPr>
        <w:t xml:space="preserve">Implementation operates within existing institutional authorities, statutory frameworks, and market structures. Five principles: civilian-led and department-executed; authorities-first; market-compatible; phased and reviewable; federated execution. Where institutional incentives diverge from the framework’s coordination requirements — particularly in DOE-Commerce resource allocation conflicts and interagency priority disputes — the framework specifies escalation pathways rather than assuming good-faith coordination alone.</w:t>
      </w:r>
    </w:p>
    <w:p>
      <w:pPr>
        <w:spacing w:before="60" w:after="120"/>
        <w:jc w:val="both"/>
      </w:pPr>
      <w:r>
        <w:rPr>
          <w:rFonts w:ascii="Arial" w:cs="Arial" w:eastAsia="Arial" w:hAnsi="Arial"/>
          <w:sz w:val="22"/>
          <w:szCs w:val="22"/>
        </w:rPr>
        <w:t xml:space="preserve">Friction and coercive effect boundary: this framework evaluates conditions likely to generate industrial capacity and reduce structural dependency friction under stated assumptions. It does not assess whether reduced dependency produces behavioral change in adversary states, policy concession, or durable strategic advantage — those are distinct questions addressed in the enforcement architecture layer (ESCALATE-01). The public record does not establish the precise relationship between domestic industrial capacity levels and enforcement coercive effect; increased capacity is assessed as improving enforcement credibility, but the causal chain from capacity to behavioral change is analytically inferred rather than empirically established.</w:t>
      </w:r>
    </w:p>
    <w:p>
      <w:pPr>
        <w:spacing w:before="0" w:after="80"/>
      </w:pPr>
      <w:r>
        <w:t xml:space="preserve"/>
      </w:r>
    </w:p>
    <w:p>
      <w:pPr>
        <w:pStyle w:val="Heading2"/>
        <w:spacing w:before="240" w:after="120"/>
      </w:pPr>
      <w:r>
        <w:rPr>
          <w:rFonts w:ascii="Arial" w:cs="Arial" w:eastAsia="Arial" w:hAnsi="Arial"/>
          <w:b/>
          <w:bCs/>
          <w:color w:val="1B2A4A"/>
          <w:sz w:val="24"/>
          <w:szCs w:val="24"/>
        </w:rPr>
        <w:t xml:space="preserve">7.2 Federal Leadership and Functional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80"/>
        <w:gridCol w:w="268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Agency</w:t>
            </w:r>
          </w:p>
        </w:tc>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Primary Responsibility</w:t>
            </w:r>
          </w:p>
        </w:tc>
        <w:tc>
          <w:tcPr>
            <w:tcW w:type="dxa" w:w="2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Institutional Constraint</w:t>
            </w:r>
          </w:p>
        </w:tc>
      </w:tr>
      <w:tr>
        <w:trPr>
          <w:tblHeader w:val=""/>
        </w:trP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DOE</w:t>
            </w:r>
          </w:p>
        </w:tc>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Technology deployment integration; advanced nuclear coordination; energy storage integration; Loan Programs Office portfolio</w:t>
            </w:r>
          </w:p>
        </w:tc>
        <w:tc>
          <w:tcPr>
            <w:tcW w:type="dxa" w:w="2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Does not override siting authority, environmental review jurisdiction, or private capital allocation</w:t>
            </w:r>
          </w:p>
        </w:tc>
      </w:tr>
      <w:tr>
        <w:trPr>
          <w:tblHeader w:val=""/>
        </w:trP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Commerce</w:t>
            </w:r>
          </w:p>
        </w:tc>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Semiconductor manufacturing programs; advanced manufacturing expansion; supply chain mapping</w:t>
            </w:r>
          </w:p>
        </w:tc>
        <w:tc>
          <w:tcPr>
            <w:tcW w:type="dxa" w:w="2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Does not direct corporate strategy or production allocation</w:t>
            </w:r>
          </w:p>
        </w:tc>
      </w:tr>
      <w:tr>
        <w:trPr>
          <w:tblHeader w:val=""/>
        </w:trP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Interior</w:t>
            </w:r>
          </w:p>
        </w:tc>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Federal land access for critical minerals; environmental compliance on federal lands; resource assessment</w:t>
            </w:r>
          </w:p>
        </w:tc>
        <w:tc>
          <w:tcPr>
            <w:tcW w:type="dxa" w:w="2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Does not guarantee project approvals or override state regulatory authority</w:t>
            </w:r>
          </w:p>
        </w:tc>
      </w:tr>
      <w:tr>
        <w:trPr>
          <w:tblHeader w:val=""/>
        </w:trP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EPA</w:t>
            </w:r>
          </w:p>
        </w:tc>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Required environmental review; standards clarification for emerging technologies</w:t>
            </w:r>
          </w:p>
        </w:tc>
        <w:tc>
          <w:tcPr>
            <w:tcW w:type="dxa" w:w="2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Does not waive statutory protections</w:t>
            </w:r>
          </w:p>
        </w:tc>
      </w:tr>
      <w:tr>
        <w:trPr>
          <w:tblHeader w:val=""/>
        </w:trP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Labor</w:t>
            </w:r>
          </w:p>
        </w:tc>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Apprenticeship expansion; technical education coordination; workforce forecasting</w:t>
            </w:r>
          </w:p>
        </w:tc>
        <w:tc>
          <w:tcPr>
            <w:tcW w:type="dxa" w:w="2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Does not allocate workforce placement across projects</w:t>
            </w:r>
          </w:p>
        </w:tc>
      </w:tr>
      <w:tr>
        <w:trPr>
          <w:tblHeader w:val=""/>
        </w:trP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Treasury</w:t>
            </w:r>
          </w:p>
        </w:tc>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Tax incentive administration; fiscal risk assessment; capital mobilization; financing-enforcement conflict coordinator</w:t>
            </w:r>
          </w:p>
        </w:tc>
        <w:tc>
          <w:tcPr>
            <w:tcW w:type="dxa" w:w="2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Does not direct lending decisions within departmental financing authorities</w:t>
            </w:r>
          </w:p>
        </w:tc>
      </w:tr>
      <w:tr>
        <w:trPr>
          <w:tblHeader w:val=""/>
        </w:trP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State</w:t>
            </w:r>
          </w:p>
        </w:tc>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Allied supply chain alignment; export control coordination; conditional-variable allied coordination assessment</w:t>
            </w:r>
          </w:p>
        </w:tc>
        <w:tc>
          <w:tcPr>
            <w:tcW w:type="dxa" w:w="2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Holds no domestic operational authority within this framework</w:t>
            </w:r>
          </w:p>
        </w:tc>
      </w:tr>
    </w:tbl>
    <w:p>
      <w:pPr>
        <w:spacing w:before="0" w:after="120"/>
      </w:pPr>
      <w:r>
        <w:t xml:space="preserve"/>
      </w:r>
    </w:p>
    <w:p>
      <w:pPr>
        <w:pStyle w:val="Heading2"/>
        <w:spacing w:before="240" w:after="120"/>
      </w:pPr>
      <w:r>
        <w:rPr>
          <w:rFonts w:ascii="Arial" w:cs="Arial" w:eastAsia="Arial" w:hAnsi="Arial"/>
          <w:b/>
          <w:bCs/>
          <w:color w:val="1B2A4A"/>
          <w:sz w:val="24"/>
          <w:szCs w:val="24"/>
        </w:rPr>
        <w:t xml:space="preserve">7.3 Enabling Legislation: Political Durability Constraint</w:t>
      </w:r>
    </w:p>
    <w:p>
      <w:pPr>
        <w:spacing w:before="60" w:after="120"/>
        <w:jc w:val="both"/>
      </w:pPr>
      <w:r>
        <w:rPr>
          <w:rFonts w:ascii="Arial" w:cs="Arial" w:eastAsia="Arial" w:hAnsi="Arial"/>
          <w:sz w:val="22"/>
          <w:szCs w:val="22"/>
        </w:rPr>
        <w:t xml:space="preserve">CHIPS and Science Act (Public Law 117-167) and IRA (Public Law 117-169) face material legislative risk across administration transitions. The IRA’s Section 45X advanced manufacturing production credits and Section 48E clean electricity investment credit face ongoing legislative modification risk. Treating these as fixed statutory inputs creates an internal inconsistency that the framework must acknowledge and address.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A4000" w:sz="16"/>
              <w:bottom w:val="none" w:color="FFFFFF" w:sz="0"/>
              <w:right w:val="none" w:color="FFFFFF" w:sz="0"/>
            </w:tcBorders>
            <w:shd w:fill="FEF3E2" w:val="clear"/>
            <w:tcMar>
              <w:top w:type="dxa" w:w="120"/>
              <w:left w:type="dxa" w:w="160"/>
              <w:bottom w:type="dxa" w:w="120"/>
              <w:right w:type="dxa" w:w="120"/>
            </w:tcMar>
          </w:tcPr>
          <w:p>
            <w:pPr>
              <w:spacing w:before="0" w:after="80"/>
            </w:pPr>
            <w:r>
              <w:rPr>
                <w:rFonts w:ascii="Arial" w:cs="Arial" w:eastAsia="Arial" w:hAnsi="Arial"/>
                <w:b/>
                <w:bCs/>
                <w:caps/>
                <w:color w:val="7A4000"/>
                <w:sz w:val="20"/>
                <w:szCs w:val="20"/>
              </w:rPr>
              <w:t xml:space="preserve">IMPLEMENTATION FRICTION — LEGISLATIVE DURABILITY</w:t>
            </w:r>
          </w:p>
          <w:p>
            <w:pPr>
              <w:spacing w:before="0" w:after="60"/>
            </w:pPr>
            <w:r>
              <w:rPr>
                <w:rFonts w:ascii="Arial" w:cs="Arial" w:eastAsia="Arial" w:hAnsi="Arial"/>
                <w:sz w:val="20"/>
                <w:szCs w:val="20"/>
              </w:rPr>
              <w:t xml:space="preserve">Mitigation architecture: (a) prioritize loan guarantees and offtake agreements creating contractual obligations before legislative risk materializes; DOE Energy Policy Act loan guarantee authority (42 U.S.C. s. 16511 et seq.) predates the political polarization of clean energy policy and is more durable than IRA-specific appropriations; (b) embed as much implementation as possible in agency authorities and rulemaking rather than direct appropriations; (c) build bipartisan political constituencies by demonstrating manufacturing employment outcomes in congressional districts with non-trivial political weight. Contractual legal obligations created through loan guarantees survive appropriations changes; IRA production credits that require annual appropriations implementation do not.</w:t>
            </w:r>
          </w:p>
        </w:tc>
      </w:tr>
    </w:tbl>
    <w:p>
      <w:pPr>
        <w:spacing w:before="0" w:after="120"/>
      </w:pPr>
      <w:r>
        <w:t xml:space="preserve"/>
      </w:r>
    </w:p>
    <w:p>
      <w:pPr>
        <w:pStyle w:val="Heading2"/>
        <w:spacing w:before="240" w:after="120"/>
      </w:pPr>
      <w:r>
        <w:rPr>
          <w:rFonts w:ascii="Arial" w:cs="Arial" w:eastAsia="Arial" w:hAnsi="Arial"/>
          <w:b/>
          <w:bCs/>
          <w:color w:val="1B2A4A"/>
          <w:sz w:val="24"/>
          <w:szCs w:val="24"/>
        </w:rPr>
        <w:t xml:space="preserve">7.4 Timeline, Phasing, and Metrics</w:t>
      </w:r>
    </w:p>
    <w:p>
      <w:pPr>
        <w:pStyle w:val="Heading3"/>
        <w:spacing w:before="180" w:after="80"/>
      </w:pPr>
      <w:r>
        <w:rPr>
          <w:rFonts w:ascii="Arial" w:cs="Arial" w:eastAsia="Arial" w:hAnsi="Arial"/>
          <w:b/>
          <w:bCs/>
          <w:color w:val="4A5568"/>
          <w:sz w:val="22"/>
          <w:szCs w:val="22"/>
        </w:rPr>
        <w:t xml:space="preserve">Phase I: Mobilization (2026–2027)</w:t>
      </w:r>
    </w:p>
    <w:p>
      <w:pPr>
        <w:spacing w:before="60" w:after="120"/>
        <w:jc w:val="both"/>
      </w:pPr>
      <w:r>
        <w:rPr>
          <w:rFonts w:ascii="Arial" w:cs="Arial" w:eastAsia="Arial" w:hAnsi="Arial"/>
          <w:sz w:val="22"/>
          <w:szCs w:val="22"/>
        </w:rPr>
        <w:t xml:space="preserve">Q1 activation: convene interagency working groups; publish demand and dependency baselines; identify pilot-to-commercial candidates for structured financing review; initiate parallel review coordination; establish metric tracking. End-of-2027 review: enrollment, financing deployment, permitting pilot outcomes, project progress against domain decision thresholds.</w:t>
      </w:r>
    </w:p>
    <w:p>
      <w:pPr>
        <w:pStyle w:val="Heading3"/>
        <w:spacing w:before="180" w:after="80"/>
      </w:pPr>
      <w:r>
        <w:rPr>
          <w:rFonts w:ascii="Arial" w:cs="Arial" w:eastAsia="Arial" w:hAnsi="Arial"/>
          <w:b/>
          <w:bCs/>
          <w:color w:val="4A5568"/>
          <w:sz w:val="22"/>
          <w:szCs w:val="22"/>
        </w:rPr>
        <w:t xml:space="preserve">Phase II: Scale and Integration (2028–2029)</w:t>
      </w:r>
    </w:p>
    <w:p>
      <w:pPr>
        <w:spacing w:before="60" w:after="120"/>
        <w:jc w:val="both"/>
      </w:pPr>
      <w:r>
        <w:rPr>
          <w:rFonts w:ascii="Arial" w:cs="Arial" w:eastAsia="Arial" w:hAnsi="Arial"/>
          <w:sz w:val="22"/>
          <w:szCs w:val="22"/>
        </w:rPr>
        <w:t xml:space="preserve">Operationalize first commercial facilities; expand workforce throughput; deploy AI-enabled manufacturing systems; achieve measurable dependency reduction. End-of-2029 review: cost competitiveness, capital mobilization ratios, permitting timeline performance, domain adequacy threshold progress.</w:t>
      </w:r>
    </w:p>
    <w:p>
      <w:pPr>
        <w:pStyle w:val="Heading3"/>
        <w:spacing w:before="180" w:after="80"/>
      </w:pPr>
      <w:r>
        <w:rPr>
          <w:rFonts w:ascii="Arial" w:cs="Arial" w:eastAsia="Arial" w:hAnsi="Arial"/>
          <w:b/>
          <w:bCs/>
          <w:color w:val="4A5568"/>
          <w:sz w:val="22"/>
          <w:szCs w:val="22"/>
        </w:rPr>
        <w:t xml:space="preserve">Phase III: Consolidation and Decision Point (2030)</w:t>
      </w:r>
    </w:p>
    <w:p>
      <w:pPr>
        <w:spacing w:before="60" w:after="120"/>
        <w:jc w:val="both"/>
      </w:pPr>
      <w:r>
        <w:rPr>
          <w:rFonts w:ascii="Arial" w:cs="Arial" w:eastAsia="Arial" w:hAnsi="Arial"/>
          <w:sz w:val="22"/>
          <w:szCs w:val="22"/>
        </w:rPr>
        <w:t xml:space="preserve">Evaluate dependency reduction against baselines and adequacy thresholds (Part IX); assess commercial sustainability; transition mature technologies off capital support; identify next-generation priorities. Continuation decisions based on measured performance, not initial projections.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62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Measurement Basis</w:t>
            </w:r>
          </w:p>
        </w:tc>
      </w:tr>
      <w:tr>
        <w:trPr>
          <w:tblHeader w:val="false"/>
        </w:trPr>
        <w:tc>
          <w:tcPr>
            <w:tcW w:type="dxa" w:w="312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color w:val="000000"/>
                <w:sz w:val="18"/>
                <w:szCs w:val="18"/>
              </w:rPr>
              <w:t xml:space="preserve">Net import reliance — priority materials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USGS methodology: (Imports - Exports + Stock Changes) / Apparent Consumption; annual update</w:t>
            </w:r>
          </w:p>
        </w:tc>
      </w:tr>
      <w:tr>
        <w:trPr>
          <w:tblHeader w:val="false"/>
        </w:trPr>
        <w:tc>
          <w:tcPr>
            <w:tcW w:type="dxa" w:w="312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color w:val="000000"/>
                <w:sz w:val="18"/>
                <w:szCs w:val="18"/>
              </w:rPr>
              <w:t xml:space="preserve">Domestic battery production share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U.S. operational GWh / U.S. consumption; annual</w:t>
            </w:r>
          </w:p>
        </w:tc>
      </w:tr>
      <w:tr>
        <w:trPr>
          <w:tblHeader w:val="false"/>
        </w:trPr>
        <w:tc>
          <w:tcPr>
            <w:tcW w:type="dxa" w:w="312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color w:val="000000"/>
                <w:sz w:val="18"/>
                <w:szCs w:val="18"/>
              </w:rPr>
              <w:t xml:space="preserve">Semiconductor fabrication share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U.S. wafer capacity as % of global capacity; leading-edge and mature-node tracked separately</w:t>
            </w:r>
          </w:p>
        </w:tc>
      </w:tr>
      <w:tr>
        <w:trPr>
          <w:tblHeader w:val="false"/>
        </w:trPr>
        <w:tc>
          <w:tcPr>
            <w:tcW w:type="dxa" w:w="312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color w:val="000000"/>
                <w:sz w:val="18"/>
                <w:szCs w:val="18"/>
              </w:rPr>
              <w:t xml:space="preserve">Critical minerals throughput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Annual domestic processing tonnage vs. consumption for priority materials</w:t>
            </w:r>
          </w:p>
        </w:tc>
      </w:tr>
      <w:tr>
        <w:trPr>
          <w:tblHeader w:val="false"/>
        </w:trPr>
        <w:tc>
          <w:tcPr>
            <w:tcW w:type="dxa" w:w="312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color w:val="000000"/>
                <w:sz w:val="18"/>
                <w:szCs w:val="18"/>
              </w:rPr>
              <w:t xml:space="preserve">Workforce throughput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Annual credentialed graduates + apprentices completing programs in priority fields</w:t>
            </w:r>
          </w:p>
        </w:tc>
      </w:tr>
      <w:tr>
        <w:trPr>
          <w:tblHeader w:val="false"/>
        </w:trPr>
        <w:tc>
          <w:tcPr>
            <w:tcW w:type="dxa" w:w="312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color w:val="000000"/>
                <w:sz w:val="18"/>
                <w:szCs w:val="18"/>
              </w:rPr>
              <w:t xml:space="preserve">Capital mobilization ratio</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Total private capital committed / federal financing deployed; target 2:1 or greater</w:t>
            </w:r>
          </w:p>
        </w:tc>
      </w:tr>
      <w:tr>
        <w:trPr>
          <w:tblHeader w:val="false"/>
        </w:trPr>
        <w:tc>
          <w:tcPr>
            <w:tcW w:type="dxa" w:w="312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color w:val="000000"/>
                <w:sz w:val="18"/>
                <w:szCs w:val="18"/>
              </w:rPr>
              <w:t xml:space="preserve">Permitting timeline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Median duration from application to Record of Decision by project category</w:t>
            </w:r>
          </w:p>
        </w:tc>
      </w:tr>
      <w:tr>
        <w:trPr>
          <w:tblHeader w:val="false"/>
        </w:trPr>
        <w:tc>
          <w:tcPr>
            <w:tcW w:type="dxa" w:w="312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color w:val="000000"/>
                <w:sz w:val="18"/>
                <w:szCs w:val="18"/>
              </w:rPr>
              <w:t xml:space="preserve">Project completion rate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Operational facilities / announced facilities within stated time window</w:t>
            </w:r>
          </w:p>
        </w:tc>
      </w:tr>
      <w:tr>
        <w:trPr>
          <w:tblHeader w:val="false"/>
        </w:trPr>
        <w:tc>
          <w:tcPr>
            <w:tcW w:type="dxa" w:w="312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color w:val="000000"/>
                <w:sz w:val="18"/>
                <w:szCs w:val="18"/>
              </w:rPr>
              <w:t xml:space="preserve">OEE at operational facilities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Availability x Performance x Quality; facility-level tracking</w:t>
            </w:r>
          </w:p>
        </w:tc>
      </w:tr>
    </w:tbl>
    <w:p>
      <w:pPr>
        <w:spacing w:before="0" w:after="80"/>
      </w:pPr>
      <w:r>
        <w:t xml:space="preserve"/>
      </w:r>
    </w:p>
    <w:p>
      <w:pPr>
        <w:spacing w:before="60" w:after="120"/>
        <w:jc w:val="both"/>
      </w:pPr>
      <w:r>
        <w:rPr>
          <w:rFonts w:ascii="Arial" w:cs="Arial" w:eastAsia="Arial" w:hAnsi="Arial"/>
          <w:sz w:val="22"/>
          <w:szCs w:val="22"/>
        </w:rPr>
        <w:t xml:space="preserve">Review architecture: annual interagency performance review with public unclassified summary; independent technical assessment every three years; sunset or restructuring of programs failing performance thresholds.</w:t>
      </w:r>
    </w:p>
    <w:p>
      <w:pPr>
        <w:spacing w:before="0" w:after="160"/>
      </w:pPr>
      <w:r>
        <w:t xml:space="preserve"/>
      </w:r>
    </w:p>
    <w:p>
      <w:r>
        <w:br w:type="page"/>
      </w:r>
    </w:p>
    <w:p>
      <w:pPr>
        <w:pStyle w:val="Heading1"/>
        <w:spacing w:before="320" w:after="160"/>
      </w:pPr>
      <w:r>
        <w:rPr>
          <w:rFonts w:ascii="Arial" w:cs="Arial" w:eastAsia="Arial" w:hAnsi="Arial"/>
          <w:b/>
          <w:bCs/>
          <w:color w:val="1B2A4A"/>
          <w:sz w:val="30"/>
          <w:szCs w:val="30"/>
        </w:rPr>
        <w:t xml:space="preserve">PART VIII: PRIORITY DISCIPLINE UNDER RESOURCE CONSTRAINTS</w:t>
      </w:r>
    </w:p>
    <w:p>
      <w:pPr>
        <w:spacing w:before="60" w:after="120"/>
        <w:jc w:val="both"/>
      </w:pPr>
      <w:r>
        <w:rPr>
          <w:rFonts w:ascii="Arial" w:cs="Arial" w:eastAsia="Arial" w:hAnsi="Arial"/>
          <w:sz w:val="22"/>
          <w:szCs w:val="22"/>
        </w:rPr>
        <w:t xml:space="preserve">The framework’s sufficiency-not-dominance framing is correct but requires operational specificity. When fiscal, workforce, or permitting capacity is binding — which is the expected operating condition, not an edge case — the framework must specify what gets funded first, what remains allied-complemented rather than domestically built, what is deferred, and what sufficiency means by sector. Without these exclusion rules, sufficiency-not-dominance is good language but not a decision tool.</w:t>
      </w:r>
    </w:p>
    <w:p>
      <w:pPr>
        <w:spacing w:before="0" w:after="60"/>
      </w:pPr>
      <w:r>
        <w:t xml:space="preserve"/>
      </w:r>
    </w:p>
    <w:p>
      <w:pPr>
        <w:pStyle w:val="Heading2"/>
        <w:spacing w:before="240" w:after="120"/>
      </w:pPr>
      <w:r>
        <w:rPr>
          <w:rFonts w:ascii="Arial" w:cs="Arial" w:eastAsia="Arial" w:hAnsi="Arial"/>
          <w:b/>
          <w:bCs/>
          <w:color w:val="1B2A4A"/>
          <w:sz w:val="24"/>
          <w:szCs w:val="24"/>
        </w:rPr>
        <w:t xml:space="preserve">8.1 First-Order Priorities: Protect Under All Conditions</w:t>
      </w:r>
    </w:p>
    <w:p>
      <w:pPr>
        <w:spacing w:before="60" w:after="120"/>
        <w:jc w:val="both"/>
      </w:pPr>
      <w:r>
        <w:rPr>
          <w:rFonts w:ascii="Arial" w:cs="Arial" w:eastAsia="Arial" w:hAnsi="Arial"/>
          <w:sz w:val="22"/>
          <w:szCs w:val="22"/>
        </w:rPr>
        <w:t xml:space="preserve">The following investments are protected from budget pressure or implementation delays regardless of competing demands. Protection designation assumes baseline federal fiscal functionality; extreme macro-fiscal disruption — debt ceiling crisis, emergency sequestration, or fiscal force-majeure — constitutes a framework override condition requiring Presidential-level reprioritization, not an argument against the protection hierarchy under normal operating conditions.</w:t>
      </w:r>
    </w:p>
    <w:p>
      <w:pPr>
        <w:pStyle w:val="ListParagraph"/>
        <w:numPr>
          <w:ilvl w:val="0"/>
          <w:numId w:val="2"/>
        </w:numPr>
        <w:spacing w:before="40" w:after="40"/>
      </w:pPr>
      <w:r>
        <w:rPr>
          <w:rFonts w:ascii="Arial" w:cs="Arial" w:eastAsia="Arial" w:hAnsi="Arial"/>
          <w:sz w:val="22"/>
          <w:szCs w:val="22"/>
        </w:rPr>
        <w:t xml:space="preserve">HALEU fuel-cycle domestic enrichment capacity: cannot be deferred without undermining the entire advanced nuclear strategy; the investment horizon is sufficiently long that deferral now forecloses options through the 2030s</w:t>
      </w:r>
    </w:p>
    <w:p>
      <w:pPr>
        <w:pStyle w:val="ListParagraph"/>
        <w:numPr>
          <w:ilvl w:val="0"/>
          <w:numId w:val="2"/>
        </w:numPr>
        <w:spacing w:before="40" w:after="40"/>
      </w:pPr>
      <w:r>
        <w:rPr>
          <w:rFonts w:ascii="Arial" w:cs="Arial" w:eastAsia="Arial" w:hAnsi="Arial"/>
          <w:sz w:val="22"/>
          <w:szCs w:val="22"/>
        </w:rPr>
        <w:t xml:space="preserve">Sub-10nm semiconductor fabrication CHIPS Act commitments that have reached contractual commitment stage: contractual obligations must be fulfilled; new commitments should be evaluated against the adequacy threshold progress in Part IX</w:t>
      </w:r>
    </w:p>
    <w:p>
      <w:pPr>
        <w:pStyle w:val="ListParagraph"/>
        <w:numPr>
          <w:ilvl w:val="0"/>
          <w:numId w:val="2"/>
        </w:numPr>
        <w:spacing w:before="40" w:after="40"/>
      </w:pPr>
      <w:r>
        <w:rPr>
          <w:rFonts w:ascii="Arial" w:cs="Arial" w:eastAsia="Arial" w:hAnsi="Arial"/>
          <w:sz w:val="22"/>
          <w:szCs w:val="22"/>
        </w:rPr>
        <w:t xml:space="preserve">Defense-allocated semiconductor manufacturing capacity: ring-fenced regardless of commercial demand conditions or cost competitiveness pressure</w:t>
      </w:r>
    </w:p>
    <w:p>
      <w:pPr>
        <w:pStyle w:val="ListParagraph"/>
        <w:numPr>
          <w:ilvl w:val="0"/>
          <w:numId w:val="2"/>
        </w:numPr>
        <w:spacing w:before="40" w:after="40"/>
      </w:pPr>
      <w:r>
        <w:rPr>
          <w:rFonts w:ascii="Arial" w:cs="Arial" w:eastAsia="Arial" w:hAnsi="Arial"/>
          <w:sz w:val="22"/>
          <w:szCs w:val="22"/>
        </w:rPr>
        <w:t xml:space="preserve">National Defense Stockpile expansion for rare earth materials through the 2026–2028 high-vulnerability window: bridge investment, not a permanent capacity substitute, but non-deferrable given PRC countermeasure timing risk</w:t>
      </w:r>
    </w:p>
    <w:p>
      <w:pPr>
        <w:spacing w:before="0" w:after="80"/>
      </w:pPr>
      <w:r>
        <w:t xml:space="preserve"/>
      </w:r>
    </w:p>
    <w:p>
      <w:pPr>
        <w:pStyle w:val="Heading2"/>
        <w:spacing w:before="240" w:after="120"/>
      </w:pPr>
      <w:r>
        <w:rPr>
          <w:rFonts w:ascii="Arial" w:cs="Arial" w:eastAsia="Arial" w:hAnsi="Arial"/>
          <w:b/>
          <w:bCs/>
          <w:color w:val="1B2A4A"/>
          <w:sz w:val="24"/>
          <w:szCs w:val="24"/>
        </w:rPr>
        <w:t xml:space="preserve">8.2 Second-Order Priorities: Allied-Complementary Preferred Over Domestic Build</w:t>
      </w:r>
    </w:p>
    <w:p>
      <w:pPr>
        <w:spacing w:before="60" w:after="120"/>
        <w:jc w:val="both"/>
      </w:pPr>
      <w:r>
        <w:rPr>
          <w:rFonts w:ascii="Arial" w:cs="Arial" w:eastAsia="Arial" w:hAnsi="Arial"/>
          <w:sz w:val="22"/>
          <w:szCs w:val="22"/>
        </w:rPr>
        <w:t xml:space="preserve">The following domains are strategically important but better addressed through allied complementarity than domestic build-out under resource-constrained conditions:</w:t>
      </w:r>
    </w:p>
    <w:p>
      <w:pPr>
        <w:pStyle w:val="ListParagraph"/>
        <w:numPr>
          <w:ilvl w:val="0"/>
          <w:numId w:val="2"/>
        </w:numPr>
        <w:spacing w:before="40" w:after="40"/>
      </w:pPr>
      <w:r>
        <w:rPr>
          <w:rFonts w:ascii="Arial" w:cs="Arial" w:eastAsia="Arial" w:hAnsi="Arial"/>
          <w:sz w:val="22"/>
          <w:szCs w:val="22"/>
        </w:rPr>
        <w:t xml:space="preserve">Rare earth separation and light rare earth processing: Australia’s Lynas operations and emerging Canadian capacity provide allied equivalents more cost-effective and faster to scale than greenfield domestic separation facilities; U.S. domestic investment priority is heavy rare earth processing (neodymium, dysprosium, terbium) where allied alternatives are thinner</w:t>
      </w:r>
    </w:p>
    <w:p>
      <w:pPr>
        <w:pStyle w:val="ListParagraph"/>
        <w:numPr>
          <w:ilvl w:val="0"/>
          <w:numId w:val="2"/>
        </w:numPr>
        <w:spacing w:before="40" w:after="40"/>
      </w:pPr>
      <w:r>
        <w:rPr>
          <w:rFonts w:ascii="Arial" w:cs="Arial" w:eastAsia="Arial" w:hAnsi="Arial"/>
          <w:sz w:val="22"/>
          <w:szCs w:val="22"/>
        </w:rPr>
        <w:t xml:space="preserve">Cobalt processing: DRC extraction with processing in allied jurisdictions (Belgium, Finland, South Korea) represents the most viable near-term pathway; domestic cobalt processing competes poorly with allied alternatives on timeline and cost for the 2026–2030 window</w:t>
      </w:r>
    </w:p>
    <w:p>
      <w:pPr>
        <w:pStyle w:val="ListParagraph"/>
        <w:numPr>
          <w:ilvl w:val="0"/>
          <w:numId w:val="2"/>
        </w:numPr>
        <w:spacing w:before="40" w:after="40"/>
      </w:pPr>
      <w:r>
        <w:rPr>
          <w:rFonts w:ascii="Arial" w:cs="Arial" w:eastAsia="Arial" w:hAnsi="Arial"/>
          <w:sz w:val="22"/>
          <w:szCs w:val="22"/>
        </w:rPr>
        <w:t xml:space="preserve">Battery cell production for non-defense applications: the 60% adequacy threshold can be partially satisfied through Tier 1 allied capacity (Japanese and South Korean firms operating in the U.S. or under allied supply agreements); pure domestic share is less important than secure access within the Tier 1 allied perimeter</w:t>
      </w:r>
    </w:p>
    <w:p>
      <w:pPr>
        <w:spacing w:before="60" w:after="120"/>
        <w:jc w:val="both"/>
      </w:pPr>
      <w:r>
        <w:rPr>
          <w:rFonts w:ascii="Arial" w:cs="Arial" w:eastAsia="Arial" w:hAnsi="Arial"/>
          <w:sz w:val="22"/>
          <w:szCs w:val="22"/>
        </w:rPr>
        <w:t xml:space="preserve">The available evidence does not resolve whether Tier 1 allied processing and manufacturing capacity will remain available and accessible under the political and economic conditions that would produce U.S. supply chain stress; available evidence is consistent with the judgment that allied alternatives reduce dependency-concentration risk, but the public record does not establish that allied capacity would remain accessible precisely when adversary-induced supply chain disruption makes domestic alternatives most necessary.</w:t>
      </w:r>
    </w:p>
    <w:p>
      <w:pPr>
        <w:spacing w:before="0" w:after="80"/>
      </w:pPr>
      <w:r>
        <w:t xml:space="preserve"/>
      </w:r>
    </w:p>
    <w:p>
      <w:pPr>
        <w:pStyle w:val="Heading2"/>
        <w:spacing w:before="240" w:after="120"/>
      </w:pPr>
      <w:r>
        <w:rPr>
          <w:rFonts w:ascii="Arial" w:cs="Arial" w:eastAsia="Arial" w:hAnsi="Arial"/>
          <w:b/>
          <w:bCs/>
          <w:color w:val="1B2A4A"/>
          <w:sz w:val="24"/>
          <w:szCs w:val="24"/>
        </w:rPr>
        <w:t xml:space="preserve">8.3 Deferral Candidates: Accept If Execution Bandwidth Tightens</w:t>
      </w:r>
    </w:p>
    <w:p>
      <w:pPr>
        <w:spacing w:before="60" w:after="120"/>
        <w:jc w:val="both"/>
      </w:pPr>
      <w:r>
        <w:rPr>
          <w:rFonts w:ascii="Arial" w:cs="Arial" w:eastAsia="Arial" w:hAnsi="Arial"/>
          <w:sz w:val="22"/>
          <w:szCs w:val="22"/>
        </w:rPr>
        <w:t xml:space="preserve">The following investments are strategically sound but can be deferred without creating near-term irreversible vulnerabilities, provided allied alternatives remain available:</w:t>
      </w:r>
    </w:p>
    <w:p>
      <w:pPr>
        <w:pStyle w:val="ListParagraph"/>
        <w:numPr>
          <w:ilvl w:val="0"/>
          <w:numId w:val="2"/>
        </w:numPr>
        <w:spacing w:before="40" w:after="40"/>
      </w:pPr>
      <w:r>
        <w:rPr>
          <w:rFonts w:ascii="Arial" w:cs="Arial" w:eastAsia="Arial" w:hAnsi="Arial"/>
          <w:sz w:val="22"/>
          <w:szCs w:val="22"/>
        </w:rPr>
        <w:t xml:space="preserve">Hydrogen infrastructure build-out: near-term industrial continuity does not depend on hydrogen; deferral beyond the 2030 horizon is acceptable if energy system reliability objectives are met through other means</w:t>
      </w:r>
    </w:p>
    <w:p>
      <w:pPr>
        <w:pStyle w:val="ListParagraph"/>
        <w:numPr>
          <w:ilvl w:val="0"/>
          <w:numId w:val="2"/>
        </w:numPr>
        <w:spacing w:before="40" w:after="40"/>
      </w:pPr>
      <w:r>
        <w:rPr>
          <w:rFonts w:ascii="Arial" w:cs="Arial" w:eastAsia="Arial" w:hAnsi="Arial"/>
          <w:sz w:val="22"/>
          <w:szCs w:val="22"/>
        </w:rPr>
        <w:t xml:space="preserve">Comprehensive mature-node semiconductor re-shoring: partially addressed through allied-equivalents; full domestic mature-node re-shoring is a 2030–2040 objective, not a 2026–2030 priority under resource constraints</w:t>
      </w:r>
    </w:p>
    <w:p>
      <w:pPr>
        <w:pStyle w:val="ListParagraph"/>
        <w:numPr>
          <w:ilvl w:val="0"/>
          <w:numId w:val="2"/>
        </w:numPr>
        <w:spacing w:before="40" w:after="40"/>
      </w:pPr>
      <w:r>
        <w:rPr>
          <w:rFonts w:ascii="Arial" w:cs="Arial" w:eastAsia="Arial" w:hAnsi="Arial"/>
          <w:sz w:val="22"/>
          <w:szCs w:val="22"/>
        </w:rPr>
        <w:t xml:space="preserve">Advanced packaging domestic capacity above minimum DoD requirements: commercial-scale advanced packaging can be addressed through allied facilities; the domestic investment priority is ensuring DoD-specific packaging requirements can be met domestically, not comprehensive commercial packaging re-shoring</w:t>
      </w:r>
    </w:p>
    <w:p>
      <w:pPr>
        <w:spacing w:before="60" w:after="120"/>
        <w:jc w:val="both"/>
      </w:pPr>
      <w:r>
        <w:rPr>
          <w:rFonts w:ascii="Arial" w:cs="Arial" w:eastAsia="Arial" w:hAnsi="Arial"/>
          <w:sz w:val="22"/>
          <w:szCs w:val="22"/>
        </w:rPr>
        <w:t xml:space="preserve">The available evidence does not resolve whether deferred investments will remain viable options when execution bandwidth recovers, or whether deferral creates path-dependency effects — workforce pipeline atrophy, private investor confidence loss, allied partner substitution — that make re-entry materially more costly than continuous investment would have been.</w:t>
      </w:r>
    </w:p>
    <w:p>
      <w:pPr>
        <w:spacing w:before="0" w:after="80"/>
      </w:pPr>
      <w:r>
        <w:t xml:space="preserve"/>
      </w:r>
    </w:p>
    <w:p>
      <w:pPr>
        <w:pStyle w:val="Heading2"/>
        <w:spacing w:before="240" w:after="120"/>
      </w:pPr>
      <w:r>
        <w:rPr>
          <w:rFonts w:ascii="Arial" w:cs="Arial" w:eastAsia="Arial" w:hAnsi="Arial"/>
          <w:b/>
          <w:bCs/>
          <w:color w:val="1B2A4A"/>
          <w:sz w:val="24"/>
          <w:szCs w:val="24"/>
        </w:rPr>
        <w:t xml:space="preserve">8.4 Intolerable Concentration: Hard Limits Regardless of Economics</w:t>
      </w:r>
    </w:p>
    <w:p>
      <w:pPr>
        <w:pStyle w:val="ListParagraph"/>
        <w:numPr>
          <w:ilvl w:val="0"/>
          <w:numId w:val="2"/>
        </w:numPr>
        <w:spacing w:before="40" w:after="40"/>
      </w:pPr>
      <w:r>
        <w:rPr>
          <w:rFonts w:ascii="Arial" w:cs="Arial" w:eastAsia="Arial" w:hAnsi="Arial"/>
          <w:sz w:val="22"/>
          <w:szCs w:val="22"/>
        </w:rPr>
        <w:t xml:space="preserve">Greater than 90% dependence on a single foreign jurisdiction for any material on the USGS critical minerals list with current defense applications: triggers mandatory diversification investment regardless of cost</w:t>
      </w:r>
    </w:p>
    <w:p>
      <w:pPr>
        <w:pStyle w:val="ListParagraph"/>
        <w:numPr>
          <w:ilvl w:val="0"/>
          <w:numId w:val="2"/>
        </w:numPr>
        <w:spacing w:before="40" w:after="40"/>
      </w:pPr>
      <w:r>
        <w:rPr>
          <w:rFonts w:ascii="Arial" w:cs="Arial" w:eastAsia="Arial" w:hAnsi="Arial"/>
          <w:sz w:val="22"/>
          <w:szCs w:val="22"/>
        </w:rPr>
        <w:t xml:space="preserve">Zero domestic fabrication capability for leading-edge semiconductors (sub-7nm class): CHIPS Act investments have moved below this threshold for the first time since the 1990s; investment must be protected to prevent reversion</w:t>
      </w:r>
    </w:p>
    <w:p>
      <w:pPr>
        <w:pStyle w:val="ListParagraph"/>
        <w:numPr>
          <w:ilvl w:val="0"/>
          <w:numId w:val="2"/>
        </w:numPr>
        <w:spacing w:before="40" w:after="40"/>
      </w:pPr>
      <w:r>
        <w:rPr>
          <w:rFonts w:ascii="Arial" w:cs="Arial" w:eastAsia="Arial" w:hAnsi="Arial"/>
          <w:sz w:val="22"/>
          <w:szCs w:val="22"/>
        </w:rPr>
        <w:t xml:space="preserve">Zero domestic or allied-equivalent enrichment capability for advanced reactor fuels: the nuclear strategy fails entirely without fuel-cycle security; this is a hard floor</w:t>
      </w:r>
    </w:p>
    <w:p>
      <w:pPr>
        <w:spacing w:before="60" w:after="120"/>
        <w:jc w:val="both"/>
      </w:pPr>
      <w:r>
        <w:rPr>
          <w:rFonts w:ascii="Arial" w:cs="Arial" w:eastAsia="Arial" w:hAnsi="Arial"/>
          <w:sz w:val="22"/>
          <w:szCs w:val="22"/>
        </w:rPr>
        <w:t xml:space="preserve">The principal uncertainty concerns whether these hard limits are administratively enforceable against competing budget priorities in an extreme fiscal constraint environment, or whether they function as design aspirations rather than binding requirements absent explicit statutory protection. This paper assesses them as non-negotiable planning floors; the available evidence does not establish that prior U.S. administrations have treated analogous strategic dependency thresholds as binding constraints against near-term budget pressures.</w:t>
      </w:r>
    </w:p>
    <w:p>
      <w:pPr>
        <w:spacing w:before="0" w:after="80"/>
      </w:pPr>
      <w:r>
        <w:t xml:space="preserve"/>
      </w:r>
    </w:p>
    <w:p>
      <w:pPr>
        <w:pStyle w:val="Heading2"/>
        <w:spacing w:before="240" w:after="120"/>
      </w:pPr>
      <w:r>
        <w:rPr>
          <w:rFonts w:ascii="Arial" w:cs="Arial" w:eastAsia="Arial" w:hAnsi="Arial"/>
          <w:b/>
          <w:bCs/>
          <w:color w:val="1B2A4A"/>
          <w:sz w:val="24"/>
          <w:szCs w:val="24"/>
        </w:rPr>
        <w:t xml:space="preserve">8.5 Constraint Conflict Table</w:t>
      </w:r>
    </w:p>
    <w:p>
      <w:pPr>
        <w:spacing w:before="60" w:after="120"/>
        <w:jc w:val="both"/>
      </w:pPr>
      <w:r>
        <w:rPr>
          <w:rFonts w:ascii="Arial" w:cs="Arial" w:eastAsia="Arial" w:hAnsi="Arial"/>
          <w:sz w:val="22"/>
          <w:szCs w:val="22"/>
        </w:rPr>
        <w:t xml:space="preserve">When multiple resource constraints bind simultaneously, the framework must specify forced tradeoffs. The following table identifies the principal conflict scenarios and the priority resolution rule for each. The public record does not establish that any U.S. industrial strategy has operationalized explicit conflict resolution rules of this type; the table below is an analytically inferred governance design 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160"/>
        <w:gridCol w:w="3400"/>
      </w:tblGrid>
      <w:tr>
        <w:trPr>
          <w:tblHeader/>
        </w:trP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Binding Constraint</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Binding Condition</w:t>
            </w:r>
          </w:p>
        </w:tc>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Competing Priorities</w:t>
            </w:r>
          </w:p>
        </w:tc>
        <w:tc>
          <w:tcPr>
            <w:tcW w:type="dxa" w:w="3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Resolution Rule</w:t>
            </w:r>
          </w:p>
        </w:tc>
      </w:tr>
      <w:tr>
        <w:tc>
          <w:tcPr>
            <w:tcW w:type="dxa" w:w="18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sz w:val="17"/>
                <w:szCs w:val="17"/>
              </w:rPr>
              <w:t xml:space="preserve">Workforce (engineers and technicians)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Annual credential throughput below 50% of facility pipeline demand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Battery gigafactory ramp vs. semiconductor fab commissioning</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Semiconductor fab commissioning takes priority: defense allocation dependency makes semiconductor workforce the first-order constraint; battery workforce pipeline has longer lead time and more community college substitution capacity</w:t>
            </w:r>
          </w:p>
        </w:tc>
      </w:tr>
      <w:tr>
        <w:tc>
          <w:tcPr>
            <w:tcW w:type="dxa" w:w="18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sz w:val="17"/>
                <w:szCs w:val="17"/>
              </w:rPr>
              <w:t xml:space="preserve">Capital (federal loan/grant bandwidth)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Total pipeline exceeds DOE/Commerce program authorization capacity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Domestic capacity build vs. allied advance purchasing</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Allied advance purchasing takes priority over marginal domestic capacity increment: advance purchasing commitments provide immediate implementation window protection against PRC countermeasures; domestic capacity build has longer time-to-output</w:t>
            </w:r>
          </w:p>
        </w:tc>
      </w:tr>
      <w:tr>
        <w:tc>
          <w:tcPr>
            <w:tcW w:type="dxa" w:w="18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sz w:val="17"/>
                <w:szCs w:val="17"/>
              </w:rPr>
              <w:t xml:space="preserve">Permitting (environmental and land-use review)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Active review queue exceeds 24-month average resolution timeline in priority regions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Energy facility siting vs. minerals processing facility siting</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Energy facility siting takes priority: HALEU fuel-cycle and advanced nuclear capacity have longer construction horizons and earlier permitting lead-time requirements; minerals processing facilities have shorter construction timelines and can absorb permitting delay more tolerably</w:t>
            </w:r>
          </w:p>
        </w:tc>
      </w:tr>
      <w:tr>
        <w:tc>
          <w:tcPr>
            <w:tcW w:type="dxa" w:w="18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sz w:val="17"/>
                <w:szCs w:val="17"/>
              </w:rPr>
              <w:t xml:space="preserve">Legislative durability (appropriations risk)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IRA incentive structure faces material modification risk before 2028</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Battery manufacturing investment vs. energy transition incentives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Battery manufacturing investment takes priority: semiconductor and battery manufacturing have direct CHIPS Act and defense application linkages with stronger bipartisan support base; pure energy transition incentives are more politically exposed</w:t>
            </w:r>
          </w:p>
        </w:tc>
      </w:tr>
      <w:tr>
        <w:tc>
          <w:tcPr>
            <w:tcW w:type="dxa" w:w="18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sz w:val="17"/>
                <w:szCs w:val="17"/>
              </w:rPr>
              <w:t xml:space="preserve">Allied cooperation (MSP and bilateral coordination)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Tier 1 ally reduces processing partnership participation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Rare earth processing investment vs. battery cell capacity investment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Rare earth processing investment takes priority: rare earth processing has thinner allied alternative coverage than battery cells; loss of allied processing partner has a higher dependency-concentration impact for rare earths than for batteries where other Tier 1 allied options remain</w:t>
            </w:r>
          </w:p>
        </w:tc>
      </w:tr>
    </w:tbl>
    <w:p>
      <w:pPr>
        <w:spacing w:before="60" w:after="120"/>
        <w:jc w:val="both"/>
      </w:pPr>
      <w:r>
        <w:rPr>
          <w:rFonts w:ascii="Arial" w:cs="Arial" w:eastAsia="Arial" w:hAnsi="Arial"/>
          <w:sz w:val="22"/>
          <w:szCs w:val="22"/>
        </w:rPr>
        <w:t xml:space="preserve">Principal uncertainty: the resolution rules above are analytically inferred from the priority hierarchy in Sections 8.1–8.4 and from observed industrial policy tradeoff patterns. The public record does not establish that these resolution rules reflect settled interagency practice or that actual U.S. agencies would apply them as specified under simultaneous constraint conditions.</w:t>
      </w:r>
    </w:p>
    <w:p>
      <w:pPr>
        <w:spacing w:before="0" w:after="160"/>
      </w:pPr>
      <w:r>
        <w:t xml:space="preserve"/>
      </w:r>
    </w:p>
    <w:p>
      <w:r>
        <w:br w:type="page"/>
      </w:r>
    </w:p>
    <w:p>
      <w:pPr>
        <w:pStyle w:val="Heading1"/>
        <w:spacing w:before="320" w:after="160"/>
      </w:pPr>
      <w:r>
        <w:rPr>
          <w:rFonts w:ascii="Arial" w:cs="Arial" w:eastAsia="Arial" w:hAnsi="Arial"/>
          <w:b/>
          <w:bCs/>
          <w:color w:val="1B2A4A"/>
          <w:sz w:val="30"/>
          <w:szCs w:val="30"/>
        </w:rPr>
        <w:t xml:space="preserve">PART IX: FAILURE PROBABILITY LAYER</w:t>
      </w:r>
    </w:p>
    <w:p>
      <w:pPr>
        <w:spacing w:before="60" w:after="120"/>
        <w:jc w:val="both"/>
      </w:pPr>
      <w:r>
        <w:rPr>
          <w:rFonts w:ascii="Arial" w:cs="Arial" w:eastAsia="Arial" w:hAnsi="Arial"/>
          <w:sz w:val="22"/>
          <w:szCs w:val="22"/>
        </w:rPr>
        <w:t xml:space="preserve">Available evidence supports a moderate-confidence judgment that industrial resilience strategies of the scope and complexity represented by this framework face a materially higher probability of partial or full execution failure than their analytical frameworks typically acknowledge. Failure is not a tail risk; it is a baseline scenario against which the framework’s conditional adequacy must be assessed. The public record does not permit precise probability estimates for the failure modes below; the ranges provided are analytically inferred from prior U.S. industrial policy implementation experience and the political economy analysis in Part XI.</w:t>
      </w:r>
    </w:p>
    <w:p>
      <w:pPr>
        <w:spacing w:before="0" w:after="60"/>
      </w:pPr>
      <w:r>
        <w:t xml:space="preserve"/>
      </w:r>
    </w:p>
    <w:p>
      <w:pPr>
        <w:pStyle w:val="Heading2"/>
        <w:spacing w:before="240" w:after="120"/>
      </w:pPr>
      <w:r>
        <w:rPr>
          <w:rFonts w:ascii="Arial" w:cs="Arial" w:eastAsia="Arial" w:hAnsi="Arial"/>
          <w:b/>
          <w:bCs/>
          <w:color w:val="1B2A4A"/>
          <w:sz w:val="24"/>
          <w:szCs w:val="24"/>
        </w:rPr>
        <w:t xml:space="preserve">9.1 Principal Failure Mode Probability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80"/>
        <w:gridCol w:w="2280"/>
        <w:gridCol w:w="300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Failure Mode</w:t>
            </w:r>
          </w:p>
        </w:tc>
        <w:tc>
          <w:tcPr>
            <w:tcW w:type="dxa" w:w="1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Assessed Probability</w:t>
            </w:r>
          </w:p>
        </w:tc>
        <w:tc>
          <w:tcPr>
            <w:tcW w:type="dxa" w:w="22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Primary Driver</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Mitigation Adequacy</w:t>
            </w:r>
          </w:p>
        </w:tc>
      </w:tr>
      <w:tr>
        <w:tc>
          <w:tcPr>
            <w:tcW w:type="dxa" w:w="24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sz w:val="17"/>
                <w:szCs w:val="17"/>
              </w:rPr>
              <w:t xml:space="preserve">Funding discontinuity (IRA or CHIPS modification before 2028)</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Likely (55–70%) [LOW-MODERATE CONFIDENCE; analytically inferred from legislative durability analysis and congressional composition dynamics]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Administration transition + congressional budget process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Partial mitigation: loan guarantee pre-commitments and contractual obligations reduce but do not eliminate exposure; IRA production credits face higher discontinuity risk than CHIPS loan guarantees</w:t>
            </w:r>
          </w:p>
        </w:tc>
      </w:tr>
      <w:tr>
        <w:tc>
          <w:tcPr>
            <w:tcW w:type="dxa" w:w="24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sz w:val="17"/>
                <w:szCs w:val="17"/>
              </w:rPr>
              <w:t xml:space="preserve">Political turnover producing strategy reversal</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Roughly even odds (40–60%) for material modification; unlikely (20–30%) for full reversal [LOW-MODERATE CONFIDENCE]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Electoral cycle; industrial policy political salience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Partial mitigation: bipartisan constituency building and contractual obligations reduce reversal probability; full reversal is unlikely if first-wave facility construction completes before 2028</w:t>
            </w:r>
          </w:p>
        </w:tc>
      </w:tr>
      <w:tr>
        <w:tc>
          <w:tcPr>
            <w:tcW w:type="dxa" w:w="24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sz w:val="17"/>
                <w:szCs w:val="17"/>
              </w:rPr>
              <w:t xml:space="preserve">Permitting delay exceeding 24-month average in priority regions</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Very likely (70–85%) for at least one major facility [MODERATE CONFIDENCE; based on documented permitting timelines for comparable infrastructure projects]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Multi-jurisdictional review complexity; litigation exposure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Low mitigation adequacy: current mitigation measures (parallel review, lead agency designation) reduce but do not eliminate delay; judicial timelines are outside administrative control</w:t>
            </w:r>
          </w:p>
        </w:tc>
      </w:tr>
      <w:tr>
        <w:tc>
          <w:tcPr>
            <w:tcW w:type="dxa" w:w="24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sz w:val="17"/>
                <w:szCs w:val="17"/>
              </w:rPr>
              <w:t xml:space="preserve">Allied coordination erosion (Tier 1 ally reduces MSP participation)</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Likely (50–65%) for at least one Tier 1 ally over the 2026–2030 horizon [LOW-MODERATE CONFIDENCE; analytically inferred from allied industrial nationalism trends]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Allied domestic industrial policy priorities; PRC economic pressure on allied markets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Partial mitigation: allied dependency tolerance matrix (Part X) and advance purchasing commitments reduce impact; full mitigation requires allied political constituency maintenance that the framework cannot guarantee</w:t>
            </w:r>
          </w:p>
        </w:tc>
      </w:tr>
      <w:tr>
        <w:tc>
          <w:tcPr>
            <w:tcW w:type="dxa" w:w="24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sz w:val="17"/>
                <w:szCs w:val="17"/>
              </w:rPr>
              <w:t xml:space="preserve">PRC countermeasure implementation before adequacy threshold reached</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Very likely (65–80%) for some form of countermeasure in the 2026–2028 window [MODERATE CONFIDENCE; based on documented PRC pattern and implementation window analysis]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PRC strategic interest in collapsing U.S. implementation window; documented Phase A probe behavior already underway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Partial mitigation: NDS stockpile expansion and allied advance purchasing provide bridge capacity; they do not prevent the countermeasure, only reduce its impact</w:t>
            </w:r>
          </w:p>
        </w:tc>
      </w:tr>
      <w:tr>
        <w:tc>
          <w:tcPr>
            <w:tcW w:type="dxa" w:w="24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sz w:val="17"/>
                <w:szCs w:val="17"/>
              </w:rPr>
              <w:t xml:space="preserve">Workforce pipeline shortfall (credential throughput below 50% of facility demand)</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Likely (55–70%) for at least two of four priority domains by 2028 [LOW-MODERATE CONFIDENCE; analytically inferred from current credentialing rates and facility construction timelines]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Long credential lead times; competing demand across domains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Low mitigation adequacy: workforce program expansions require 2–4 years to produce credentialed output; programs initiated in 2026 produce graduates in 2028–2030, which is late for Phase I facility commissioning</w:t>
            </w:r>
          </w:p>
        </w:tc>
      </w:tr>
    </w:tbl>
    <w:p>
      <w:pPr>
        <w:spacing w:before="0" w:after="80"/>
      </w:pPr>
      <w:r>
        <w:t xml:space="preserve"/>
      </w:r>
    </w:p>
    <w:p>
      <w:pPr>
        <w:pStyle w:val="Heading2"/>
        <w:spacing w:before="240" w:after="120"/>
      </w:pPr>
      <w:r>
        <w:rPr>
          <w:rFonts w:ascii="Arial" w:cs="Arial" w:eastAsia="Arial" w:hAnsi="Arial"/>
          <w:b/>
          <w:bCs/>
          <w:color w:val="1B2A4A"/>
          <w:sz w:val="24"/>
          <w:szCs w:val="24"/>
        </w:rPr>
        <w:t xml:space="preserve">9.2 Compound Failure Scenario Assessment</w:t>
      </w:r>
    </w:p>
    <w:p>
      <w:pPr>
        <w:spacing w:before="60" w:after="120"/>
        <w:jc w:val="both"/>
      </w:pPr>
      <w:r>
        <w:rPr>
          <w:rFonts w:ascii="Arial" w:cs="Arial" w:eastAsia="Arial" w:hAnsi="Arial"/>
          <w:sz w:val="22"/>
          <w:szCs w:val="22"/>
        </w:rPr>
        <w:t xml:space="preserve">Individual failure modes above are assessed independently. Compound failure — two or more failure modes activating simultaneously — substantially increases the probability of strategy failure below the adequacy thresholds identified in Part X. The most consequential compound scenario assessed as plausible within the 2026–2030 horizon: funding discontinuity (IRA modification in 2027 administration transition) combined with PRC rare earth export restriction in 2027–2028 and permitting delay on first-wave minerals processing facilities. Under this compound scenario, the strategy faces simultaneous reduction in investment certainty, supply chain disruption before domestic alternatives are operational, and construction timeline extension that pushes first output beyond the PRC countermeasure window. Available evidence is consistent with a low-moderate-confidence judgment that the compound failure scenario has a plausible probability of occurring within the implementation horizon; the public record does not permit a precise estimate.</w:t>
      </w:r>
    </w:p>
    <w:p>
      <w:pPr>
        <w:spacing w:before="60" w:after="120"/>
        <w:jc w:val="both"/>
      </w:pPr>
      <w:r>
        <w:rPr>
          <w:rFonts w:ascii="Arial" w:cs="Arial" w:eastAsia="Arial" w:hAnsi="Arial"/>
          <w:sz w:val="22"/>
          <w:szCs w:val="22"/>
        </w:rPr>
        <w:t xml:space="preserve">Implication for framework design: compound failure probability is the strongest analytical argument for the first-order priority protection designations in Section 8.1. NDS stockpile expansion, CHIPS Act contractual commitments, and DOE HALEU fuel-cycle investment are structurally protected not because individual failure probability is low, but because compound failure scenarios that include the failure of these specific elements produce irreversible strategic gaps that cannot be closed within the implementation horizon. The public record does not establish a precedent for an industrial resilience strategy of this scope being successfully executed across a U.S. administration transition without material modification.</w:t>
      </w:r>
    </w:p>
    <w:p>
      <w:pPr>
        <w:spacing w:before="0" w:after="160"/>
      </w:pPr>
      <w:r>
        <w:t xml:space="preserve"/>
      </w:r>
    </w:p>
    <w:p>
      <w:r>
        <w:br w:type="page"/>
      </w:r>
    </w:p>
    <w:p>
      <w:pPr>
        <w:pStyle w:val="Heading1"/>
        <w:spacing w:before="320" w:after="160"/>
      </w:pPr>
      <w:r>
        <w:rPr>
          <w:rFonts w:ascii="Arial" w:cs="Arial" w:eastAsia="Arial" w:hAnsi="Arial"/>
          <w:b/>
          <w:bCs/>
          <w:color w:val="1B2A4A"/>
          <w:sz w:val="30"/>
          <w:szCs w:val="30"/>
        </w:rPr>
        <w:t xml:space="preserve">PART X: ENFORCEMENT CREDIBILITY THRESHOLDS AND ALLIED DEPENDENCY TOLERANCE</w:t>
      </w:r>
    </w:p>
    <w:p>
      <w:pPr>
        <w:spacing w:before="60" w:after="120"/>
        <w:jc w:val="both"/>
      </w:pPr>
      <w:r>
        <w:rPr>
          <w:rFonts w:ascii="Arial" w:cs="Arial" w:eastAsia="Arial" w:hAnsi="Arial"/>
          <w:sz w:val="22"/>
          <w:szCs w:val="22"/>
        </w:rPr>
        <w:t xml:space="preserve">RESILIENCE-01’s core analytical claim is that domestic industrial capacity is a prerequisite for enforcement strategy credibility. This section provides quantitative specification: at what domestic capacity levels do specific enforcement strategies become coalition-credible? Without these thresholds, the strategy’s metrics measure progress without being able to declare adequacy.</w:t>
      </w:r>
    </w:p>
    <w:p>
      <w:pPr>
        <w:spacing w:before="0" w:after="60"/>
      </w:pPr>
      <w:r>
        <w:t xml:space="preserve"/>
      </w:r>
    </w:p>
    <w:p>
      <w:pPr>
        <w:pStyle w:val="Heading2"/>
        <w:spacing w:before="240" w:after="120"/>
      </w:pPr>
      <w:r>
        <w:rPr>
          <w:rFonts w:ascii="Arial" w:cs="Arial" w:eastAsia="Arial" w:hAnsi="Arial"/>
          <w:b/>
          <w:bCs/>
          <w:color w:val="1B2A4A"/>
          <w:sz w:val="24"/>
          <w:szCs w:val="24"/>
        </w:rPr>
        <w:t xml:space="preserve">10.1 Allied Dependency Tolerance Matrix</w:t>
      </w:r>
    </w:p>
    <w:p>
      <w:pPr>
        <w:spacing w:before="60" w:after="120"/>
        <w:jc w:val="both"/>
      </w:pPr>
      <w:r>
        <w:rPr>
          <w:rFonts w:ascii="Arial" w:cs="Arial" w:eastAsia="Arial" w:hAnsi="Arial"/>
          <w:sz w:val="22"/>
          <w:szCs w:val="22"/>
        </w:rPr>
        <w:t xml:space="preserve">The following matrix specifies acceptable domestic minimums, acceptable allied reliance ceilings, intolerable concentration thresholds, and contingency posture if allied cooperation degrades. Allied coordination is treated as a conditional variable throughout. Threshold basis note: the 60% battery cell adequacy threshold is derived from observed coalition sustainability patterns in which allied defection from technology-denial campaigns has been documented when import dependencies in the relevant sector exceed approximately 40% from adversary-controlled supply — the 60% domestic-plus-allied target provides a buffer above that defection threshold. The 20% semiconductor coalition-credibility threshold is derived from the approximate global market share at which U.S. and allied production can sustain non-sanctioned partner demand during enforcement campaigns without triggering supply security concerns that have historically driven allied defection; the 15% energy reserve margin threshold reflects standard NERC reliability planning norms for regions with concentrated industrial load. All three are analytically inferred planning thresholds, not formally codified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1680"/>
        <w:gridCol w:w="1680"/>
        <w:gridCol w:w="1680"/>
        <w:gridCol w:w="2640"/>
      </w:tblGrid>
      <w:tr>
        <w:trPr>
          <w:tblHeader/>
        </w:trPr>
        <w:tc>
          <w:tcPr>
            <w:tcW w:type="dxa" w:w="1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7"/>
                <w:szCs w:val="17"/>
              </w:rPr>
              <w:t xml:space="preserve">Domain</w:t>
            </w:r>
          </w:p>
        </w:tc>
        <w:tc>
          <w:tcPr>
            <w:tcW w:type="dxa" w:w="1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7"/>
                <w:szCs w:val="17"/>
              </w:rPr>
              <w:t xml:space="preserve">Domestic Minimum</w:t>
            </w:r>
          </w:p>
        </w:tc>
        <w:tc>
          <w:tcPr>
            <w:tcW w:type="dxa" w:w="1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7"/>
                <w:szCs w:val="17"/>
              </w:rPr>
              <w:t xml:space="preserve">Allied Reliance Ceiling</w:t>
            </w:r>
          </w:p>
        </w:tc>
        <w:tc>
          <w:tcPr>
            <w:tcW w:type="dxa" w:w="1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7"/>
                <w:szCs w:val="17"/>
              </w:rPr>
              <w:t xml:space="preserve">Intolerable Threshold</w:t>
            </w:r>
          </w:p>
        </w:tc>
        <w:tc>
          <w:tcPr>
            <w:tcW w:type="dxa" w:w="26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7"/>
                <w:szCs w:val="17"/>
              </w:rPr>
              <w:t xml:space="preserve">If Allied Cooperation Degrades</w:t>
            </w:r>
          </w:p>
        </w:tc>
      </w:tr>
      <w:tr>
        <w:trPr>
          <w:tblHeader w:val=""/>
        </w:trPr>
        <w:tc>
          <w:tcPr>
            <w:tcW w:type="dxa" w:w="1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7"/>
                <w:szCs w:val="17"/>
              </w:rPr>
              <w:t xml:space="preserve">Rare earth processing (heavy)</w:t>
            </w:r>
          </w:p>
        </w:tc>
        <w:tc>
          <w:tcPr>
            <w:tcW w:type="dxa" w:w="1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7"/>
                <w:szCs w:val="17"/>
              </w:rPr>
              <w:t xml:space="preserve">30% of domestic demand</w:t>
            </w:r>
          </w:p>
        </w:tc>
        <w:tc>
          <w:tcPr>
            <w:tcW w:type="dxa" w:w="1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7"/>
                <w:szCs w:val="17"/>
              </w:rPr>
              <w:t xml:space="preserve">60% from Tier 1 allies (Australia, Japan, Canada)</w:t>
            </w:r>
          </w:p>
        </w:tc>
        <w:tc>
          <w:tcPr>
            <w:tcW w:type="dxa" w:w="1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7"/>
                <w:szCs w:val="17"/>
              </w:rPr>
              <w:t xml:space="preserve">Any single foreign jurisdiction above 50% of processed supply</w:t>
            </w:r>
          </w:p>
        </w:tc>
        <w:tc>
          <w:tcPr>
            <w:tcW w:type="dxa" w:w="26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7"/>
                <w:szCs w:val="17"/>
              </w:rPr>
              <w:t xml:space="preserve">Activate domestic processing acceleration; stockpile expansion; allied advance purchasing</w:t>
            </w:r>
          </w:p>
        </w:tc>
      </w:tr>
      <w:tr>
        <w:trPr>
          <w:tblHeader w:val=""/>
        </w:trPr>
        <w:tc>
          <w:tcPr>
            <w:tcW w:type="dxa" w:w="1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7"/>
                <w:szCs w:val="17"/>
              </w:rPr>
              <w:t xml:space="preserve">Battery cells</w:t>
            </w:r>
          </w:p>
        </w:tc>
        <w:tc>
          <w:tcPr>
            <w:tcW w:type="dxa" w:w="1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7"/>
                <w:szCs w:val="17"/>
              </w:rPr>
              <w:t xml:space="preserve">30% domestic capacity</w:t>
            </w:r>
          </w:p>
        </w:tc>
        <w:tc>
          <w:tcPr>
            <w:tcW w:type="dxa" w:w="1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7"/>
                <w:szCs w:val="17"/>
              </w:rPr>
              <w:t xml:space="preserve">60% from U.S.-located or allied supply-assured sources</w:t>
            </w:r>
          </w:p>
        </w:tc>
        <w:tc>
          <w:tcPr>
            <w:tcW w:type="dxa" w:w="1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7"/>
                <w:szCs w:val="17"/>
              </w:rPr>
              <w:t xml:space="preserve">Any single foreign jurisdiction above 60% of cell supply</w:t>
            </w:r>
          </w:p>
        </w:tc>
        <w:tc>
          <w:tcPr>
            <w:tcW w:type="dxa" w:w="26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7"/>
                <w:szCs w:val="17"/>
              </w:rPr>
              <w:t xml:space="preserve">Prioritize U.S.-located allied production; accelerate domestic LFP manufacturing</w:t>
            </w:r>
          </w:p>
        </w:tc>
      </w:tr>
      <w:tr>
        <w:trPr>
          <w:tblHeader w:val=""/>
        </w:trPr>
        <w:tc>
          <w:tcPr>
            <w:tcW w:type="dxa" w:w="1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7"/>
                <w:szCs w:val="17"/>
              </w:rPr>
              <w:t xml:space="preserve">Semiconductor fabrication (leading-edge)</w:t>
            </w:r>
          </w:p>
        </w:tc>
        <w:tc>
          <w:tcPr>
            <w:tcW w:type="dxa" w:w="1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7"/>
                <w:szCs w:val="17"/>
              </w:rPr>
              <w:t xml:space="preserve">12% domestic wafer capacity</w:t>
            </w:r>
          </w:p>
        </w:tc>
        <w:tc>
          <w:tcPr>
            <w:tcW w:type="dxa" w:w="1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7"/>
                <w:szCs w:val="17"/>
              </w:rPr>
              <w:t xml:space="preserve">Additional 10% from Tier 1 allied (Japan, South Korea, TSMC US)</w:t>
            </w:r>
          </w:p>
        </w:tc>
        <w:tc>
          <w:tcPr>
            <w:tcW w:type="dxa" w:w="1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7"/>
                <w:szCs w:val="17"/>
              </w:rPr>
              <w:t xml:space="preserve">All leading-edge production in single non-allied jurisdiction</w:t>
            </w:r>
          </w:p>
        </w:tc>
        <w:tc>
          <w:tcPr>
            <w:tcW w:type="dxa" w:w="26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7"/>
                <w:szCs w:val="17"/>
              </w:rPr>
              <w:t xml:space="preserve">FDPR enforcement maximum; emergency domestic capacity acceleration</w:t>
            </w:r>
          </w:p>
        </w:tc>
      </w:tr>
      <w:tr>
        <w:trPr>
          <w:tblHeader w:val=""/>
        </w:trPr>
        <w:tc>
          <w:tcPr>
            <w:tcW w:type="dxa" w:w="1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7"/>
                <w:szCs w:val="17"/>
              </w:rPr>
              <w:t xml:space="preserve">Semiconductor (mature-node, defense-critical)</w:t>
            </w:r>
          </w:p>
        </w:tc>
        <w:tc>
          <w:tcPr>
            <w:tcW w:type="dxa" w:w="1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7"/>
                <w:szCs w:val="17"/>
              </w:rPr>
              <w:t xml:space="preserve">20% domestic of defense-allocated demand</w:t>
            </w:r>
          </w:p>
        </w:tc>
        <w:tc>
          <w:tcPr>
            <w:tcW w:type="dxa" w:w="1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7"/>
                <w:szCs w:val="17"/>
              </w:rPr>
              <w:t xml:space="preserve">Additional 40% from U.S.-located allied facilities</w:t>
            </w:r>
          </w:p>
        </w:tc>
        <w:tc>
          <w:tcPr>
            <w:tcW w:type="dxa" w:w="1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7"/>
                <w:szCs w:val="17"/>
              </w:rPr>
              <w:t xml:space="preserve">Zero domestic capability for defense-specific nodes</w:t>
            </w:r>
          </w:p>
        </w:tc>
        <w:tc>
          <w:tcPr>
            <w:tcW w:type="dxa" w:w="26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7"/>
                <w:szCs w:val="17"/>
              </w:rPr>
              <w:t xml:space="preserve">DoD domestic allocation ring-fence; emergency CHIPS allocation</w:t>
            </w:r>
          </w:p>
        </w:tc>
      </w:tr>
      <w:tr>
        <w:trPr>
          <w:tblHeader w:val=""/>
        </w:trPr>
        <w:tc>
          <w:tcPr>
            <w:tcW w:type="dxa" w:w="1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7"/>
                <w:szCs w:val="17"/>
              </w:rPr>
              <w:t xml:space="preserve">Grid hardware (large power transformers)</w:t>
            </w:r>
          </w:p>
        </w:tc>
        <w:tc>
          <w:tcPr>
            <w:tcW w:type="dxa" w:w="1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7"/>
                <w:szCs w:val="17"/>
              </w:rPr>
              <w:t xml:space="preserve">40% domestic manufacturing</w:t>
            </w:r>
          </w:p>
        </w:tc>
        <w:tc>
          <w:tcPr>
            <w:tcW w:type="dxa" w:w="1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7"/>
                <w:szCs w:val="17"/>
              </w:rPr>
              <w:t xml:space="preserve">Additional 30% from Tier 1 allied</w:t>
            </w:r>
          </w:p>
        </w:tc>
        <w:tc>
          <w:tcPr>
            <w:tcW w:type="dxa" w:w="1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7"/>
                <w:szCs w:val="17"/>
              </w:rPr>
              <w:t xml:space="preserve">Lead times exceeding 4 years for domestic + allied combined</w:t>
            </w:r>
          </w:p>
        </w:tc>
        <w:tc>
          <w:tcPr>
            <w:tcW w:type="dxa" w:w="26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7"/>
                <w:szCs w:val="17"/>
              </w:rPr>
              <w:t xml:space="preserve">National Defense Stockpile transformer reserve activation</w:t>
            </w:r>
          </w:p>
        </w:tc>
      </w:tr>
    </w:tbl>
    <w:p>
      <w:pPr>
        <w:spacing w:before="0" w:after="120"/>
      </w:pPr>
      <w:r>
        <w:t xml:space="preserve"/>
      </w:r>
    </w:p>
    <w:p>
      <w:pPr>
        <w:pStyle w:val="Heading2"/>
        <w:spacing w:before="240" w:after="120"/>
      </w:pPr>
      <w:r>
        <w:rPr>
          <w:rFonts w:ascii="Arial" w:cs="Arial" w:eastAsia="Arial" w:hAnsi="Arial"/>
          <w:b/>
          <w:bCs/>
          <w:color w:val="1B2A4A"/>
          <w:sz w:val="24"/>
          <w:szCs w:val="24"/>
        </w:rPr>
        <w:t xml:space="preserve">10.2 Enforcement Credibility Gap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80"/>
        <w:gridCol w:w="2400"/>
        <w:gridCol w:w="288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Domain</w:t>
            </w:r>
          </w:p>
        </w:tc>
        <w:tc>
          <w:tcPr>
            <w:tcW w:type="dxa" w:w="1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2025 Baseline</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Adequacy Threshold</w:t>
            </w:r>
          </w:p>
        </w:tc>
        <w:tc>
          <w:tcPr>
            <w:tcW w:type="dxa" w:w="28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Projected 2030</w:t>
            </w:r>
          </w:p>
        </w:tc>
      </w:tr>
      <w:tr>
        <w:trPr>
          <w:tblHeader w:val=""/>
        </w:trP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Semiconductor fabrication (global share)</w:t>
            </w:r>
          </w:p>
        </w:tc>
        <w:tc>
          <w:tcPr>
            <w:tcW w:type="dxa" w:w="1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~10-12%</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~20% (domestic + Tier 1 allied)</w:t>
            </w:r>
          </w:p>
        </w:tc>
        <w:tc>
          <w:tcPr>
            <w:tcW w:type="dxa" w:w="28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~14-16% domestic (gap remains without allied integration)</w:t>
            </w:r>
          </w:p>
        </w:tc>
      </w:tr>
      <w:tr>
        <w:trPr>
          <w:tblHeader w:val=""/>
        </w:trP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Critical minerals processing (days of resilience)</w:t>
            </w:r>
          </w:p>
        </w:tc>
        <w:tc>
          <w:tcPr>
            <w:tcW w:type="dxa" w:w="1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&lt;30 days (REE, Li-OH)</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90 days domestic + allied</w:t>
            </w:r>
          </w:p>
        </w:tc>
        <w:tc>
          <w:tcPr>
            <w:tcW w:type="dxa" w:w="28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Partial progress; full threshold not projected by 2030 for all materials</w:t>
            </w:r>
          </w:p>
        </w:tc>
      </w:tr>
      <w:tr>
        <w:trPr>
          <w:tblHeader w:val=""/>
        </w:trP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Battery cell production (% domestic demand)</w:t>
            </w:r>
          </w:p>
        </w:tc>
        <w:tc>
          <w:tcPr>
            <w:tcW w:type="dxa" w:w="1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~20-25%</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~60%</w:t>
            </w:r>
          </w:p>
        </w:tc>
        <w:tc>
          <w:tcPr>
            <w:tcW w:type="dxa" w:w="28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val=""/>
                <w:bCs w:val=""/>
                <w:color w:val="FFFFFF"/>
                <w:sz w:val="18"/>
                <w:szCs w:val="18"/>
              </w:rPr>
              <w:t xml:space="preserve">~40-45% projected under current IRA/CHIPS trajectory</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2A4A" w:sz="16"/>
              <w:bottom w:val="none" w:color="FFFFFF" w:sz="0"/>
              <w:right w:val="none" w:color="FFFFFF" w:sz="0"/>
            </w:tcBorders>
            <w:shd w:fill="E8EDF5" w:val="clear"/>
            <w:tcMar>
              <w:top w:type="dxa" w:w="120"/>
              <w:left w:type="dxa" w:w="160"/>
              <w:bottom w:type="dxa" w:w="120"/>
              <w:right w:type="dxa" w:w="120"/>
            </w:tcMar>
          </w:tcPr>
          <w:p>
            <w:pPr>
              <w:spacing w:before="0" w:after="80"/>
            </w:pPr>
            <w:r>
              <w:rPr>
                <w:rFonts w:ascii="Arial" w:cs="Arial" w:eastAsia="Arial" w:hAnsi="Arial"/>
                <w:b/>
                <w:bCs/>
                <w:caps/>
                <w:color w:val="1B2A4A"/>
                <w:sz w:val="20"/>
                <w:szCs w:val="20"/>
              </w:rPr>
              <w:t xml:space="preserve">GAP ASSESSMENT</w:t>
            </w:r>
          </w:p>
          <w:p>
            <w:pPr>
              <w:spacing w:before="0" w:after="60"/>
            </w:pPr>
            <w:r>
              <w:rPr>
                <w:rFonts w:ascii="Arial" w:cs="Arial" w:eastAsia="Arial" w:hAnsi="Arial"/>
                <w:sz w:val="20"/>
                <w:szCs w:val="20"/>
              </w:rPr>
              <w:t xml:space="preserve">The gap is not a reason to defer the strategy. It is the reason the allied-complementary design principle, the allied dependency tolerance matrix, and the legislative durability analysis are structural components of the framework. A domestic-only strategy without allied integration cannot reach the adequacy thresholds within the 2026-2030 horizon under realistic resource assumptions.</w:t>
            </w:r>
          </w:p>
          <w:p>
            <w:pPr>
              <w:spacing w:before="0" w:after="60"/>
            </w:pPr>
            <w:r>
              <w:rPr>
                <w:rFonts w:ascii="Arial" w:cs="Arial" w:eastAsia="Arial" w:hAnsi="Arial"/>
                <w:sz w:val="20"/>
                <w:szCs w:val="20"/>
              </w:rPr>
              <w:t xml:space="preserve">The most consequential single action available within current authorities to close the semiconductor adequacy gap: formalize the allied capacity integration framework through bilateral agreements with Japan, South Korea, and the Netherlands that treat their capacity as equivalent to domestic capacity for enforcement strategy coordination — conditioned on continued FDPR enforcement cooperation.</w:t>
            </w:r>
          </w:p>
          <w:p>
            <w:pPr>
              <w:spacing w:before="0" w:after="60"/>
            </w:pPr>
            <w:r>
              <w:rPr>
                <w:rFonts w:ascii="Arial" w:cs="Arial" w:eastAsia="Arial" w:hAnsi="Arial"/>
                <w:sz w:val="20"/>
                <w:szCs w:val="20"/>
              </w:rPr>
              <w:t xml:space="preserve">The public record does not establish that formalizing allied capacity integration in this way would produce the enforcement credibility improvement assessed as likely; the causal chain from bilateral capacity-equivalence agreements to sustained FDPR coalition cohesion depends on allied domestic political conditions and PRC economic pressure dynamics that are outside U.S. control and cannot be reliably projected across the 2026–2030 horizon.</w:t>
            </w:r>
          </w:p>
        </w:tc>
      </w:tr>
    </w:tbl>
    <w:p>
      <w:pPr>
        <w:spacing w:before="0" w:after="160"/>
      </w:pPr>
      <w:r>
        <w:t xml:space="preserve"/>
      </w:r>
    </w:p>
    <w:p>
      <w:r>
        <w:br w:type="page"/>
      </w:r>
    </w:p>
    <w:p>
      <w:pPr>
        <w:pStyle w:val="Heading1"/>
        <w:spacing w:before="320" w:after="160"/>
      </w:pPr>
      <w:r>
        <w:rPr>
          <w:rFonts w:ascii="Arial" w:cs="Arial" w:eastAsia="Arial" w:hAnsi="Arial"/>
          <w:b/>
          <w:bCs/>
          <w:color w:val="1B2A4A"/>
          <w:sz w:val="30"/>
          <w:szCs w:val="30"/>
        </w:rPr>
        <w:t xml:space="preserve">PART XI: ADVERSARY COUNTERMEASURE ANALYSIS</w:t>
      </w:r>
    </w:p>
    <w:p>
      <w:pPr>
        <w:spacing w:before="60" w:after="120"/>
        <w:jc w:val="both"/>
      </w:pPr>
      <w:r>
        <w:rPr>
          <w:rFonts w:ascii="Arial" w:cs="Arial" w:eastAsia="Arial" w:hAnsi="Arial"/>
          <w:sz w:val="22"/>
          <w:szCs w:val="22"/>
        </w:rPr>
        <w:t xml:space="preserve">The strategy’s central claim cannot be validated without modeling the adversary’s ability to collapse the implementation window before adequacy thresholds are reached. This Part addresses PRC countermeasures as SCENARIO-CONDITIONED analysis. The PRC is not a passive actor responding to U.S. policy; it is an adaptive optimizer with observed learning behavior across trade, technology, and supply chain domains. Modeling PRC countermeasures as a static pattern catalog understates the risk. The public record does not establish the full scope of PRC countermeasure planning or the specific thresholds at which PRC authorities would authorize each countermeasure type; the analysis below is bounded by open-source visibility.</w:t>
      </w:r>
    </w:p>
    <w:p>
      <w:pPr>
        <w:spacing w:before="60" w:after="120"/>
        <w:jc w:val="both"/>
      </w:pPr>
      <w:r>
        <w:rPr>
          <w:rFonts w:ascii="Arial" w:cs="Arial" w:eastAsia="Arial" w:hAnsi="Arial"/>
          <w:sz w:val="22"/>
          <w:szCs w:val="22"/>
        </w:rPr>
        <w:t xml:space="preserve">Open-source visibility bias: the countermeasure patterns identified below are derived from commercially visible and officially disclosed PRC actions. This analysis may systematically over-represent declared policy instruments (export licensing, official pricing guidance, formal bilateral agreements) and under-represent concealed pre-positioning, informal coordination between MOFCOM and PRC state enterprises, and sub-threshold supply chain manipulation not visible through commercial analytics. The visible countermeasure architecture may not accurately represent the decisive countermeasure architecture. This paper does not assess beyond what the public record supports regarding PRC internal deliberation, command authority for countermeasure activation, or the threshold conditions under which PRC leadership would authorize highest-consequence instruments such as rare earth permanent magnet export restrictions.</w:t>
      </w:r>
    </w:p>
    <w:p>
      <w:pPr>
        <w:spacing w:before="0" w:after="60"/>
      </w:pPr>
      <w:r>
        <w:t xml:space="preserve"/>
      </w:r>
    </w:p>
    <w:p>
      <w:pPr>
        <w:pStyle w:val="Heading2"/>
        <w:spacing w:before="240" w:after="120"/>
      </w:pPr>
      <w:r>
        <w:rPr>
          <w:rFonts w:ascii="Arial" w:cs="Arial" w:eastAsia="Arial" w:hAnsi="Arial"/>
          <w:b/>
          <w:bCs/>
          <w:color w:val="1B2A4A"/>
          <w:sz w:val="24"/>
          <w:szCs w:val="24"/>
        </w:rPr>
        <w:t xml:space="preserve">11.1 PRC Adaptation Cycle (SCENARIO-CONDITIONED)</w:t>
      </w:r>
    </w:p>
    <w:p>
      <w:pPr>
        <w:spacing w:before="60" w:after="120"/>
        <w:jc w:val="both"/>
      </w:pPr>
      <w:r>
        <w:rPr>
          <w:rFonts w:ascii="Arial" w:cs="Arial" w:eastAsia="Arial" w:hAnsi="Arial"/>
          <w:sz w:val="22"/>
          <w:szCs w:val="22"/>
        </w:rPr>
        <w:t xml:space="preserve">PRC countermeasures against U.S. industrial resilience initiatives are assessed with moderate confidence as following an adaptation cycle analogous to the adversary adaptation model in ESCALATE-01 Part XI, operating across four phases with a 24–48 month full-cycle horizon:</w:t>
      </w:r>
    </w:p>
    <w:p>
      <w:pPr>
        <w:pStyle w:val="ListParagraph"/>
        <w:numPr>
          <w:ilvl w:val="0"/>
          <w:numId w:val="2"/>
        </w:numPr>
        <w:spacing w:before="40" w:after="40"/>
      </w:pPr>
      <w:r>
        <w:rPr>
          <w:rFonts w:ascii="Arial" w:cs="Arial" w:eastAsia="Arial" w:hAnsi="Arial"/>
          <w:sz w:val="22"/>
          <w:szCs w:val="22"/>
        </w:rPr>
        <w:t xml:space="preserve">Phase A — Probe (0–6 months): PRC probes the policy’s threshold architecture without committing to full countermeasure deployment. Indicators include: targeted export licensing reviews on specific gallium or germanium compounds that test U.S. stockpile response and allied solidarity before broader restrictions; subsidized pricing in specific battery or solar panel sub-categories designed to identify which U.S. domestic producers respond to competitive pricing by reducing investment; targeted diplomatic pressure on Minerals Security Partnership members to test coalition cohesion before imposing formal restrictions. The framework’s first-order priority designations and allied advance purchasing commitments are the primary Phase A counters — they raise the cost of probe behavior by creating contractual obligations before probing succeeds.</w:t>
      </w:r>
    </w:p>
    <w:p>
      <w:pPr>
        <w:pStyle w:val="ListParagraph"/>
        <w:numPr>
          <w:ilvl w:val="0"/>
          <w:numId w:val="2"/>
        </w:numPr>
        <w:spacing w:before="40" w:after="40"/>
      </w:pPr>
      <w:r>
        <w:rPr>
          <w:rFonts w:ascii="Arial" w:cs="Arial" w:eastAsia="Arial" w:hAnsi="Arial"/>
          <w:sz w:val="22"/>
          <w:szCs w:val="22"/>
        </w:rPr>
        <w:t xml:space="preserve">Phase B — Exploit (6–18 months): PRC deploys countermeasures at scale based on threshold intelligence from Phase A. Most consequential exploitation vectors: rare earth permanent magnet export restrictions precisely timed to the 2026–2028 implementation window when domestic and allied processing capacity commitments exist but operational output does not; coordinated subsidized pricing across battery cells, solar panels, and EV components designed to undercut the economic case for domestic investment before private capital commitments become contractually irreversible; targeted diplomatic pressure on Japan, South Korea, and Australia to exploit their own economic dependencies on PRC markets as leverage against participation in allied capacity coordination.</w:t>
      </w:r>
    </w:p>
    <w:p>
      <w:pPr>
        <w:pStyle w:val="ListParagraph"/>
        <w:numPr>
          <w:ilvl w:val="0"/>
          <w:numId w:val="2"/>
        </w:numPr>
        <w:spacing w:before="40" w:after="40"/>
      </w:pPr>
      <w:r>
        <w:rPr>
          <w:rFonts w:ascii="Arial" w:cs="Arial" w:eastAsia="Arial" w:hAnsi="Arial"/>
          <w:sz w:val="22"/>
          <w:szCs w:val="22"/>
        </w:rPr>
        <w:t xml:space="preserve">Phase C — Institutionalize (18–36 months): PRC embeds the countermeasure architecture into bilateral trade frameworks, creating structural dependencies that are harder to reverse than the initial policy action. Examples: long-term supply agreements between PRC critical minerals processors and downstream users in allied markets that lock in PRC supply dependency regardless of U.S. coordination efforts; domestic PRC industrial policy creating additional processing capacity in priority materials specifically designed to undercut Western alternative development economics.</w:t>
      </w:r>
    </w:p>
    <w:p>
      <w:pPr>
        <w:pStyle w:val="ListParagraph"/>
        <w:numPr>
          <w:ilvl w:val="0"/>
          <w:numId w:val="2"/>
        </w:numPr>
        <w:spacing w:before="40" w:after="40"/>
      </w:pPr>
      <w:r>
        <w:rPr>
          <w:rFonts w:ascii="Arial" w:cs="Arial" w:eastAsia="Arial" w:hAnsi="Arial"/>
          <w:sz w:val="22"/>
          <w:szCs w:val="22"/>
        </w:rPr>
        <w:t xml:space="preserve">Phase D — Normalize (36+ months): countermeasure becomes baseline market condition. If Phase B and C succeed, the U.S. and allied industrial resilience strategy faces a permanently altered supply landscape in which the economics of domestic and allied processing are structurally degraded relative to PRC alternatives, and the political case for continued investment becomes increasingly difficult to sustain.</w:t>
      </w:r>
    </w:p>
    <w:p>
      <w:pPr>
        <w:spacing w:before="60" w:after="120"/>
        <w:jc w:val="both"/>
      </w:pPr>
      <w:r>
        <w:rPr>
          <w:rFonts w:ascii="Arial" w:cs="Arial" w:eastAsia="Arial" w:hAnsi="Arial"/>
          <w:sz w:val="22"/>
          <w:szCs w:val="22"/>
        </w:rPr>
        <w:t xml:space="preserve">Implementation window implication: the 2026–2028 period is the highest-vulnerability window precisely because the strategy is in Phase I mobilization — commitments are made but outputs are not operational. The mitigation architecture in Section 11.4 is specifically designed to collapse PRC exploitation opportunities in Phase B by accelerating contractual commitments and stockpile bridges before Phase B can be executed effectively. The public record does not establish whether PRC countermeasure planning is currently in Phase A, Phase B, or an earlier reconnaissance stage; available evidence is consistent with ongoing Phase A probe behavior.</w:t>
      </w:r>
    </w:p>
    <w:p>
      <w:pPr>
        <w:spacing w:before="0" w:after="60"/>
      </w:pPr>
      <w:r>
        <w:t xml:space="preserve"/>
      </w:r>
    </w:p>
    <w:p>
      <w:pPr>
        <w:pStyle w:val="Heading2"/>
        <w:spacing w:before="240" w:after="120"/>
      </w:pPr>
      <w:r>
        <w:rPr>
          <w:rFonts w:ascii="Arial" w:cs="Arial" w:eastAsia="Arial" w:hAnsi="Arial"/>
          <w:b/>
          <w:bCs/>
          <w:color w:val="1B2A4A"/>
          <w:sz w:val="24"/>
          <w:szCs w:val="24"/>
        </w:rPr>
        <w:t xml:space="preserve">11.2 Adversary Industrial Disruption Model</w:t>
      </w:r>
    </w:p>
    <w:p>
      <w:pPr>
        <w:spacing w:before="60" w:after="120"/>
        <w:jc w:val="both"/>
      </w:pPr>
      <w:r>
        <w:rPr>
          <w:rFonts w:ascii="Arial" w:cs="Arial" w:eastAsia="Arial" w:hAnsi="Arial"/>
          <w:sz w:val="22"/>
          <w:szCs w:val="22"/>
        </w:rPr>
        <w:t xml:space="preserve">Beyond the adaptation cycle, available evidence supports a moderate-confidence assessment that the PRC employs four distinct industrial disruption mechanisms that operate in parallel and are mutually reinforcing. These mechanisms are not reactive; available evidence is consistent with the judgment that they are pre-positioned instruments deployed proactively against supply chain diversification initiatives before those initiatives reach operational scale.</w:t>
      </w:r>
    </w:p>
    <w:p>
      <w:pPr>
        <w:pStyle w:val="ListParagraph"/>
        <w:numPr>
          <w:ilvl w:val="0"/>
          <w:numId w:val="2"/>
        </w:numPr>
        <w:spacing w:before="40" w:after="40"/>
      </w:pPr>
      <w:r>
        <w:rPr>
          <w:rFonts w:ascii="Arial" w:cs="Arial" w:eastAsia="Arial" w:hAnsi="Arial"/>
          <w:sz w:val="22"/>
          <w:szCs w:val="22"/>
        </w:rPr>
        <w:t xml:space="preserve">Price suppression through overcapacity deployment: MOFCOM and NDRC industrial policy has directed capital into PRC battery cell, solar panel, and critical minerals processing sectors at scale that exceeds domestic demand, producing global overcapacity and price depression specifically in categories where U.S. domestic producers are attempting to achieve cost competitiveness. [TIER 2 — BloombergNEF battery cost analysis 2024; CSIS critical minerals analysis 2024] The mechanism is not commercially motivated; PRC state enterprises operate with subsidized capital costs and political mandates that allow sustained below-cost pricing. At current battery cell price trajectories, U.S. and allied producers face a cost competitiveness gap that standard market-based scaling cannot close within the 2026–2030 horizon without sustained public support. Available evidence is more consistent with a deliberate supply chain leverage strategy than with purely commercial market development; the public record does not establish PRC official intent with precision.</w:t>
      </w:r>
    </w:p>
    <w:p>
      <w:pPr>
        <w:pStyle w:val="ListParagraph"/>
        <w:numPr>
          <w:ilvl w:val="0"/>
          <w:numId w:val="2"/>
        </w:numPr>
        <w:spacing w:before="40" w:after="40"/>
      </w:pPr>
      <w:r>
        <w:rPr>
          <w:rFonts w:ascii="Arial" w:cs="Arial" w:eastAsia="Arial" w:hAnsi="Arial"/>
          <w:sz w:val="22"/>
          <w:szCs w:val="22"/>
        </w:rPr>
        <w:t xml:space="preserve">Overcapacity flooding to prevent new entrant viability: the price suppression mechanism is applied most aggressively in the 12–24 month window immediately following announced U.S. or allied domestic capacity investments, specifically to prevent the investment from attracting follow-on private capital commitments. Available reporting indicates that PRC solar panel and EV battery pricing declined meaningfully in the periods following U.S. IRA domestic manufacturing incentive announcements. [TIER 2 — BloombergNEF, 2023–2024; analytically inferred causal linkage] The public record does not establish deliberate temporal coordination between PRC pricing decisions and U.S. policy announcements; the correlation is observed but the causal mechanism is analytically inferred.</w:t>
      </w:r>
    </w:p>
    <w:p>
      <w:pPr>
        <w:pStyle w:val="ListParagraph"/>
        <w:numPr>
          <w:ilvl w:val="0"/>
          <w:numId w:val="2"/>
        </w:numPr>
        <w:spacing w:before="40" w:after="40"/>
      </w:pPr>
      <w:r>
        <w:rPr>
          <w:rFonts w:ascii="Arial" w:cs="Arial" w:eastAsia="Arial" w:hAnsi="Arial"/>
          <w:sz w:val="22"/>
          <w:szCs w:val="22"/>
        </w:rPr>
        <w:t xml:space="preserve">Supply chain targeting through selective export restriction: PRC export controls on gallium (August 2023), germanium (August 2023), and graphite (December 2023) demonstrated the willingness to impose targeted restrictions on inputs essential to semiconductor and battery manufacturing with sufficient lead time to assess U.S. stockpile and allied coordination responses. [TIER 1 — PRC Ministry of Commerce, 2023–2024] The selection of gallium and germanium — materials with no near-term alternative processing pathway outside PRC-controlled supply chains — is assessed as consistent with a targeting logic that maximizes economic cost while minimizing PRC domestic production disruption. Rare earth permanent magnet restrictions represent the highest-consequence potential extension of this mechanism.</w:t>
      </w:r>
    </w:p>
    <w:p>
      <w:pPr>
        <w:pStyle w:val="ListParagraph"/>
        <w:numPr>
          <w:ilvl w:val="0"/>
          <w:numId w:val="2"/>
        </w:numPr>
        <w:spacing w:before="40" w:after="40"/>
      </w:pPr>
      <w:r>
        <w:rPr>
          <w:rFonts w:ascii="Arial" w:cs="Arial" w:eastAsia="Arial" w:hAnsi="Arial"/>
          <w:sz w:val="22"/>
          <w:szCs w:val="22"/>
        </w:rPr>
        <w:t xml:space="preserve">Allied industrial capture through preferential economic arrangements: PRC state entities have offered below-market financing, offtake agreements, and joint venture structures to allied-jurisdiction downstream manufacturers in battery, solar, and electronics sectors, creating bilateral economic linkages that reduce the political feasibility of allied participation in U.S.-coordinated supply chain restriction regimes. [TIER 2 — AidData 2023; Atlantic Council PRC economic statecraft analysis 2024] The public record does not establish that these arrangements are specifically designed to undermine U.S. allied coordination; the effect is consistent with that objective regardless of intent.</w:t>
      </w:r>
    </w:p>
    <w:p>
      <w:pPr>
        <w:spacing w:before="0" w:after="60"/>
      </w:pPr>
      <w:r>
        <w:t xml:space="preserve"/>
      </w:r>
    </w:p>
    <w:p>
      <w:pPr>
        <w:pStyle w:val="Heading2"/>
        <w:spacing w:before="240" w:after="120"/>
      </w:pPr>
      <w:r>
        <w:rPr>
          <w:rFonts w:ascii="Arial" w:cs="Arial" w:eastAsia="Arial" w:hAnsi="Arial"/>
          <w:b/>
          <w:bCs/>
          <w:color w:val="1B2A4A"/>
          <w:sz w:val="24"/>
          <w:szCs w:val="24"/>
        </w:rPr>
        <w:t xml:space="preserve">11.3 Documented PRC Countermeasure Pattern</w:t>
      </w:r>
    </w:p>
    <w:p>
      <w:pPr>
        <w:spacing w:before="60" w:after="120"/>
        <w:jc w:val="both"/>
      </w:pPr>
      <w:r>
        <w:rPr>
          <w:rFonts w:ascii="Arial" w:cs="Arial" w:eastAsia="Arial" w:hAnsi="Arial"/>
          <w:sz w:val="22"/>
          <w:szCs w:val="22"/>
        </w:rPr>
        <w:t xml:space="preserve">The PRC has demonstrated a consistent pattern of deploying export controls on critical materials as counter-leverage against supply chain diversification. Documented actions: gallium and germanium export controls (August 2023), affecting U.S. and allied semiconductor and defense electronics production; graphite export controls (December 2023), targeting battery supply chains. [TIER 1 — PRC Ministry of Commerce export control regulations 2023–2024] Subsidized pricing in solar panels, EVs, and batteries has been ongoing since 2022 as a persistent structural headwind against domestic producer cost competitiveness. [TIER 2 — CSIS critical minerals analysis, 2024] The public record does not establish the full scope of PRC countermeasure planning, specific export restriction trigger thresholds, or the degree of coordination between MOFCOM export control decisions and NDRC industrial pricing policy.</w:t>
      </w:r>
    </w:p>
    <w:p>
      <w:pPr>
        <w:spacing w:before="0" w:after="60"/>
      </w:pPr>
      <w:r>
        <w:t xml:space="preserve"/>
      </w:r>
    </w:p>
    <w:p>
      <w:pPr>
        <w:pStyle w:val="Heading2"/>
        <w:spacing w:before="240" w:after="120"/>
      </w:pPr>
      <w:r>
        <w:rPr>
          <w:rFonts w:ascii="Arial" w:cs="Arial" w:eastAsia="Arial" w:hAnsi="Arial"/>
          <w:b/>
          <w:bCs/>
          <w:color w:val="1B2A4A"/>
          <w:sz w:val="24"/>
          <w:szCs w:val="24"/>
        </w:rPr>
        <w:t xml:space="preserve">11.4 Countermeasure Mitigation Architecture</w:t>
      </w:r>
    </w:p>
    <w:p>
      <w:pPr>
        <w:spacing w:before="60" w:after="120"/>
        <w:jc w:val="both"/>
      </w:pPr>
      <w:r>
        <w:rPr>
          <w:rFonts w:ascii="Arial" w:cs="Arial" w:eastAsia="Arial" w:hAnsi="Arial"/>
          <w:sz w:val="22"/>
          <w:szCs w:val="22"/>
        </w:rPr>
        <w:t xml:space="preserve">Strategic stockpile expansion: targeted National Defense Stockpile expansion for rare earth materials through the 2026–2028 window provides a bridge investment reducing the cost of PRC countermeasure timing without substituting for capacity development.</w:t>
      </w:r>
    </w:p>
    <w:p>
      <w:pPr>
        <w:spacing w:before="60" w:after="120"/>
        <w:jc w:val="both"/>
      </w:pPr>
      <w:r>
        <w:rPr>
          <w:rFonts w:ascii="Arial" w:cs="Arial" w:eastAsia="Arial" w:hAnsi="Arial"/>
          <w:sz w:val="22"/>
          <w:szCs w:val="22"/>
        </w:rPr>
        <w:t xml:space="preserve">Allied advance purchasing: pre-committed allied procurement at pre-negotiated prices provides revenue certainty crowding in private processing investment and reducing the effectiveness of PRC subsidized pricing as a deterrent. The Minerals Security Partnership’s offtake coordination function requires funded advance purchase commitments, not merely framework participation.</w:t>
      </w:r>
    </w:p>
    <w:p>
      <w:pPr>
        <w:spacing w:before="60" w:after="120"/>
        <w:jc w:val="both"/>
      </w:pPr>
      <w:r>
        <w:rPr>
          <w:rFonts w:ascii="Arial" w:cs="Arial" w:eastAsia="Arial" w:hAnsi="Arial"/>
          <w:sz w:val="22"/>
          <w:szCs w:val="22"/>
        </w:rPr>
        <w:t xml:space="preserve">Diversification against single-source alternatives: the allied-complementary principle reduces the share of supply that PRC export restrictions can affect. At the allied dependency tolerance thresholds in Part X, PRC export restrictions impose significant operational cost but do not achieve complete supply denial. The public record does not establish that the current mitigation architecture is sufficient to prevent strategy failure under a compound PRC countermeasure scenario combining Phase B exploitation with simultaneous price suppression and allied industrial capture activities.</w:t>
      </w:r>
    </w:p>
    <w:p>
      <w:pPr>
        <w:spacing w:before="0" w:after="160"/>
      </w:pPr>
      <w:r>
        <w:t xml:space="preserve"/>
      </w:r>
    </w:p>
    <w:p>
      <w:r>
        <w:br w:type="page"/>
      </w:r>
    </w:p>
    <w:p>
      <w:pPr>
        <w:pStyle w:val="Heading1"/>
        <w:spacing w:before="320" w:after="160"/>
      </w:pPr>
      <w:r>
        <w:rPr>
          <w:rFonts w:ascii="Arial" w:cs="Arial" w:eastAsia="Arial" w:hAnsi="Arial"/>
          <w:b/>
          <w:bCs/>
          <w:color w:val="1B2A4A"/>
          <w:sz w:val="30"/>
          <w:szCs w:val="30"/>
        </w:rPr>
        <w:t xml:space="preserve">PART XII: IMPLEMENTATION POLITICAL ECONOMY</w:t>
      </w:r>
    </w:p>
    <w:p>
      <w:pPr>
        <w:spacing w:before="60" w:after="120"/>
        <w:jc w:val="both"/>
      </w:pPr>
      <w:r>
        <w:rPr>
          <w:rFonts w:ascii="Arial" w:cs="Arial" w:eastAsia="Arial" w:hAnsi="Arial"/>
          <w:sz w:val="22"/>
          <w:szCs w:val="22"/>
        </w:rPr>
        <w:t xml:space="preserve">The framework’s phased civilian agency coordination is normatively correct and operationally fragile against the actual behavior of U.S. government institutions, where institutional incentives frequently diverge from coordinated implementation requirements. Elite strategic policy analysis must address whether the program can remain politically alive past year 2, not only whether it can start.</w:t>
      </w:r>
    </w:p>
    <w:p>
      <w:pPr>
        <w:spacing w:before="0" w:after="60"/>
      </w:pPr>
      <w:r>
        <w:t xml:space="preserve"/>
      </w:r>
    </w:p>
    <w:p>
      <w:pPr>
        <w:pStyle w:val="Heading2"/>
        <w:spacing w:before="240" w:after="120"/>
      </w:pPr>
      <w:r>
        <w:rPr>
          <w:rFonts w:ascii="Arial" w:cs="Arial" w:eastAsia="Arial" w:hAnsi="Arial"/>
          <w:b/>
          <w:bCs/>
          <w:color w:val="1B2A4A"/>
          <w:sz w:val="24"/>
          <w:szCs w:val="24"/>
        </w:rPr>
        <w:t xml:space="preserve">12.1 DOE-Commerce Resource Allocation Conflict</w:t>
      </w:r>
    </w:p>
    <w:p>
      <w:pPr>
        <w:spacing w:before="60" w:after="120"/>
        <w:jc w:val="both"/>
      </w:pPr>
      <w:r>
        <w:rPr>
          <w:rFonts w:ascii="Arial" w:cs="Arial" w:eastAsia="Arial" w:hAnsi="Arial"/>
          <w:sz w:val="22"/>
          <w:szCs w:val="22"/>
        </w:rPr>
        <w:t xml:space="preserve">DOE’s Loan Programs Office priorities and Commerce/BIS export control allocation decisions can conflict at the operational level: DOE may provide loan guarantees to dual-use technology manufacturers that Commerce is simultaneously attempting to restrict through export control enforcement. Treasury is designated as lead coordinator for identifying financing that creates enforcement contradictions, with authority to flag DOE-Commerce conflicts to Deputies Committee before commitments are made.</w:t>
      </w:r>
    </w:p>
    <w:p>
      <w:pPr>
        <w:spacing w:before="0" w:after="60"/>
      </w:pPr>
      <w:r>
        <w:t xml:space="preserve"/>
      </w:r>
    </w:p>
    <w:p>
      <w:pPr>
        <w:pStyle w:val="Heading2"/>
        <w:spacing w:before="240" w:after="120"/>
      </w:pPr>
      <w:r>
        <w:rPr>
          <w:rFonts w:ascii="Arial" w:cs="Arial" w:eastAsia="Arial" w:hAnsi="Arial"/>
          <w:b/>
          <w:bCs/>
          <w:color w:val="1B2A4A"/>
          <w:sz w:val="24"/>
          <w:szCs w:val="24"/>
        </w:rPr>
        <w:t xml:space="preserve">12.2 Political Durability and Domestic Coalition Risk</w:t>
      </w:r>
    </w:p>
    <w:p>
      <w:pPr>
        <w:spacing w:before="60" w:after="120"/>
        <w:jc w:val="both"/>
      </w:pPr>
      <w:r>
        <w:rPr>
          <w:rFonts w:ascii="Arial" w:cs="Arial" w:eastAsia="Arial" w:hAnsi="Arial"/>
          <w:sz w:val="22"/>
          <w:szCs w:val="22"/>
        </w:rPr>
        <w:t xml:space="preserve">The following domestic political risks are structurally distinct from institutional coordination challenges and require explicit management:</w:t>
      </w:r>
    </w:p>
    <w:p>
      <w:pPr>
        <w:pStyle w:val="ListParagraph"/>
        <w:numPr>
          <w:ilvl w:val="0"/>
          <w:numId w:val="2"/>
        </w:numPr>
        <w:spacing w:before="40" w:after="40"/>
      </w:pPr>
      <w:r>
        <w:rPr>
          <w:rFonts w:ascii="Arial" w:cs="Arial" w:eastAsia="Arial" w:hAnsi="Arial"/>
          <w:sz w:val="22"/>
          <w:szCs w:val="22"/>
        </w:rPr>
        <w:t xml:space="preserve">Ratepayer and industrial electricity cost sensitivity: advanced nuclear and grid modernization investments will appear in electricity rates before they appear in reliability improvements; affected ratepayers will generate political opposition unless interim reliability benefits are visible and attributable to the investment</w:t>
      </w:r>
    </w:p>
    <w:p>
      <w:pPr>
        <w:pStyle w:val="ListParagraph"/>
        <w:numPr>
          <w:ilvl w:val="0"/>
          <w:numId w:val="2"/>
        </w:numPr>
        <w:spacing w:before="40" w:after="40"/>
      </w:pPr>
      <w:r>
        <w:rPr>
          <w:rFonts w:ascii="Arial" w:cs="Arial" w:eastAsia="Arial" w:hAnsi="Arial"/>
          <w:sz w:val="22"/>
          <w:szCs w:val="22"/>
        </w:rPr>
        <w:t xml:space="preserve">Regional equity conflicts: facility siting decisions will disproportionately benefit regions with appropriate land, water, and workforce resources; regions that do not receive facility investment but bear environmental review costs or ratepayer burden will generate congressional opposition</w:t>
      </w:r>
    </w:p>
    <w:p>
      <w:pPr>
        <w:pStyle w:val="ListParagraph"/>
        <w:numPr>
          <w:ilvl w:val="0"/>
          <w:numId w:val="2"/>
        </w:numPr>
        <w:spacing w:before="40" w:after="40"/>
      </w:pPr>
      <w:r>
        <w:rPr>
          <w:rFonts w:ascii="Arial" w:cs="Arial" w:eastAsia="Arial" w:hAnsi="Arial"/>
          <w:sz w:val="22"/>
          <w:szCs w:val="22"/>
        </w:rPr>
        <w:t xml:space="preserve">Corporate capture perception risk: federal loan guarantees, offtake agreements, and production incentives to large industrial firms create politically vulnerable corporate subsidy optics; this perception risk is acute for semiconductor and battery manufacturing programs where beneficiary firms are among the largest corporations in the world</w:t>
      </w:r>
    </w:p>
    <w:p>
      <w:pPr>
        <w:pStyle w:val="ListParagraph"/>
        <w:numPr>
          <w:ilvl w:val="0"/>
          <w:numId w:val="2"/>
        </w:numPr>
        <w:spacing w:before="40" w:after="40"/>
      </w:pPr>
      <w:r>
        <w:rPr>
          <w:rFonts w:ascii="Arial" w:cs="Arial" w:eastAsia="Arial" w:hAnsi="Arial"/>
          <w:sz w:val="22"/>
          <w:szCs w:val="22"/>
        </w:rPr>
        <w:t xml:space="preserve">Commodity price collapse risk: if global lithium, cobalt, or rare earth prices fall significantly during the implementation horizon due to oversupply or demand collapse, the economic case for domestic processing investment becomes much harder to sustain politically, even if the strategic case remains unchanged</w:t>
      </w:r>
    </w:p>
    <w:p>
      <w:pPr>
        <w:pStyle w:val="ListParagraph"/>
        <w:numPr>
          <w:ilvl w:val="0"/>
          <w:numId w:val="2"/>
        </w:numPr>
        <w:spacing w:before="40" w:after="40"/>
      </w:pPr>
      <w:r>
        <w:rPr>
          <w:rFonts w:ascii="Arial" w:cs="Arial" w:eastAsia="Arial" w:hAnsi="Arial"/>
          <w:sz w:val="22"/>
          <w:szCs w:val="22"/>
        </w:rPr>
        <w:t xml:space="preserve">Litigation exposure: environmental review, land access, and permitting decisions will generate litigation from multiple directions simultaneously; the legal timeline risk is a program risk, not merely a project risk</w:t>
      </w:r>
    </w:p>
    <w:p>
      <w:pPr>
        <w:spacing w:before="60" w:after="120"/>
        <w:jc w:val="both"/>
      </w:pPr>
      <w:r>
        <w:rPr>
          <w:rFonts w:ascii="Arial" w:cs="Arial" w:eastAsia="Arial" w:hAnsi="Arial"/>
          <w:sz w:val="22"/>
          <w:szCs w:val="22"/>
        </w:rPr>
        <w:t xml:space="preserve">Mitigation approaches: visible interim wins (employment announcements, facility groundbreakings) must be scheduled and communicated before each congressional appropriations cycle; bipartisan constituency building requires workforce development programs visible in swing-district manufacturing regions; contractual obligations created through loan guarantees are more durable than annual appropriations because they create legal exposure for rescission. The public record does not establish that any analogous U.S. industrial strategy has successfully maintained bipartisan political support across two administration transitions; the domestic coalition maintenance challenge this framework identifies is historically underaddressed in comparable prior efforts.</w:t>
      </w:r>
    </w:p>
    <w:p>
      <w:pPr>
        <w:spacing w:before="0" w:after="60"/>
      </w:pPr>
      <w:r>
        <w:t xml:space="preserve"/>
      </w:r>
    </w:p>
    <w:p>
      <w:pPr>
        <w:pStyle w:val="Heading2"/>
        <w:spacing w:before="240" w:after="120"/>
      </w:pPr>
      <w:r>
        <w:rPr>
          <w:rFonts w:ascii="Arial" w:cs="Arial" w:eastAsia="Arial" w:hAnsi="Arial"/>
          <w:b/>
          <w:bCs/>
          <w:color w:val="1B2A4A"/>
          <w:sz w:val="24"/>
          <w:szCs w:val="24"/>
        </w:rPr>
        <w:t xml:space="preserve">12.3 Framework Decay Over Time</w:t>
      </w:r>
    </w:p>
    <w:p>
      <w:pPr>
        <w:spacing w:before="60" w:after="120"/>
        <w:jc w:val="both"/>
      </w:pPr>
      <w:r>
        <w:rPr>
          <w:rFonts w:ascii="Arial" w:cs="Arial" w:eastAsia="Arial" w:hAnsi="Arial"/>
          <w:sz w:val="22"/>
          <w:szCs w:val="22"/>
        </w:rPr>
        <w:t xml:space="preserve">The framework’s phased coordination architecture assumes that institutional discipline is maintained across a 2026–2030 implementation horizon spanning at least one administration transition. A distinct and undermodeled risk is chronic coordination decay — the gradual erosion of interagency discipline without a single triggering event. This is not the same as political termination (Section 11.4); it is the quieter failure mode of frameworks that nominally continue but progressively lose operational integrity.</w:t>
      </w:r>
    </w:p>
    <w:p>
      <w:pPr>
        <w:spacing w:before="60" w:after="120"/>
        <w:jc w:val="both"/>
      </w:pPr>
      <w:r>
        <w:rPr>
          <w:rFonts w:ascii="Arial" w:cs="Arial" w:eastAsia="Arial" w:hAnsi="Arial"/>
          <w:sz w:val="22"/>
          <w:szCs w:val="22"/>
        </w:rPr>
        <w:t xml:space="preserve">Observed decay mechanisms in prior multi-year industrial and economic strategies: (a) interagency review formalization — mandatory annual performance reviews become scheduled briefings without written decisions or programmatic consequences; the review cadence is maintained but the decision-forcing function is lost; (b) institutional memory loss through personnel turnover — CHIPS Act, DOE Loan Programs, Commerce, and NSC staff managing implementation over 4–5 years experience attrition that progressively reduces institutional memory of the framework’s design rationale, producing drift toward each agency’s default behavior; (c) coordination mechanism capture — interagency working groups, established as coordinating bodies, are progressively captured by the agency with the most immediate program implementation interests (typically Commerce for CHIPS, DOE for energy); the neutral NSC coordination function atrophies; (d) metric drift — performance metrics shift from operational output measures (OEE, dependency reduction, workforce throughput) toward easily reportable process metrics (announcements, commitments, facilities under construction) that present favorable optics without measuring real progress toward adequacy thresholds.</w:t>
      </w:r>
    </w:p>
    <w:p>
      <w:pPr>
        <w:spacing w:before="60" w:after="120"/>
        <w:jc w:val="both"/>
      </w:pPr>
      <w:r>
        <w:rPr>
          <w:rFonts w:ascii="Arial" w:cs="Arial" w:eastAsia="Arial" w:hAnsi="Arial"/>
          <w:sz w:val="22"/>
          <w:szCs w:val="22"/>
        </w:rPr>
        <w:t xml:space="preserve">Mitigation: the framework’s independent technical assessment every three years must include an explicit coordination integrity audit — assessing whether interagency reviews are producing written decisions with programmatic consequences, whether metric reporting reflects output rather than process, and whether NSC coordination authority has been maintained relative to implementing agencies. The audit should be conducted by an interagency team that includes OMB and NSC rather than only implementing agencies, to prevent self-assessment bias.</w:t>
      </w:r>
    </w:p>
    <w:p>
      <w:pPr>
        <w:spacing w:before="0" w:after="60"/>
      </w:pPr>
      <w:r>
        <w:t xml:space="preserve"/>
      </w:r>
    </w:p>
    <w:p>
      <w:pPr>
        <w:pStyle w:val="Heading2"/>
        <w:spacing w:before="240" w:after="120"/>
      </w:pPr>
      <w:r>
        <w:rPr>
          <w:rFonts w:ascii="Arial" w:cs="Arial" w:eastAsia="Arial" w:hAnsi="Arial"/>
          <w:b/>
          <w:bCs/>
          <w:color w:val="1B2A4A"/>
          <w:sz w:val="24"/>
          <w:szCs w:val="24"/>
        </w:rPr>
        <w:t xml:space="preserve">12.4 Conditions Under Which the Framework Would Be Abandoned</w:t>
      </w:r>
    </w:p>
    <w:p>
      <w:pPr>
        <w:pStyle w:val="ListParagraph"/>
        <w:numPr>
          <w:ilvl w:val="0"/>
          <w:numId w:val="2"/>
        </w:numPr>
        <w:spacing w:before="40" w:after="40"/>
      </w:pPr>
      <w:r>
        <w:rPr>
          <w:rFonts w:ascii="Arial" w:cs="Arial" w:eastAsia="Arial" w:hAnsi="Arial"/>
          <w:sz w:val="22"/>
          <w:szCs w:val="22"/>
        </w:rPr>
        <w:t xml:space="preserve">IRA clean energy incentive repeal or material reduction eliminating the economic basis for battery manufacturing private investment</w:t>
      </w:r>
    </w:p>
    <w:p>
      <w:pPr>
        <w:pStyle w:val="ListParagraph"/>
        <w:numPr>
          <w:ilvl w:val="0"/>
          <w:numId w:val="2"/>
        </w:numPr>
        <w:spacing w:before="40" w:after="40"/>
      </w:pPr>
      <w:r>
        <w:rPr>
          <w:rFonts w:ascii="Arial" w:cs="Arial" w:eastAsia="Arial" w:hAnsi="Arial"/>
          <w:sz w:val="22"/>
          <w:szCs w:val="22"/>
        </w:rPr>
        <w:t xml:space="preserve">CHIPS Act program suspension or significant appropriations reduction before first-wave fab construction achieves irreversible capital commitment</w:t>
      </w:r>
    </w:p>
    <w:p>
      <w:pPr>
        <w:pStyle w:val="ListParagraph"/>
        <w:numPr>
          <w:ilvl w:val="0"/>
          <w:numId w:val="2"/>
        </w:numPr>
        <w:spacing w:before="40" w:after="40"/>
      </w:pPr>
      <w:r>
        <w:rPr>
          <w:rFonts w:ascii="Arial" w:cs="Arial" w:eastAsia="Arial" w:hAnsi="Arial"/>
          <w:sz w:val="22"/>
          <w:szCs w:val="22"/>
        </w:rPr>
        <w:t xml:space="preserve">PRC rare earth permanent magnet export restrictions imposed before domestic and allied processing achieves 30-day resilience threshold — triggering immediate National Defense Stockpile expansion and allied advance purchasing activation</w:t>
      </w:r>
    </w:p>
    <w:p>
      <w:pPr>
        <w:pStyle w:val="ListParagraph"/>
        <w:numPr>
          <w:ilvl w:val="0"/>
          <w:numId w:val="2"/>
        </w:numPr>
        <w:spacing w:before="40" w:after="40"/>
      </w:pPr>
      <w:r>
        <w:rPr>
          <w:rFonts w:ascii="Arial" w:cs="Arial" w:eastAsia="Arial" w:hAnsi="Arial"/>
          <w:sz w:val="22"/>
          <w:szCs w:val="22"/>
        </w:rPr>
        <w:t xml:space="preserve">Congressional mandatory domestic sourcing restrictions that override the technology-neutral and allied-complementary design principles</w:t>
      </w:r>
    </w:p>
    <w:p>
      <w:pPr>
        <w:pStyle w:val="ListParagraph"/>
        <w:numPr>
          <w:ilvl w:val="0"/>
          <w:numId w:val="2"/>
        </w:numPr>
        <w:spacing w:before="40" w:after="40"/>
      </w:pPr>
      <w:r>
        <w:rPr>
          <w:rFonts w:ascii="Arial" w:cs="Arial" w:eastAsia="Arial" w:hAnsi="Arial"/>
          <w:sz w:val="22"/>
          <w:szCs w:val="22"/>
        </w:rPr>
        <w:t xml:space="preserve">Two or more Tier 1 allied states (Australia, Canada, Japan) materially reducing participation in Minerals Security Partnership or bilateral supply arrangements due to their own industrial nationalism pressures — triggering reassessment of allied dependency tolerance ceilings and potential domestic investment acceleration</w:t>
      </w:r>
    </w:p>
    <w:p>
      <w:pPr>
        <w:pStyle w:val="ListParagraph"/>
        <w:numPr>
          <w:ilvl w:val="0"/>
          <w:numId w:val="2"/>
        </w:numPr>
        <w:spacing w:before="40" w:after="40"/>
      </w:pPr>
      <w:r>
        <w:rPr>
          <w:rFonts w:ascii="Arial" w:cs="Arial" w:eastAsia="Arial" w:hAnsi="Arial"/>
          <w:sz w:val="22"/>
          <w:szCs w:val="22"/>
        </w:rPr>
        <w:t xml:space="preserve">Coordination integrity audit finds chronic decay in two or more interagency coordination mechanisms — NSC-led framework reset required before continued Phase II investment is authorized, to prevent escalating public commitment to a strategy whose institutional execution architecture has lost operational integrity</w:t>
      </w:r>
    </w:p>
    <w:p>
      <w:pPr>
        <w:spacing w:before="0" w:after="160"/>
      </w:pPr>
      <w:r>
        <w:t xml:space="preserve"/>
      </w:r>
    </w:p>
    <w:p>
      <w:r>
        <w:br w:type="page"/>
      </w:r>
    </w:p>
    <w:p>
      <w:pPr>
        <w:pStyle w:val="Heading1"/>
        <w:spacing w:before="320" w:after="160"/>
      </w:pPr>
      <w:r>
        <w:rPr>
          <w:rFonts w:ascii="Arial" w:cs="Arial" w:eastAsia="Arial" w:hAnsi="Arial"/>
          <w:b/>
          <w:bCs/>
          <w:color w:val="1B2A4A"/>
          <w:sz w:val="30"/>
          <w:szCs w:val="30"/>
        </w:rPr>
        <w:t xml:space="preserve">PART XIII: LIMITATIONS OF THE PUBLIC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2A4A" w:sz="16"/>
              <w:bottom w:val="none" w:color="FFFFFF" w:sz="0"/>
              <w:right w:val="none" w:color="FFFFFF" w:sz="0"/>
            </w:tcBorders>
            <w:shd w:fill="E8EDF5" w:val="clear"/>
            <w:tcMar>
              <w:top w:type="dxa" w:w="120"/>
              <w:left w:type="dxa" w:w="160"/>
              <w:bottom w:type="dxa" w:w="120"/>
              <w:right w:type="dxa" w:w="120"/>
            </w:tcMar>
          </w:tcPr>
          <w:p>
            <w:pPr>
              <w:spacing w:before="0" w:after="80"/>
            </w:pPr>
            <w:r>
              <w:rPr>
                <w:rFonts w:ascii="Arial" w:cs="Arial" w:eastAsia="Arial" w:hAnsi="Arial"/>
                <w:b/>
                <w:bCs/>
                <w:caps/>
                <w:color w:val="1B2A4A"/>
                <w:sz w:val="20"/>
                <w:szCs w:val="20"/>
              </w:rPr>
              <w:t xml:space="preserve">ANALYTIC LIMITATIONS</w:t>
            </w:r>
          </w:p>
          <w:p>
            <w:pPr>
              <w:spacing w:before="0" w:after="60"/>
            </w:pPr>
            <w:r>
              <w:rPr>
                <w:rFonts w:ascii="Arial" w:cs="Arial" w:eastAsia="Arial" w:hAnsi="Arial"/>
                <w:sz w:val="20"/>
                <w:szCs w:val="20"/>
              </w:rPr>
              <w:t xml:space="preserve">This paper is based entirely on open-source, publicly available information. It does not incorporate classified assessments, proprietary industry data, or internal agency deliberations.</w:t>
            </w:r>
          </w:p>
          <w:p>
            <w:pPr>
              <w:spacing w:before="0" w:after="60"/>
            </w:pPr>
            <w:r>
              <w:rPr>
                <w:rFonts w:ascii="Arial" w:cs="Arial" w:eastAsia="Arial" w:hAnsi="Arial"/>
                <w:sz w:val="20"/>
                <w:szCs w:val="20"/>
              </w:rPr>
              <w:t xml:space="preserve">Semiconductor fabrication share figures (37% in 1990; 10-12% as of 2023) are sourced from SIA State of the U.S. Semiconductor Industry 2024, incorporating CHIPS Act investment pipeline data through mid-2024. [TIER 2 — SIA 2024] The 2030 projection range (14-16% domestic) is derived from announced fab construction timelines as of March 2026 and is subject to material change based on construction completion rates, yield ramp performance, and additional investment decisions not yet announced.</w:t>
            </w:r>
          </w:p>
          <w:p>
            <w:pPr>
              <w:spacing w:before="0" w:after="60"/>
            </w:pPr>
            <w:r>
              <w:rPr>
                <w:rFonts w:ascii="Arial" w:cs="Arial" w:eastAsia="Arial" w:hAnsi="Arial"/>
                <w:sz w:val="20"/>
                <w:szCs w:val="20"/>
              </w:rPr>
              <w:t xml:space="preserve">Adequacy threshold figures in Part IX are analytically inferred from enforcement strategy requirements and documented allied coordination dynamics. They are not empirically derived from controlled experimental evidence or classified intelligence assessments. Reasonable alternative threshold assessments exist.</w:t>
            </w:r>
          </w:p>
          <w:p>
            <w:pPr>
              <w:spacing w:before="0" w:after="60"/>
            </w:pPr>
            <w:r>
              <w:rPr>
                <w:rFonts w:ascii="Arial" w:cs="Arial" w:eastAsia="Arial" w:hAnsi="Arial"/>
                <w:sz w:val="20"/>
                <w:szCs w:val="20"/>
              </w:rPr>
              <w:t xml:space="preserve">PRC countermeasure timing assessments are scenario-conditioned. The public record does not permit a firm conclusion on whether PRC countermeasures will be deployed on the timeline assessed as most damaging to the implementation window.</w:t>
            </w:r>
          </w:p>
          <w:p>
            <w:pPr>
              <w:spacing w:before="0" w:after="60"/>
            </w:pPr>
            <w:r>
              <w:rPr>
                <w:rFonts w:ascii="Arial" w:cs="Arial" w:eastAsia="Arial" w:hAnsi="Arial"/>
                <w:sz w:val="20"/>
                <w:szCs w:val="20"/>
              </w:rPr>
              <w:t xml:space="preserve">Allied cooperation assessments treat allied coordination as a conditional variable, not a stabilizing assumption. Specific allied commitment levels reflect publicly available government statements and partnership agreements; actual allied performance will vary based on their own domestic political and economic pressures.</w:t>
            </w:r>
          </w:p>
        </w:tc>
      </w:tr>
    </w:tbl>
    <w:p>
      <w:pPr>
        <w:spacing w:before="0" w:after="160"/>
      </w:pPr>
      <w:r>
        <w:t xml:space="preserve"/>
      </w:r>
    </w:p>
    <w:p>
      <w:r>
        <w:br w:type="page"/>
      </w:r>
    </w:p>
    <w:p>
      <w:pPr>
        <w:pStyle w:val="Heading1"/>
        <w:spacing w:before="320" w:after="160"/>
      </w:pPr>
      <w:r>
        <w:rPr>
          <w:rFonts w:ascii="Arial" w:cs="Arial" w:eastAsia="Arial" w:hAnsi="Arial"/>
          <w:b/>
          <w:bCs/>
          <w:color w:val="1B2A4A"/>
          <w:sz w:val="30"/>
          <w:szCs w:val="30"/>
        </w:rPr>
        <w:t xml:space="preserve">Sources and Reference Basis</w:t>
      </w:r>
    </w:p>
    <w:p>
      <w:pPr>
        <w:pStyle w:val="Heading2"/>
        <w:spacing w:before="240" w:after="120"/>
      </w:pPr>
      <w:r>
        <w:rPr>
          <w:rFonts w:ascii="Arial" w:cs="Arial" w:eastAsia="Arial" w:hAnsi="Arial"/>
          <w:b/>
          <w:bCs/>
          <w:color w:val="1B2A4A"/>
          <w:sz w:val="24"/>
          <w:szCs w:val="24"/>
        </w:rPr>
        <w:t xml:space="preserve">Tier 1 Sources</w:t>
      </w:r>
    </w:p>
    <w:p>
      <w:pPr>
        <w:pStyle w:val="ListParagraph"/>
        <w:numPr>
          <w:ilvl w:val="0"/>
          <w:numId w:val="2"/>
        </w:numPr>
        <w:spacing w:before="40" w:after="40"/>
      </w:pPr>
      <w:r>
        <w:rPr>
          <w:rFonts w:ascii="Arial" w:cs="Arial" w:eastAsia="Arial" w:hAnsi="Arial"/>
          <w:sz w:val="22"/>
          <w:szCs w:val="22"/>
        </w:rPr>
        <w:t xml:space="preserve">U.S. Geological Survey (USGS) Mineral Commodity Summaries 2025</w:t>
      </w:r>
    </w:p>
    <w:p>
      <w:pPr>
        <w:pStyle w:val="ListParagraph"/>
        <w:numPr>
          <w:ilvl w:val="0"/>
          <w:numId w:val="2"/>
        </w:numPr>
        <w:spacing w:before="40" w:after="40"/>
      </w:pPr>
      <w:r>
        <w:rPr>
          <w:rFonts w:ascii="Arial" w:cs="Arial" w:eastAsia="Arial" w:hAnsi="Arial"/>
          <w:sz w:val="22"/>
          <w:szCs w:val="22"/>
        </w:rPr>
        <w:t xml:space="preserve">NERC 2024 Long-Term Reliability Assessment</w:t>
      </w:r>
    </w:p>
    <w:p>
      <w:pPr>
        <w:pStyle w:val="ListParagraph"/>
        <w:numPr>
          <w:ilvl w:val="0"/>
          <w:numId w:val="2"/>
        </w:numPr>
        <w:spacing w:before="40" w:after="40"/>
      </w:pPr>
      <w:r>
        <w:rPr>
          <w:rFonts w:ascii="Arial" w:cs="Arial" w:eastAsia="Arial" w:hAnsi="Arial"/>
          <w:sz w:val="22"/>
          <w:szCs w:val="22"/>
        </w:rPr>
        <w:t xml:space="preserve">IEA Global Critical Minerals Outlook 2023–2024</w:t>
      </w:r>
    </w:p>
    <w:p>
      <w:pPr>
        <w:pStyle w:val="ListParagraph"/>
        <w:numPr>
          <w:ilvl w:val="0"/>
          <w:numId w:val="2"/>
        </w:numPr>
        <w:spacing w:before="40" w:after="40"/>
      </w:pPr>
      <w:r>
        <w:rPr>
          <w:rFonts w:ascii="Arial" w:cs="Arial" w:eastAsia="Arial" w:hAnsi="Arial"/>
          <w:sz w:val="22"/>
          <w:szCs w:val="22"/>
        </w:rPr>
        <w:t xml:space="preserve">BIS FDPR enforcement assessments and semiconductor export control implementation 2023–2025</w:t>
      </w:r>
    </w:p>
    <w:p>
      <w:pPr>
        <w:pStyle w:val="ListParagraph"/>
        <w:numPr>
          <w:ilvl w:val="0"/>
          <w:numId w:val="2"/>
        </w:numPr>
        <w:spacing w:before="40" w:after="40"/>
      </w:pPr>
      <w:r>
        <w:rPr>
          <w:rFonts w:ascii="Arial" w:cs="Arial" w:eastAsia="Arial" w:hAnsi="Arial"/>
          <w:sz w:val="22"/>
          <w:szCs w:val="22"/>
        </w:rPr>
        <w:t xml:space="preserve">PRC Ministry of Commerce export control regulations — gallium/germanium (August 2023), graphite (December 2023)</w:t>
      </w:r>
    </w:p>
    <w:p>
      <w:pPr>
        <w:pStyle w:val="ListParagraph"/>
        <w:numPr>
          <w:ilvl w:val="0"/>
          <w:numId w:val="2"/>
        </w:numPr>
        <w:spacing w:before="40" w:after="40"/>
      </w:pPr>
      <w:r>
        <w:rPr>
          <w:rFonts w:ascii="Arial" w:cs="Arial" w:eastAsia="Arial" w:hAnsi="Arial"/>
          <w:sz w:val="22"/>
          <w:szCs w:val="22"/>
        </w:rPr>
        <w:t xml:space="preserve">CHIPS and Science Act, Public Law 117-167 (August 2022)</w:t>
      </w:r>
    </w:p>
    <w:p>
      <w:pPr>
        <w:pStyle w:val="ListParagraph"/>
        <w:numPr>
          <w:ilvl w:val="0"/>
          <w:numId w:val="2"/>
        </w:numPr>
        <w:spacing w:before="40" w:after="40"/>
      </w:pPr>
      <w:r>
        <w:rPr>
          <w:rFonts w:ascii="Arial" w:cs="Arial" w:eastAsia="Arial" w:hAnsi="Arial"/>
          <w:sz w:val="22"/>
          <w:szCs w:val="22"/>
        </w:rPr>
        <w:t xml:space="preserve">Inflation Reduction Act, Public Law 117-169 (August 2022)</w:t>
      </w:r>
    </w:p>
    <w:p>
      <w:pPr>
        <w:pStyle w:val="ListParagraph"/>
        <w:numPr>
          <w:ilvl w:val="0"/>
          <w:numId w:val="2"/>
        </w:numPr>
        <w:spacing w:before="40" w:after="40"/>
      </w:pPr>
      <w:r>
        <w:rPr>
          <w:rFonts w:ascii="Arial" w:cs="Arial" w:eastAsia="Arial" w:hAnsi="Arial"/>
          <w:sz w:val="22"/>
          <w:szCs w:val="22"/>
        </w:rPr>
        <w:t xml:space="preserve">Energy Policy Act of 2005, 42 U.S.C. s. 16511 et seq.; National Defense Stockpile, 50 U.S.C. ss. 98 et seq.</w:t>
      </w:r>
    </w:p>
    <w:p>
      <w:pPr>
        <w:pStyle w:val="ListParagraph"/>
        <w:numPr>
          <w:ilvl w:val="0"/>
          <w:numId w:val="2"/>
        </w:numPr>
        <w:spacing w:before="40" w:after="40"/>
      </w:pPr>
      <w:r>
        <w:rPr>
          <w:rFonts w:ascii="Arial" w:cs="Arial" w:eastAsia="Arial" w:hAnsi="Arial"/>
          <w:sz w:val="22"/>
          <w:szCs w:val="22"/>
        </w:rPr>
        <w:t xml:space="preserve">DOE Loan Programs Office — public portfolio data</w:t>
      </w:r>
    </w:p>
    <w:p>
      <w:pPr>
        <w:pStyle w:val="ListParagraph"/>
        <w:numPr>
          <w:ilvl w:val="0"/>
          <w:numId w:val="2"/>
        </w:numPr>
        <w:spacing w:before="40" w:after="40"/>
      </w:pPr>
      <w:r>
        <w:rPr>
          <w:rFonts w:ascii="Arial" w:cs="Arial" w:eastAsia="Arial" w:hAnsi="Arial"/>
          <w:sz w:val="22"/>
          <w:szCs w:val="22"/>
        </w:rPr>
        <w:t xml:space="preserve">CEQ NEPA implementation reports; GAO infrastructure review reports</w:t>
      </w:r>
    </w:p>
    <w:p>
      <w:pPr>
        <w:spacing w:before="0" w:after="60"/>
      </w:pPr>
      <w:r>
        <w:t xml:space="preserve"/>
      </w:r>
    </w:p>
    <w:p>
      <w:pPr>
        <w:pStyle w:val="Heading2"/>
        <w:spacing w:before="240" w:after="120"/>
      </w:pPr>
      <w:r>
        <w:rPr>
          <w:rFonts w:ascii="Arial" w:cs="Arial" w:eastAsia="Arial" w:hAnsi="Arial"/>
          <w:b/>
          <w:bCs/>
          <w:color w:val="1B2A4A"/>
          <w:sz w:val="24"/>
          <w:szCs w:val="24"/>
        </w:rPr>
        <w:t xml:space="preserve">Tier 2 Sources</w:t>
      </w:r>
    </w:p>
    <w:p>
      <w:pPr>
        <w:pStyle w:val="ListParagraph"/>
        <w:numPr>
          <w:ilvl w:val="0"/>
          <w:numId w:val="2"/>
        </w:numPr>
        <w:spacing w:before="40" w:after="40"/>
      </w:pPr>
      <w:r>
        <w:rPr>
          <w:rFonts w:ascii="Arial" w:cs="Arial" w:eastAsia="Arial" w:hAnsi="Arial"/>
          <w:sz w:val="22"/>
          <w:szCs w:val="22"/>
        </w:rPr>
        <w:t xml:space="preserve">SIA State of the U.S. Semiconductor Industry 2024 (updated from SIA/BCG 2021 baseline)</w:t>
      </w:r>
    </w:p>
    <w:p>
      <w:pPr>
        <w:pStyle w:val="ListParagraph"/>
        <w:numPr>
          <w:ilvl w:val="0"/>
          <w:numId w:val="2"/>
        </w:numPr>
        <w:spacing w:before="40" w:after="40"/>
      </w:pPr>
      <w:r>
        <w:rPr>
          <w:rFonts w:ascii="Arial" w:cs="Arial" w:eastAsia="Arial" w:hAnsi="Arial"/>
          <w:sz w:val="22"/>
          <w:szCs w:val="22"/>
        </w:rPr>
        <w:t xml:space="preserve">BloombergNEF Battery Price Survey 2024</w:t>
      </w:r>
    </w:p>
    <w:p>
      <w:pPr>
        <w:pStyle w:val="ListParagraph"/>
        <w:numPr>
          <w:ilvl w:val="0"/>
          <w:numId w:val="2"/>
        </w:numPr>
        <w:spacing w:before="40" w:after="40"/>
      </w:pPr>
      <w:r>
        <w:rPr>
          <w:rFonts w:ascii="Arial" w:cs="Arial" w:eastAsia="Arial" w:hAnsi="Arial"/>
          <w:sz w:val="22"/>
          <w:szCs w:val="22"/>
        </w:rPr>
        <w:t xml:space="preserve">IEA World Energy Outlook 2024</w:t>
      </w:r>
    </w:p>
    <w:p>
      <w:pPr>
        <w:pStyle w:val="ListParagraph"/>
        <w:numPr>
          <w:ilvl w:val="0"/>
          <w:numId w:val="2"/>
        </w:numPr>
        <w:spacing w:before="40" w:after="40"/>
      </w:pPr>
      <w:r>
        <w:rPr>
          <w:rFonts w:ascii="Arial" w:cs="Arial" w:eastAsia="Arial" w:hAnsi="Arial"/>
          <w:sz w:val="22"/>
          <w:szCs w:val="22"/>
        </w:rPr>
        <w:t xml:space="preserve">CSIS Critical Minerals and Supply Chain Security analysis 2024</w:t>
      </w:r>
    </w:p>
    <w:p>
      <w:pPr>
        <w:pStyle w:val="ListParagraph"/>
        <w:numPr>
          <w:ilvl w:val="0"/>
          <w:numId w:val="2"/>
        </w:numPr>
        <w:spacing w:before="40" w:after="40"/>
      </w:pPr>
      <w:r>
        <w:rPr>
          <w:rFonts w:ascii="Arial" w:cs="Arial" w:eastAsia="Arial" w:hAnsi="Arial"/>
          <w:sz w:val="22"/>
          <w:szCs w:val="22"/>
        </w:rPr>
        <w:t xml:space="preserve">Atlantic Council — energy technology and grid modernization analysis</w:t>
      </w:r>
    </w:p>
    <w:p>
      <w:pPr>
        <w:pStyle w:val="ListParagraph"/>
        <w:numPr>
          <w:ilvl w:val="0"/>
          <w:numId w:val="2"/>
        </w:numPr>
        <w:spacing w:before="40" w:after="40"/>
      </w:pPr>
      <w:r>
        <w:rPr>
          <w:rFonts w:ascii="Arial" w:cs="Arial" w:eastAsia="Arial" w:hAnsi="Arial"/>
          <w:sz w:val="22"/>
          <w:szCs w:val="22"/>
        </w:rPr>
        <w:t xml:space="preserve">RAND Corporation — industrial base resilience and supply chain concentration analysis</w:t>
      </w:r>
    </w:p>
    <w:p>
      <w:pPr>
        <w:pStyle w:val="ListParagraph"/>
        <w:numPr>
          <w:ilvl w:val="0"/>
          <w:numId w:val="2"/>
        </w:numPr>
        <w:spacing w:before="40" w:after="40"/>
      </w:pPr>
      <w:r>
        <w:rPr>
          <w:rFonts w:ascii="Arial" w:cs="Arial" w:eastAsia="Arial" w:hAnsi="Arial"/>
          <w:sz w:val="22"/>
          <w:szCs w:val="22"/>
        </w:rPr>
        <w:t xml:space="preserve">Minerals Security Partnership documentation</w:t>
      </w:r>
    </w:p>
    <w:p>
      <w:pPr>
        <w:spacing w:before="0" w:after="60"/>
      </w:pPr>
      <w:r>
        <w:t xml:space="preserve"/>
      </w:r>
    </w:p>
    <w:p>
      <w:pPr>
        <w:pStyle w:val="Heading2"/>
        <w:spacing w:before="240" w:after="120"/>
      </w:pPr>
      <w:r>
        <w:rPr>
          <w:rFonts w:ascii="Arial" w:cs="Arial" w:eastAsia="Arial" w:hAnsi="Arial"/>
          <w:b/>
          <w:bCs/>
          <w:color w:val="1B2A4A"/>
          <w:sz w:val="24"/>
          <w:szCs w:val="24"/>
        </w:rPr>
        <w:t xml:space="preserve">Series Cross-References</w:t>
      </w:r>
    </w:p>
    <w:p>
      <w:pPr>
        <w:pStyle w:val="ListParagraph"/>
        <w:numPr>
          <w:ilvl w:val="0"/>
          <w:numId w:val="2"/>
        </w:numPr>
        <w:spacing w:before="40" w:after="40"/>
      </w:pPr>
      <w:r>
        <w:rPr>
          <w:rFonts w:ascii="Arial" w:cs="Arial" w:eastAsia="Arial" w:hAnsi="Arial"/>
          <w:sz w:val="22"/>
          <w:szCs w:val="22"/>
        </w:rPr>
        <w:t xml:space="preserve">PERSIST-01 — Pillar V: Allied and Domestic Resilience</w:t>
      </w:r>
    </w:p>
    <w:p>
      <w:pPr>
        <w:pStyle w:val="ListParagraph"/>
        <w:numPr>
          <w:ilvl w:val="0"/>
          <w:numId w:val="2"/>
        </w:numPr>
        <w:spacing w:before="40" w:after="40"/>
      </w:pPr>
      <w:r>
        <w:rPr>
          <w:rFonts w:ascii="Arial" w:cs="Arial" w:eastAsia="Arial" w:hAnsi="Arial"/>
          <w:sz w:val="22"/>
          <w:szCs w:val="22"/>
        </w:rPr>
        <w:t xml:space="preserve">CONTAIN-01 — SPAD Component: Sustainable Pressure and Alternatives Denial</w:t>
      </w:r>
    </w:p>
    <w:p>
      <w:pPr>
        <w:pStyle w:val="ListParagraph"/>
        <w:numPr>
          <w:ilvl w:val="0"/>
          <w:numId w:val="2"/>
        </w:numPr>
        <w:spacing w:before="40" w:after="40"/>
      </w:pPr>
      <w:r>
        <w:rPr>
          <w:rFonts w:ascii="Arial" w:cs="Arial" w:eastAsia="Arial" w:hAnsi="Arial"/>
          <w:sz w:val="22"/>
          <w:szCs w:val="22"/>
        </w:rPr>
        <w:t xml:space="preserve">ESCALATE-01 — Substitution Vulnerability Matrix; chokepoint enforcement conditioned on domestic capacity</w:t>
      </w:r>
    </w:p>
    <w:p>
      <w:pPr>
        <w:pStyle w:val="ListParagraph"/>
        <w:numPr>
          <w:ilvl w:val="0"/>
          <w:numId w:val="2"/>
        </w:numPr>
        <w:spacing w:before="40" w:after="40"/>
      </w:pPr>
      <w:r>
        <w:rPr>
          <w:rFonts w:ascii="Arial" w:cs="Arial" w:eastAsia="Arial" w:hAnsi="Arial"/>
          <w:sz w:val="22"/>
          <w:szCs w:val="22"/>
        </w:rPr>
        <w:t xml:space="preserve">TARIFF-01 / ANCHOR — instrument sequencing rule</w:t>
      </w:r>
    </w:p>
    <w:p>
      <w:pPr>
        <w:pStyle w:val="ListParagraph"/>
        <w:numPr>
          <w:ilvl w:val="0"/>
          <w:numId w:val="2"/>
        </w:numPr>
        <w:spacing w:before="40" w:after="40"/>
      </w:pPr>
      <w:r>
        <w:rPr>
          <w:rFonts w:ascii="Arial" w:cs="Arial" w:eastAsia="Arial" w:hAnsi="Arial"/>
          <w:sz w:val="22"/>
          <w:szCs w:val="22"/>
        </w:rPr>
        <w:t xml:space="preserve">SHIELD-01 — CCRP technology-denial coalition architecture</w:t>
      </w:r>
    </w:p>
    <w:p>
      <w:pPr>
        <w:pStyle w:val="ListParagraph"/>
        <w:numPr>
          <w:ilvl w:val="0"/>
          <w:numId w:val="2"/>
        </w:numPr>
        <w:spacing w:before="40" w:after="40"/>
      </w:pPr>
      <w:r>
        <w:rPr>
          <w:rFonts w:ascii="Arial" w:cs="Arial" w:eastAsia="Arial" w:hAnsi="Arial"/>
          <w:sz w:val="22"/>
          <w:szCs w:val="22"/>
        </w:rPr>
        <w:t xml:space="preserve">ATTRIBUTION-01 / NEXUS-01 — series methodology foundation</w:t>
      </w:r>
    </w:p>
    <w:p>
      <w:pPr>
        <w:spacing w:before="0" w:after="200"/>
      </w:pPr>
      <w:r>
        <w:t xml:space="preserve"/>
      </w:r>
    </w:p>
    <w:p>
      <w:pPr>
        <w:pBdr>
          <w:bottom w:val="single" w:color="1B2A4A" w:sz="12" w:space="1"/>
        </w:pBdr>
        <w:spacing w:before="0" w:after="120"/>
      </w:pPr>
    </w:p>
    <w:p>
      <w:pPr>
        <w:spacing w:before="80" w:after="80"/>
        <w:jc w:val="center"/>
      </w:pPr>
      <w:r>
        <w:rPr>
          <w:rFonts w:ascii="Arial" w:cs="Arial" w:eastAsia="Arial" w:hAnsi="Arial"/>
          <w:caps/>
          <w:color w:val="4A5568"/>
          <w:sz w:val="16"/>
          <w:szCs w:val="16"/>
        </w:rPr>
        <w:t xml:space="preserve">END OF DOCUMENT — RESILIENCE-01 v8.0 — WP-2026 SERIES — MARCH 2026 — UNCLASSIFIED // OPEN SOURCE</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2A4A" w:sz="4" w:space="1"/>
      </w:pBdr>
      <w:tabs>
        <w:tab w:val="right" w:pos="8640"/>
      </w:tabs>
      <w:spacing w:before="60" w:after="0"/>
    </w:pPr>
    <w:r>
      <w:rPr>
        <w:rFonts w:ascii="Arial" w:cs="Arial" w:eastAsia="Arial" w:hAnsi="Arial"/>
        <w:color w:val="4A5568"/>
        <w:sz w:val="16"/>
        <w:szCs w:val="16"/>
      </w:rPr>
      <w:t xml:space="preserve">Center for Competitive Statecraft and Strategic Policy • Collin George • March 2026</w:t>
    </w:r>
    <w:r>
      <w:rPr>
        <w:rFonts w:ascii="Arial" w:cs="Arial" w:eastAsia="Arial" w:hAnsi="Arial"/>
        <w:sz w:val="16"/>
        <w:szCs w:val="16"/>
      </w:rPr>
      <w:t xml:space="preserve">	</w:t>
    </w:r>
    <w:r>
      <w:rPr>
        <w:rFonts w:ascii="Arial" w:cs="Arial" w:eastAsia="Arial" w:hAnsi="Arial"/>
        <w:color w:val="4A5568"/>
        <w:sz w:val="16"/>
        <w:szCs w:val="16"/>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4" w:space="1"/>
      </w:pBdr>
      <w:tabs>
        <w:tab w:val="right" w:pos="8640"/>
      </w:tabs>
      <w:spacing w:before="0" w:after="60"/>
    </w:pPr>
    <w:r>
      <w:rPr>
        <w:rFonts w:ascii="Arial" w:cs="Arial" w:eastAsia="Arial" w:hAnsi="Arial"/>
        <w:caps/>
        <w:color w:val="4A5568"/>
        <w:sz w:val="16"/>
        <w:szCs w:val="16"/>
      </w:rPr>
      <w:t xml:space="preserve">WP-2026 • RESILIENCE-01</w:t>
    </w:r>
    <w:r>
      <w:rPr>
        <w:rFonts w:ascii="Arial" w:cs="Arial" w:eastAsia="Arial" w:hAnsi="Arial"/>
        <w:color w:val="4A5568"/>
        <w:sz w:val="16"/>
        <w:szCs w:val="16"/>
      </w:rPr>
      <w:t xml:space="preserve">   |   National Technology Modernization and Industrial Resilience Strategy</w:t>
    </w:r>
    <w:r>
      <w:rPr>
        <w:rFonts w:ascii="Arial" w:cs="Arial" w:eastAsia="Arial" w:hAnsi="Arial"/>
        <w:sz w:val="16"/>
        <w:szCs w:val="16"/>
      </w:rPr>
      <w:t xml:space="preserve">	</w:t>
    </w:r>
    <w:r>
      <w:rPr>
        <w:rFonts w:ascii="Arial" w:cs="Arial" w:eastAsia="Arial" w:hAnsi="Arial"/>
        <w:caps/>
        <w:color w:val="4A5568"/>
        <w:sz w:val="16"/>
        <w:szCs w:val="16"/>
      </w:rPr>
      <w:t xml:space="preserve">UNCLASSIFIED // OPEN SOURCE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B2A4A"/>
      <w:sz w:val="30"/>
      <w:szCs w:val="30"/>
    </w:rPr>
  </w:style>
  <w:style w:type="paragraph" w:styleId="Heading2">
    <w:name w:val="Heading 2"/>
    <w:basedOn w:val="Normal"/>
    <w:next w:val="Normal"/>
    <w:qFormat/>
    <w:pPr>
      <w:spacing w:before="240" w:after="120"/>
      <w:outlineLvl w:val="1"/>
    </w:pPr>
    <w:rPr>
      <w:rFonts w:ascii="Arial" w:cs="Arial" w:eastAsia="Arial" w:hAnsi="Arial"/>
      <w:b/>
      <w:bCs/>
      <w:color w:val="1B2A4A"/>
      <w:sz w:val="24"/>
      <w:szCs w:val="24"/>
    </w:rPr>
  </w:style>
  <w:style w:type="paragraph" w:styleId="Heading3">
    <w:name w:val="Heading 3"/>
    <w:basedOn w:val="Normal"/>
    <w:next w:val="Normal"/>
    <w:qFormat/>
    <w:pPr>
      <w:spacing w:before="180" w:after="80"/>
      <w:outlineLvl w:val="2"/>
    </w:pPr>
    <w:rPr>
      <w:rFonts w:ascii="Arial" w:cs="Arial" w:eastAsia="Arial" w:hAnsi="Arial"/>
      <w:b/>
      <w:bCs/>
      <w:color w:val="4A556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2026-03-25T16:19:33.204Z</dcterms:created>
  <dcterms:modified xsi:type="dcterms:W3CDTF">2026-03-25T16:19:33.204Z</dcterms:modified>
</cp:coreProperties>
</file>

<file path=docProps/custom.xml><?xml version="1.0" encoding="utf-8"?>
<Properties xmlns="http://schemas.openxmlformats.org/officeDocument/2006/custom-properties" xmlns:vt="http://schemas.openxmlformats.org/officeDocument/2006/docPropsVTypes"/>
</file>