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C2B4A" w:val="clear"/>
        <w:spacing w:before="0" w:after="0"/>
        <w:jc w:val="center"/>
      </w:pPr>
      <w:r>
        <w:rPr>
          <w:rFonts w:ascii="Calibri" w:cs="Calibri" w:eastAsia="Calibri" w:hAnsi="Calibri"/>
          <w:b/>
          <w:bCs/>
          <w:color w:val="FFFFFF"/>
          <w:sz w:val="17"/>
          <w:szCs w:val="17"/>
        </w:rPr>
        <w:t xml:space="preserve">STRATEGIC ANALYSIS  •  SIMULATED  •  NOT CLASSIFIED  •  ACADEMIC AND POLICY RESEARCH PURPOSES ONLY</w:t>
      </w:r>
    </w:p>
    <w:p>
      <w:pPr>
        <w:spacing w:before="40" w:after="40"/>
      </w:pPr>
      <w:r>
        <w:rPr>
          <w:sz w:val="18"/>
          <w:szCs w:val="18"/>
        </w:rPr>
        <w:t xml:space="preserve"/>
      </w:r>
    </w:p>
    <w:p>
      <w:pPr>
        <w:spacing w:before="160" w:after="40"/>
        <w:jc w:val="left"/>
      </w:pPr>
      <w:r>
        <w:rPr>
          <w:rFonts w:ascii="Calibri" w:cs="Calibri" w:eastAsia="Calibri" w:hAnsi="Calibri"/>
          <w:color w:val="7F7F7F"/>
          <w:sz w:val="18"/>
          <w:szCs w:val="18"/>
        </w:rPr>
        <w:t xml:space="preserve">Working Paper Series  |  Center for Competitive Statecraft and Strategic Policy</w:t>
      </w:r>
    </w:p>
    <w:p>
      <w:pPr>
        <w:spacing w:before="0" w:after="80"/>
        <w:jc w:val="left"/>
      </w:pPr>
      <w:r>
        <w:rPr>
          <w:rFonts w:ascii="Calibri" w:cs="Calibri" w:eastAsia="Calibri" w:hAnsi="Calibri"/>
          <w:b/>
          <w:bCs/>
          <w:color w:val="1C2B4A"/>
          <w:sz w:val="20"/>
          <w:szCs w:val="20"/>
        </w:rPr>
        <w:t xml:space="preserve">WP-2026-SENI-01</w:t>
      </w:r>
    </w:p>
    <w:p>
      <w:pPr>
        <w:spacing w:before="240" w:after="80"/>
      </w:pPr>
      <w:r>
        <w:rPr>
          <w:rFonts w:ascii="Calibri" w:cs="Calibri" w:eastAsia="Calibri" w:hAnsi="Calibri"/>
          <w:b/>
          <w:bCs/>
          <w:color w:val="1C2B4A"/>
          <w:sz w:val="48"/>
          <w:szCs w:val="48"/>
        </w:rPr>
        <w:t xml:space="preserve">Strategic Enforcement Node Index (SENI)</w:t>
      </w:r>
    </w:p>
    <w:p>
      <w:pPr>
        <w:spacing w:before="0" w:after="120"/>
      </w:pPr>
      <w:r>
        <w:rPr>
          <w:rFonts w:ascii="Calibri" w:cs="Calibri" w:eastAsia="Calibri" w:hAnsi="Calibri"/>
          <w:i/>
          <w:iCs/>
          <w:color w:val="4A6FA5"/>
          <w:sz w:val="24"/>
          <w:szCs w:val="24"/>
        </w:rPr>
        <w:t xml:space="preserve">Mapping Global Sanctions Evasion Networks and Enforcement Authorities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50"/>
        <w:gridCol w:w="1950"/>
        <w:gridCol w:w="1950"/>
        <w:gridCol w:w="1950"/>
        <w:gridCol w:w="1950"/>
        <w:gridCol w:w="1950"/>
        <w:gridCol w:w="1980"/>
      </w:tblGrid>
      <w:tr>
        <w:tc>
          <w:tcPr>
            <w:tcW w:type="dxa" w:w="1950"/>
            <w:tcBorders>
              <w:top w:val="single" w:color="D0D5DE" w:sz="1"/>
              <w:left w:val="single" w:color="D0D5DE" w:sz="1"/>
              <w:bottom w:val="single" w:color="D0D5DE" w:sz="1"/>
              <w:right w:val="single" w:color="D0D5DE" w:sz="1"/>
            </w:tcBorders>
            <w:shd w:fill="1C2B4A" w:val="clear"/>
            <w:tcMar>
              <w:top w:type="dxa" w:w="120"/>
              <w:left w:type="dxa" w:w="120"/>
              <w:bottom w:type="dxa" w:w="120"/>
              <w:right w:type="dxa" w:w="120"/>
            </w:tcMar>
            <w:vAlign w:val="center"/>
          </w:tcPr>
          <w:p>
            <w:pPr>
              <w:jc w:val="center"/>
            </w:pPr>
            <w:r>
              <w:rPr>
                <w:rFonts w:ascii="Calibri" w:cs="Calibri" w:eastAsia="Calibri" w:hAnsi="Calibri"/>
                <w:b/>
                <w:bCs/>
                <w:color w:val="FFFFFF"/>
                <w:sz w:val="40"/>
                <w:szCs w:val="40"/>
              </w:rPr>
              <w:t xml:space="preserve">306</w:t>
            </w:r>
          </w:p>
          <w:p>
            <w:pPr>
              <w:jc w:val="center"/>
            </w:pPr>
            <w:r>
              <w:rPr>
                <w:rFonts w:ascii="Calibri" w:cs="Calibri" w:eastAsia="Calibri" w:hAnsi="Calibri"/>
                <w:b/>
                <w:bCs/>
                <w:color w:val="FFFFFF"/>
                <w:sz w:val="16"/>
                <w:szCs w:val="16"/>
              </w:rPr>
              <w:t xml:space="preserve">TOTAL ENTRIES</w:t>
            </w:r>
          </w:p>
        </w:tc>
        <w:tc>
          <w:tcPr>
            <w:tcW w:type="dxa" w:w="1950"/>
            <w:tcBorders>
              <w:top w:val="single" w:color="D0D5DE" w:sz="1"/>
              <w:left w:val="single" w:color="D0D5DE" w:sz="1"/>
              <w:bottom w:val="single" w:color="D0D5DE" w:sz="1"/>
              <w:right w:val="single" w:color="D0D5DE" w:sz="1"/>
            </w:tcBorders>
            <w:shd w:fill="8B1A1A" w:val="clear"/>
            <w:tcMar>
              <w:top w:type="dxa" w:w="120"/>
              <w:left w:type="dxa" w:w="120"/>
              <w:bottom w:type="dxa" w:w="120"/>
              <w:right w:type="dxa" w:w="120"/>
            </w:tcMar>
            <w:vAlign w:val="center"/>
          </w:tcPr>
          <w:p>
            <w:pPr>
              <w:jc w:val="center"/>
            </w:pPr>
            <w:r>
              <w:rPr>
                <w:rFonts w:ascii="Calibri" w:cs="Calibri" w:eastAsia="Calibri" w:hAnsi="Calibri"/>
                <w:b/>
                <w:bCs/>
                <w:color w:val="FFFFFF"/>
                <w:sz w:val="40"/>
                <w:szCs w:val="40"/>
              </w:rPr>
              <w:t xml:space="preserve">127</w:t>
            </w:r>
          </w:p>
          <w:p>
            <w:pPr>
              <w:jc w:val="center"/>
            </w:pPr>
            <w:r>
              <w:rPr>
                <w:rFonts w:ascii="Calibri" w:cs="Calibri" w:eastAsia="Calibri" w:hAnsi="Calibri"/>
                <w:b/>
                <w:bCs/>
                <w:color w:val="FFFFFF"/>
                <w:sz w:val="16"/>
                <w:szCs w:val="16"/>
              </w:rPr>
              <w:t xml:space="preserve">DESIGNATED</w:t>
            </w:r>
          </w:p>
        </w:tc>
        <w:tc>
          <w:tcPr>
            <w:tcW w:type="dxa" w:w="1950"/>
            <w:tcBorders>
              <w:top w:val="single" w:color="D0D5DE" w:sz="1"/>
              <w:left w:val="single" w:color="D0D5DE" w:sz="1"/>
              <w:bottom w:val="single" w:color="D0D5DE" w:sz="1"/>
              <w:right w:val="single" w:color="D0D5DE" w:sz="1"/>
            </w:tcBorders>
            <w:shd w:fill="7A5000" w:val="clear"/>
            <w:tcMar>
              <w:top w:type="dxa" w:w="120"/>
              <w:left w:type="dxa" w:w="120"/>
              <w:bottom w:type="dxa" w:w="120"/>
              <w:right w:type="dxa" w:w="120"/>
            </w:tcMar>
            <w:vAlign w:val="center"/>
          </w:tcPr>
          <w:p>
            <w:pPr>
              <w:jc w:val="center"/>
            </w:pPr>
            <w:r>
              <w:rPr>
                <w:rFonts w:ascii="Calibri" w:cs="Calibri" w:eastAsia="Calibri" w:hAnsi="Calibri"/>
                <w:b/>
                <w:bCs/>
                <w:color w:val="FFFFFF"/>
                <w:sz w:val="40"/>
                <w:szCs w:val="40"/>
              </w:rPr>
              <w:t xml:space="preserve">58</w:t>
            </w:r>
          </w:p>
          <w:p>
            <w:pPr>
              <w:jc w:val="center"/>
            </w:pPr>
            <w:r>
              <w:rPr>
                <w:rFonts w:ascii="Calibri" w:cs="Calibri" w:eastAsia="Calibri" w:hAnsi="Calibri"/>
                <w:b/>
                <w:bCs/>
                <w:color w:val="FFFFFF"/>
                <w:sz w:val="16"/>
                <w:szCs w:val="16"/>
              </w:rPr>
              <w:t xml:space="preserve">TARGETABLE</w:t>
            </w:r>
          </w:p>
        </w:tc>
        <w:tc>
          <w:tcPr>
            <w:tcW w:type="dxa" w:w="1950"/>
            <w:tcBorders>
              <w:top w:val="single" w:color="D0D5DE" w:sz="1"/>
              <w:left w:val="single" w:color="D0D5DE" w:sz="1"/>
              <w:bottom w:val="single" w:color="D0D5DE" w:sz="1"/>
              <w:right w:val="single" w:color="D0D5DE" w:sz="1"/>
            </w:tcBorders>
            <w:shd w:fill="6A0D8E" w:val="clear"/>
            <w:tcMar>
              <w:top w:type="dxa" w:w="120"/>
              <w:left w:type="dxa" w:w="120"/>
              <w:bottom w:type="dxa" w:w="120"/>
              <w:right w:type="dxa" w:w="120"/>
            </w:tcMar>
            <w:vAlign w:val="center"/>
          </w:tcPr>
          <w:p>
            <w:pPr>
              <w:jc w:val="center"/>
            </w:pPr>
            <w:r>
              <w:rPr>
                <w:rFonts w:ascii="Calibri" w:cs="Calibri" w:eastAsia="Calibri" w:hAnsi="Calibri"/>
                <w:b/>
                <w:bCs/>
                <w:color w:val="FFFFFF"/>
                <w:sz w:val="40"/>
                <w:szCs w:val="40"/>
              </w:rPr>
              <w:t xml:space="preserve">44</w:t>
            </w:r>
          </w:p>
          <w:p>
            <w:pPr>
              <w:jc w:val="center"/>
            </w:pPr>
            <w:r>
              <w:rPr>
                <w:rFonts w:ascii="Calibri" w:cs="Calibri" w:eastAsia="Calibri" w:hAnsi="Calibri"/>
                <w:b/>
                <w:bCs/>
                <w:color w:val="FFFFFF"/>
                <w:sz w:val="16"/>
                <w:szCs w:val="16"/>
              </w:rPr>
              <w:t xml:space="preserve">PARTIAL</w:t>
            </w:r>
          </w:p>
        </w:tc>
        <w:tc>
          <w:tcPr>
            <w:tcW w:type="dxa" w:w="1950"/>
            <w:tcBorders>
              <w:top w:val="single" w:color="D0D5DE" w:sz="1"/>
              <w:left w:val="single" w:color="D0D5DE" w:sz="1"/>
              <w:bottom w:val="single" w:color="D0D5DE" w:sz="1"/>
              <w:right w:val="single" w:color="D0D5DE" w:sz="1"/>
            </w:tcBorders>
            <w:shd w:fill="1A4A1A" w:val="clear"/>
            <w:tcMar>
              <w:top w:type="dxa" w:w="120"/>
              <w:left w:type="dxa" w:w="120"/>
              <w:bottom w:type="dxa" w:w="120"/>
              <w:right w:type="dxa" w:w="120"/>
            </w:tcMar>
            <w:vAlign w:val="center"/>
          </w:tcPr>
          <w:p>
            <w:pPr>
              <w:jc w:val="center"/>
            </w:pPr>
            <w:r>
              <w:rPr>
                <w:rFonts w:ascii="Calibri" w:cs="Calibri" w:eastAsia="Calibri" w:hAnsi="Calibri"/>
                <w:b/>
                <w:bCs/>
                <w:color w:val="FFFFFF"/>
                <w:sz w:val="40"/>
                <w:szCs w:val="40"/>
              </w:rPr>
              <w:t xml:space="preserve">48</w:t>
            </w:r>
          </w:p>
          <w:p>
            <w:pPr>
              <w:jc w:val="center"/>
            </w:pPr>
            <w:r>
              <w:rPr>
                <w:rFonts w:ascii="Calibri" w:cs="Calibri" w:eastAsia="Calibri" w:hAnsi="Calibri"/>
                <w:b/>
                <w:bCs/>
                <w:color w:val="FFFFFF"/>
                <w:sz w:val="16"/>
                <w:szCs w:val="16"/>
              </w:rPr>
              <w:t xml:space="preserve">MONITOR</w:t>
            </w:r>
          </w:p>
        </w:tc>
        <w:tc>
          <w:tcPr>
            <w:tcW w:type="dxa" w:w="1950"/>
            <w:tcBorders>
              <w:top w:val="single" w:color="D0D5DE" w:sz="1"/>
              <w:left w:val="single" w:color="D0D5DE" w:sz="1"/>
              <w:bottom w:val="single" w:color="D0D5DE" w:sz="1"/>
              <w:right w:val="single" w:color="D0D5DE" w:sz="1"/>
            </w:tcBorders>
            <w:shd w:fill="1A2A5A" w:val="clear"/>
            <w:tcMar>
              <w:top w:type="dxa" w:w="120"/>
              <w:left w:type="dxa" w:w="120"/>
              <w:bottom w:type="dxa" w:w="120"/>
              <w:right w:type="dxa" w:w="120"/>
            </w:tcMar>
            <w:vAlign w:val="center"/>
          </w:tcPr>
          <w:p>
            <w:pPr>
              <w:jc w:val="center"/>
            </w:pPr>
            <w:r>
              <w:rPr>
                <w:rFonts w:ascii="Calibri" w:cs="Calibri" w:eastAsia="Calibri" w:hAnsi="Calibri"/>
                <w:b/>
                <w:bCs/>
                <w:color w:val="FFFFFF"/>
                <w:sz w:val="40"/>
                <w:szCs w:val="40"/>
              </w:rPr>
              <w:t xml:space="preserve">15</w:t>
            </w:r>
          </w:p>
          <w:p>
            <w:pPr>
              <w:jc w:val="center"/>
            </w:pPr>
            <w:r>
              <w:rPr>
                <w:rFonts w:ascii="Calibri" w:cs="Calibri" w:eastAsia="Calibri" w:hAnsi="Calibri"/>
                <w:b/>
                <w:bCs/>
                <w:color w:val="FFFFFF"/>
                <w:sz w:val="16"/>
                <w:szCs w:val="16"/>
              </w:rPr>
              <w:t xml:space="preserve">OFF-LIMITS</w:t>
            </w:r>
          </w:p>
        </w:tc>
        <w:tc>
          <w:tcPr>
            <w:tcW w:type="dxa" w:w="1950"/>
            <w:tcBorders>
              <w:top w:val="single" w:color="D0D5DE" w:sz="1"/>
              <w:left w:val="single" w:color="D0D5DE" w:sz="1"/>
              <w:bottom w:val="single" w:color="D0D5DE" w:sz="1"/>
              <w:right w:val="single" w:color="D0D5DE" w:sz="1"/>
            </w:tcBorders>
            <w:shd w:fill="444444" w:val="clear"/>
            <w:tcMar>
              <w:top w:type="dxa" w:w="120"/>
              <w:left w:type="dxa" w:w="120"/>
              <w:bottom w:type="dxa" w:w="120"/>
              <w:right w:type="dxa" w:w="120"/>
            </w:tcMar>
            <w:vAlign w:val="center"/>
          </w:tcPr>
          <w:p>
            <w:pPr>
              <w:jc w:val="center"/>
            </w:pPr>
            <w:r>
              <w:rPr>
                <w:rFonts w:ascii="Calibri" w:cs="Calibri" w:eastAsia="Calibri" w:hAnsi="Calibri"/>
                <w:b/>
                <w:bCs/>
                <w:color w:val="FFFFFF"/>
                <w:sz w:val="17"/>
                <w:szCs w:val="17"/>
              </w:rPr>
              <w:t xml:space="preserve">8</w:t>
            </w:r>
          </w:p>
          <w:p>
            <w:pPr>
              <w:jc w:val="center"/>
            </w:pPr>
            <w:r>
              <w:rPr>
                <w:rFonts w:ascii="Calibri" w:cs="Calibri" w:eastAsia="Calibri" w:hAnsi="Calibri"/>
                <w:b/>
                <w:bCs/>
                <w:color w:val="FFFFFF"/>
                <w:sz w:val="16"/>
                <w:szCs w:val="16"/>
              </w:rPr>
              <w:t xml:space="preserve">SEIZED</w:t>
            </w:r>
          </w:p>
        </w:tc>
      </w:tr>
    </w:tbl>
    <w:p>
      <w:pPr>
        <w:spacing w:before="40" w:after="40"/>
      </w:pPr>
      <w:r>
        <w:rPr>
          <w:sz w:val="18"/>
          <w:szCs w:val="18"/>
        </w:rPr>
        <w:t xml:space="preserve"/>
      </w:r>
    </w:p>
    <w:p>
      <w:pPr>
        <w:spacing w:before="60" w:after="60"/>
      </w:pPr>
      <w:r>
        <w:rPr>
          <w:rFonts w:ascii="Calibri" w:cs="Calibri" w:hAnsi="Calibri"/>
          <w:color w:val="000000"/>
          <w:sz w:val="18"/>
          <w:szCs w:val="18"/>
        </w:rPr>
        <w:t xml:space="preserve">Status Classification Framework: This document employs a seven-category enforcement status system applied consistently across all sections. For infrastructure and Russia-China network sections (I–XXI), status reflects policy feasibility and legal sanctionability constraints, including geopolitical limits on action against sovereign entities (OFF-LIMITS). For threat actor and enforcement sections (XXII–XXX), status reflects operational enforcement posture, including secondary sanctions nexus exposure (NEXUS) and asset seizure/personnel capture status (SEIZED). All status designations reflect open-source information as of March 2026 and should be verified against current OFAC SDN, EU consolidated, and allied sanctions lists before operational use.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4200"/>
      </w:tblGrid>
      <w:tr>
        <w:tc>
          <w:tcPr>
            <w:tcW w:type="dxa" w:w="2400"/>
            <w:shd w:val="clear" w:color="auto" w:fill="1C2B4A"/>
          </w:tcPr>
          <w:p>
            <w:pPr>
              <w:jc w:val="center"/>
            </w:pPr>
            <w:r>
              <w:rPr>
                <w:rFonts w:ascii="Calibri" w:cs="Calibri" w:hAnsi="Calibri"/>
                <w:b/>
                <w:bCs/>
                <w:color w:val="FFFFFF"/>
                <w:sz w:val="16"/>
                <w:szCs w:val="16"/>
              </w:rPr>
              <w:t xml:space="preserve">STATUS</w:t>
            </w:r>
          </w:p>
        </w:tc>
        <w:tc>
          <w:tcPr>
            <w:tcW w:type="dxa" w:w="4200"/>
            <w:shd w:val="clear" w:color="auto" w:fill="1C2B4A"/>
          </w:tcPr>
          <w:p>
            <w:pPr>
              <w:jc w:val="center"/>
            </w:pPr>
            <w:r>
              <w:rPr>
                <w:rFonts w:ascii="Calibri" w:cs="Calibri" w:hAnsi="Calibri"/>
                <w:b/>
                <w:bCs/>
                <w:color w:val="FFFFFF"/>
                <w:sz w:val="16"/>
                <w:szCs w:val="16"/>
              </w:rPr>
              <w:t xml:space="preserve">INFRASTRUCTURE / RUSSIA-CHINA SECTIONS (I–XXI)</w:t>
            </w:r>
          </w:p>
        </w:tc>
        <w:tc>
          <w:tcPr>
            <w:tcW w:type="dxa" w:w="4200"/>
            <w:shd w:val="clear" w:color="auto" w:fill="1C2B4A"/>
          </w:tcPr>
          <w:p>
            <w:pPr>
              <w:jc w:val="center"/>
            </w:pPr>
            <w:r>
              <w:rPr>
                <w:rFonts w:ascii="Calibri" w:cs="Calibri" w:hAnsi="Calibri"/>
                <w:b/>
                <w:bCs/>
                <w:color w:val="FFFFFF"/>
                <w:sz w:val="16"/>
                <w:szCs w:val="16"/>
              </w:rPr>
              <w:t xml:space="preserve">THREAT ACTOR / ENFORCEMENT SECTIONS (XXII–XXX)</w:t>
            </w:r>
          </w:p>
        </w:tc>
      </w:tr>
      <w:tr>
        <w:tc>
          <w:tcPr>
            <w:tcW w:type="dxa" w:w="2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4200"/>
            <w:shd w:val="clear" w:color="auto" w:fill="EEF2F8"/>
          </w:tcPr>
          <w:p>
            <w:pPr>
              <w:spacing w:before="40" w:after="40"/>
            </w:pPr>
            <w:r>
              <w:rPr>
                <w:rFonts w:ascii="Calibri" w:cs="Calibri" w:hAnsi="Calibri"/>
                <w:color w:val="000000"/>
                <w:sz w:val="16"/>
                <w:szCs w:val="16"/>
              </w:rPr>
              <w:t xml:space="preserve">Entity currently sanctioned (SDN / FTO / SDGT or equivalent)</w:t>
            </w:r>
          </w:p>
        </w:tc>
        <w:tc>
          <w:tcPr>
            <w:tcW w:type="dxa" w:w="4200"/>
            <w:shd w:val="clear" w:color="auto" w:fill="EEF2F8"/>
          </w:tcPr>
          <w:p>
            <w:pPr>
              <w:spacing w:before="40" w:after="40"/>
            </w:pPr>
            <w:r>
              <w:rPr>
                <w:rFonts w:ascii="Calibri" w:cs="Calibri" w:hAnsi="Calibri"/>
                <w:color w:val="000000"/>
                <w:sz w:val="16"/>
                <w:szCs w:val="16"/>
              </w:rPr>
              <w:t xml:space="preserve">Entity currently sanctioned (SDN / FTO / SDGT or equivalent)</w:t>
            </w:r>
          </w:p>
        </w:tc>
      </w:tr>
      <w:tr>
        <w:tc>
          <w:tcPr>
            <w:tcW w:type="dxa" w:w="24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200"/>
            <w:shd w:val="clear" w:color="auto" w:fill="FFFFFF"/>
          </w:tcPr>
          <w:p>
            <w:pPr>
              <w:spacing w:before="40" w:after="40"/>
            </w:pPr>
            <w:r>
              <w:rPr>
                <w:rFonts w:ascii="Calibri" w:cs="Calibri" w:hAnsi="Calibri"/>
                <w:color w:val="000000"/>
                <w:sz w:val="16"/>
                <w:szCs w:val="16"/>
              </w:rPr>
              <w:t xml:space="preserve">Actionable under existing sanctions authorities; not yet designated</w:t>
            </w:r>
          </w:p>
        </w:tc>
        <w:tc>
          <w:tcPr>
            <w:tcW w:type="dxa" w:w="4200"/>
            <w:shd w:val="clear" w:color="auto" w:fill="FFFFFF"/>
          </w:tcPr>
          <w:p>
            <w:pPr>
              <w:spacing w:before="40" w:after="40"/>
            </w:pPr>
            <w:r>
              <w:rPr>
                <w:rFonts w:ascii="Calibri" w:cs="Calibri" w:hAnsi="Calibri"/>
                <w:color w:val="000000"/>
                <w:sz w:val="16"/>
                <w:szCs w:val="16"/>
              </w:rPr>
              <w:t xml:space="preserve">Actionable under existing sanctions authorities; not yet designated</w:t>
            </w:r>
          </w:p>
        </w:tc>
      </w:tr>
      <w:tr>
        <w:tc>
          <w:tcPr>
            <w:tcW w:type="dxa" w:w="24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4200"/>
            <w:shd w:val="clear" w:color="auto" w:fill="EEF2F8"/>
          </w:tcPr>
          <w:p>
            <w:pPr>
              <w:spacing w:before="40" w:after="40"/>
            </w:pPr>
            <w:r>
              <w:rPr>
                <w:rFonts w:ascii="Calibri" w:cs="Calibri" w:hAnsi="Calibri"/>
                <w:color w:val="000000"/>
                <w:sz w:val="16"/>
                <w:szCs w:val="16"/>
              </w:rPr>
              <w:t xml:space="preserve">Subject to limited sanctions or sectoral restrictions; designation gaps remain</w:t>
            </w:r>
          </w:p>
        </w:tc>
        <w:tc>
          <w:tcPr>
            <w:tcW w:type="dxa" w:w="4200"/>
            <w:shd w:val="clear" w:color="auto" w:fill="EEF2F8"/>
          </w:tcPr>
          <w:p>
            <w:pPr>
              <w:spacing w:before="40" w:after="40"/>
            </w:pPr>
            <w:r>
              <w:rPr>
                <w:rFonts w:ascii="Calibri" w:cs="Calibri" w:hAnsi="Calibri"/>
                <w:color w:val="000000"/>
                <w:sz w:val="16"/>
                <w:szCs w:val="16"/>
              </w:rPr>
              <w:t xml:space="preserve">Subject to limited sanctions or sectoral restrictions; designation gaps remain</w:t>
            </w:r>
          </w:p>
        </w:tc>
      </w:tr>
      <w:tr>
        <w:tc>
          <w:tcPr>
            <w:tcW w:type="dxa" w:w="24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200"/>
            <w:shd w:val="clear" w:color="auto" w:fill="FFFFFF"/>
          </w:tcPr>
          <w:p>
            <w:pPr>
              <w:spacing w:before="40" w:after="40"/>
            </w:pPr>
            <w:r>
              <w:rPr>
                <w:rFonts w:ascii="Calibri" w:cs="Calibri" w:hAnsi="Calibri"/>
                <w:color w:val="000000"/>
                <w:sz w:val="16"/>
                <w:szCs w:val="16"/>
              </w:rPr>
              <w:t xml:space="preserve">Intelligence collection priority; no current enforcement action</w:t>
            </w:r>
          </w:p>
        </w:tc>
        <w:tc>
          <w:tcPr>
            <w:tcW w:type="dxa" w:w="4200"/>
            <w:shd w:val="clear" w:color="auto" w:fill="FFFFFF"/>
          </w:tcPr>
          <w:p>
            <w:pPr>
              <w:spacing w:before="40" w:after="40"/>
            </w:pPr>
            <w:r>
              <w:rPr>
                <w:rFonts w:ascii="Calibri" w:cs="Calibri" w:hAnsi="Calibri"/>
                <w:color w:val="000000"/>
                <w:sz w:val="16"/>
                <w:szCs w:val="16"/>
              </w:rPr>
              <w:t xml:space="preserve">Intelligence collection priority; no current enforcement action</w:t>
            </w:r>
          </w:p>
        </w:tc>
      </w:tr>
      <w:tr>
        <w:tc>
          <w:tcPr>
            <w:tcW w:type="dxa" w:w="24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OFF-LIMITS</w:t>
            </w:r>
          </w:p>
        </w:tc>
        <w:tc>
          <w:tcPr>
            <w:tcW w:type="dxa" w:w="4200"/>
            <w:shd w:val="clear" w:color="auto" w:fill="EEF2F8"/>
          </w:tcPr>
          <w:p>
            <w:pPr>
              <w:spacing w:before="40" w:after="40"/>
            </w:pPr>
            <w:r>
              <w:rPr>
                <w:rFonts w:ascii="Calibri" w:cs="Calibri" w:hAnsi="Calibri"/>
                <w:color w:val="000000"/>
                <w:sz w:val="16"/>
                <w:szCs w:val="16"/>
              </w:rPr>
              <w:t xml:space="preserve">Strategic or sovereign entity; direct action constrained by geopolitical risk</w:t>
            </w:r>
          </w:p>
        </w:tc>
        <w:tc>
          <w:tcPr>
            <w:tcW w:type="dxa" w:w="4200"/>
            <w:shd w:val="clear" w:color="auto" w:fill="EEF2F8"/>
          </w:tcPr>
          <w:p>
            <w:pPr>
              <w:spacing w:before="40" w:after="40"/>
            </w:pPr>
            <w:r>
              <w:rPr>
                <w:rFonts w:ascii="Calibri" w:cs="Calibri" w:hAnsi="Calibri"/>
                <w:color w:val="000000"/>
                <w:sz w:val="16"/>
                <w:szCs w:val="16"/>
              </w:rPr>
              <w:t xml:space="preserve">N/A — category does not apply to threat actor sections</w:t>
            </w:r>
          </w:p>
        </w:tc>
      </w:tr>
      <w:tr>
        <w:tc>
          <w:tcPr>
            <w:tcW w:type="dxa" w:w="2400"/>
            <w:tcBorders>
              <w:top w:val="single" w:color="D0D5DE" w:sz="1"/>
              <w:left w:val="single" w:color="D0D5DE" w:sz="1"/>
              <w:bottom w:val="single" w:color="D0D5DE" w:sz="1"/>
              <w:right w:val="single" w:color="D0D5DE" w:sz="1"/>
            </w:tcBorders>
            <w:shd w:fill="1A5276"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NEXUS</w:t>
            </w:r>
          </w:p>
        </w:tc>
        <w:tc>
          <w:tcPr>
            <w:tcW w:type="dxa" w:w="4200"/>
            <w:shd w:val="clear" w:color="auto" w:fill="FFFFFF"/>
          </w:tcPr>
          <w:p>
            <w:pPr>
              <w:spacing w:before="40" w:after="40"/>
            </w:pPr>
            <w:r>
              <w:rPr>
                <w:rFonts w:ascii="Calibri" w:cs="Calibri" w:hAnsi="Calibri"/>
                <w:color w:val="000000"/>
                <w:sz w:val="16"/>
                <w:szCs w:val="16"/>
              </w:rPr>
              <w:t xml:space="preserve">N/A — category does not apply to infrastructure sections</w:t>
            </w:r>
          </w:p>
        </w:tc>
        <w:tc>
          <w:tcPr>
            <w:tcW w:type="dxa" w:w="4200"/>
            <w:shd w:val="clear" w:color="auto" w:fill="FFFFFF"/>
          </w:tcPr>
          <w:p>
            <w:pPr>
              <w:spacing w:before="40" w:after="40"/>
            </w:pPr>
            <w:r>
              <w:rPr>
                <w:rFonts w:ascii="Calibri" w:cs="Calibri" w:hAnsi="Calibri"/>
                <w:color w:val="000000"/>
                <w:sz w:val="16"/>
                <w:szCs w:val="16"/>
              </w:rPr>
              <w:t xml:space="preserve">Entity materially linked to sanctioned actors; secondary sanctions exposure</w:t>
            </w:r>
          </w:p>
        </w:tc>
      </w:tr>
      <w:tr>
        <w:tc>
          <w:tcPr>
            <w:tcW w:type="dxa" w:w="2400"/>
            <w:tcBorders>
              <w:top w:val="single" w:color="D0D5DE" w:sz="1"/>
              <w:left w:val="single" w:color="D0D5DE" w:sz="1"/>
              <w:bottom w:val="single" w:color="D0D5DE" w:sz="1"/>
              <w:right w:val="single" w:color="D0D5DE" w:sz="1"/>
            </w:tcBorders>
            <w:shd w:fill="444444"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SEIZED</w:t>
            </w:r>
          </w:p>
        </w:tc>
        <w:tc>
          <w:tcPr>
            <w:tcW w:type="dxa" w:w="4200"/>
            <w:shd w:val="clear" w:color="auto" w:fill="EEF2F8"/>
          </w:tcPr>
          <w:p>
            <w:pPr>
              <w:spacing w:before="40" w:after="40"/>
            </w:pPr>
            <w:r>
              <w:rPr>
                <w:rFonts w:ascii="Calibri" w:cs="Calibri" w:hAnsi="Calibri"/>
                <w:color w:val="000000"/>
                <w:sz w:val="16"/>
                <w:szCs w:val="16"/>
              </w:rPr>
              <w:t xml:space="preserve">Assets physically seized or frozen by authorities</w:t>
            </w:r>
          </w:p>
        </w:tc>
        <w:tc>
          <w:tcPr>
            <w:tcW w:type="dxa" w:w="4200"/>
            <w:shd w:val="clear" w:color="auto" w:fill="EEF2F8"/>
          </w:tcPr>
          <w:p>
            <w:pPr>
              <w:spacing w:before="40" w:after="40"/>
            </w:pPr>
            <w:r>
              <w:rPr>
                <w:rFonts w:ascii="Calibri" w:cs="Calibri" w:hAnsi="Calibri"/>
                <w:color w:val="000000"/>
                <w:sz w:val="16"/>
                <w:szCs w:val="16"/>
              </w:rPr>
              <w:t xml:space="preserve">Assets physically seized or frozen; persons captured or detained</w:t>
            </w:r>
          </w:p>
        </w:tc>
      </w:tr>
    </w:tbl>
    <w:p>
      <w:pPr>
        <w:spacing w:before="40" w:after="40"/>
      </w:pPr>
      <w:r>
        <w:rPr>
          <w:sz w:val="18"/>
          <w:szCs w:val="18"/>
        </w:rPr>
        <w:t xml:space="preserve"/>
      </w:r>
    </w:p>
    <w:p>
      <w:pPr>
        <w:pBdr>
          <w:bottom w:val="single" w:color="2E5090" w:sz="6" w:space="1"/>
        </w:pBdr>
        <w:spacing w:before="80" w:after="80"/>
      </w:pPr>
    </w:p>
    <w:p>
      <w:r>
        <w:br w:type="page"/>
      </w:r>
    </w:p>
    <w:p>
      <w:pPr>
        <w:spacing w:before="240" w:after="120"/>
      </w:pPr>
      <w:r>
        <w:rPr>
          <w:rFonts w:ascii="Calibri" w:cs="Calibri" w:hAnsi="Calibri"/>
          <w:b/>
          <w:bCs/>
          <w:color w:val="1C2B4A"/>
          <w:sz w:val="30"/>
          <w:szCs w:val="30"/>
        </w:rPr>
        <w:t xml:space="preserve">Table of Contents — WP-2026-SENI-01</w:t>
      </w:r>
    </w:p>
    <w:p>
      <w:pPr>
        <w:spacing w:before="40" w:after="40"/>
      </w:pPr>
      <w:r>
        <w:rPr>
          <w:rFonts w:ascii="Calibri" w:cs="Calibri" w:hAnsi="Calibri"/>
          <w:b/>
          <w:bCs/>
          <w:color w:val="1C2B4A"/>
          <w:sz w:val="18"/>
          <w:szCs w:val="18"/>
        </w:rPr>
        <w:t xml:space="preserve">37 sections | 306 nodes and key persons | 46 tables | March 2026</w:t>
      </w:r>
    </w:p>
    <w:tbl>
      <w:tblPr>
        <w:tblStyle w:val="TableGrid"/>
        <w:tblW w:type="dxa" w:w="14200"/>
        <w:tblLook w:val="04A0"/>
      </w:tblPr>
      <w:tblGrid>
        <w:gridCol w:w="7200"/>
        <w:gridCol w:w="4000"/>
        <w:gridCol w:w="3000"/>
      </w:tblGrid>
      <w:tr>
        <w:tc>
          <w:tcPr>
            <w:tcW w:type="dxa" w:w="7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SECTION</w:t>
            </w:r>
          </w:p>
        </w:tc>
        <w:tc>
          <w:tcPr>
            <w:tcW w:type="dxa" w:w="4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REFERENCE</w:t>
            </w:r>
          </w:p>
        </w:tc>
        <w:tc>
          <w:tcPr>
            <w:tcW w:type="dxa" w:w="3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NOTES</w:t>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METHODOLOGY AND STATUS FRAMEWORK</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Status Classification Framework and Legend</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p. 1</w:t>
            </w:r>
          </w:p>
        </w:tc>
        <w:tc>
          <w:tcPr>
            <w:tcW w:type="dxa" w:w="3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RUSSIA-CHINA STRATEGIC INFRASTRUCTURE (I–XIV)</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 ESPO Pipeline Corridor — Oil Infrastructure</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p. 2</w:t>
            </w:r>
          </w:p>
        </w:tc>
        <w:tc>
          <w:tcPr>
            <w:tcW w:type="dxa" w:w="3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90 nodes</w:t>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II. Power of Siberia — Natural Gas Infrastructure</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III. LNG and Arctic Energy Infrastructure</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IV. Critical Minerals, Rail, and Industrial Chokepoints</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V. Electrical Grid and Nuclear Power Infrastructure</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VI. Polar Express Submarine Cable Corridor</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VII. Shadow Finance, CBDC, and Crypto Infrastructure</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VIII. Arctic Military and Dual-Use Infrastructure</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IX. Central Asian Transit and Transshipment Layer</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X. Shadow Fleet Vessel Registry</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XI. Key Persons — Russia-China Infrastructure</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XII. Chinese Equity Stakes and Ownership Layer</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XIII. Shadow Fleet Insurance and Flag State Network</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XIV. Dual-Use Technology and Cyber Supply Chain</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XV. Tier I Cross-Document Priority Target Summary</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Updated v21</w:t>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REFERENCE SECTIONS (XVI–XIX)</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XVI. Post-Publication Status Corrections (March 2026)</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XVII. Enforcement Calendar</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XVIII. General License Risk Matrix</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XIX. Legal Authority Reference Index</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EVASION ARCHITECTURE (XX–XXI)</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XX. Chinese Dollar Re-Entry and Evasion Architecture</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XXI. Indian and UAE Transshipment Layer</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THREAT ACTOR NETWORKS (XXII–XXX)</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XXII. Hezbollah — Financial Network and Diamond Circuit</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7 nodes</w:t>
            </w:r>
          </w:p>
        </w:tc>
      </w:tr>
      <w:tr>
        <w:tc>
          <w:tcPr>
            <w:tcW w:type="dxa" w:w="7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XXIII. Hamas / PIJ — Investment Portfolio and Crypto</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5 nodes</w:t>
            </w:r>
          </w:p>
        </w:tc>
      </w:tr>
      <w:tr>
        <w:tc>
          <w:tcPr>
            <w:tcW w:type="dxa" w:w="7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XXIV. DPRK — Lazarus Group and IT Worker Fraud</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6 nodes</w:t>
            </w:r>
          </w:p>
        </w:tc>
      </w:tr>
      <w:tr>
        <w:tc>
          <w:tcPr>
            <w:tcW w:type="dxa" w:w="7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XXV. Iran IRGC-QF — Procurement and Evasion Networks</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5 nodes</w:t>
            </w:r>
          </w:p>
        </w:tc>
      </w:tr>
      <w:tr>
        <w:tc>
          <w:tcPr>
            <w:tcW w:type="dxa" w:w="7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XXVI. Venezuela — Post-Maduro, PDVSA, Tren de Aragua</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6 nodes</w:t>
            </w:r>
          </w:p>
        </w:tc>
      </w:tr>
      <w:tr>
        <w:tc>
          <w:tcPr>
            <w:tcW w:type="dxa" w:w="7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XXVII. Cuba — GAESA Military Enterprise Network</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5 nodes</w:t>
            </w:r>
          </w:p>
        </w:tc>
      </w:tr>
      <w:tr>
        <w:tc>
          <w:tcPr>
            <w:tcW w:type="dxa" w:w="7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XXVIII. Sinaloa Cartel / CJNG — Fentanyl Supply Chain</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6 nodes</w:t>
            </w:r>
          </w:p>
        </w:tc>
      </w:tr>
      <w:tr>
        <w:tc>
          <w:tcPr>
            <w:tcW w:type="dxa" w:w="7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XXIX. Houthis / Ansarallah — Al-Jamal Oil Revenue Network</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6 nodes</w:t>
            </w:r>
          </w:p>
        </w:tc>
      </w:tr>
      <w:tr>
        <w:tc>
          <w:tcPr>
            <w:tcW w:type="dxa" w:w="7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XXX. Wagner / Africa Corps — Gold Operations</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6 nodes</w:t>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KEY PERSONS LAYERS (XXXI)</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XXXI. Key Persons — All Threat Actor Networks</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21 persons</w:t>
            </w:r>
          </w:p>
        </w:tc>
      </w:tr>
      <w:tr>
        <w:tc>
          <w:tcPr>
            <w:tcW w:type="dxa" w:w="72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EXPANDED ENFORCEMENT NETWORKS (XXXII–XXXVIII)</w:t>
            </w:r>
          </w:p>
        </w:tc>
        <w:tc>
          <w:tcPr>
            <w:tcW w:type="dxa" w:w="4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DCE4F0"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r>
      <w:tr>
        <w:tc>
          <w:tcPr>
            <w:tcW w:type="dxa" w:w="7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XXXII. Iraqi PMF / Hashd al-Shaabi</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7 nodes</w:t>
            </w:r>
          </w:p>
        </w:tc>
      </w:tr>
      <w:tr>
        <w:tc>
          <w:tcPr>
            <w:tcW w:type="dxa" w:w="7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XXXIII. MS-13 and Tren de Aragua — US Operations</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6 nodes</w:t>
            </w:r>
          </w:p>
        </w:tc>
      </w:tr>
      <w:tr>
        <w:tc>
          <w:tcPr>
            <w:tcW w:type="dxa" w:w="7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XXXIV. Clan del Golfo / FARC Dissidents / ELN</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7 nodes</w:t>
            </w:r>
          </w:p>
        </w:tc>
      </w:tr>
      <w:tr>
        <w:tc>
          <w:tcPr>
            <w:tcW w:type="dxa" w:w="7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XXXV. Russian GRU / FSB — Western Europe Covert Finance</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6 nodes</w:t>
            </w:r>
          </w:p>
        </w:tc>
      </w:tr>
      <w:tr>
        <w:tc>
          <w:tcPr>
            <w:tcW w:type="dxa" w:w="7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XXXVI. Myanmar SAC — Jade, Teak, Scam Compounds</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6 nodes</w:t>
            </w:r>
          </w:p>
        </w:tc>
      </w:tr>
      <w:tr>
        <w:tc>
          <w:tcPr>
            <w:tcW w:type="dxa" w:w="7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XXXVII. Kinahan Cartel — Dubai Hub and Hezbollah Nexus</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6 nodes</w:t>
            </w:r>
          </w:p>
        </w:tc>
      </w:tr>
      <w:tr>
        <w:tc>
          <w:tcPr>
            <w:tcW w:type="dxa" w:w="7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XXXVIII. UAE Facilitation Networks — Cross-Cutting Hub</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
            </w:r>
          </w:p>
        </w:tc>
        <w:tc>
          <w:tcPr>
            <w:tcW w:type="dxa" w:w="3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New</w:t>
            </w:r>
          </w:p>
        </w:tc>
      </w:tr>
    </w:tbl>
    <w:p>
      <w:pPr>
        <w:spacing w:before="40" w:after="40"/>
      </w:pPr>
      <w:r>
        <w:rPr>
          <w:rFonts w:ascii="Calibri" w:cs="Calibri" w:hAnsi="Calibri"/>
          <w:color w:val="000000"/>
          <w:sz w:val="18"/>
          <w:szCs w:val="18"/>
        </w:rPr>
        <w:t xml:space="preserve"/>
      </w:r>
    </w:p>
    <w:p>
      <w:pPr>
        <w:pStyle w:val="Heading1"/>
        <w:pBdr>
          <w:bottom w:val="single" w:color="2E5090" w:sz="8" w:space="4"/>
        </w:pBdr>
        <w:spacing w:before="360" w:after="120"/>
      </w:pPr>
      <w:r>
        <w:rPr>
          <w:rFonts w:ascii="Calibri" w:cs="Calibri" w:eastAsia="Calibri" w:hAnsi="Calibri"/>
          <w:b/>
          <w:bCs/>
          <w:color w:val="1C2B4A"/>
          <w:sz w:val="30"/>
          <w:szCs w:val="30"/>
        </w:rPr>
        <w:t xml:space="preserve">I. Oil Infrastructure (ESPO Pipeline &amp; Kazakhstan Transit)</w:t>
      </w:r>
    </w:p>
    <w:p>
      <w:pPr>
        <w:spacing w:before="40" w:after="40"/>
        <w:jc w:val="both"/>
      </w:pPr>
      <w:r>
        <w:rPr>
          <w:rFonts w:ascii="Calibri" w:cs="Calibri" w:eastAsia="Calibri" w:hAnsi="Calibri"/>
          <w:color w:val="111111"/>
          <w:sz w:val="19"/>
          <w:szCs w:val="19"/>
        </w:rPr>
        <w:t xml:space="preserve">Primary oil corridor from Taishet to Chinese refineries via ESPO and Kazakhstan Atasu-Alashankou route. Combined throughput estimated at approximately 60–80 million tons/year (Transneft and industry sources; figures are directional estimates).</w:t>
      </w:r>
    </w:p>
    <w:p>
      <w:pPr>
        <w:spacing w:before="40" w:after="40"/>
      </w:pPr>
      <w:r>
        <w:rPr>
          <w:sz w:val="18"/>
          <w:szCs w:val="18"/>
        </w:rPr>
        <w:t xml:space="preserve"/>
      </w:r>
    </w:p>
    <w:tbl>
      <w:tblPr>
        <w:tblStyle w:val="TableGrid"/>
        <w:tblW w:type="dxa" w:w="14200"/>
        <w:tblLook w:val="04A0"/>
      </w:tblPr>
      <w:tblGrid>
        <w:gridCol w:w="2400"/>
        <w:gridCol w:w="1600"/>
        <w:gridCol w:w="1800"/>
        <w:gridCol w:w="1400"/>
        <w:gridCol w:w="1200"/>
        <w:gridCol w:w="2400"/>
        <w:gridCol w:w="3400"/>
      </w:tblGrid>
      <w:tr>
        <w:tc>
          <w:tcPr>
            <w:tcW w:type="dxa" w:w="2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NODE / TARGET</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SECTION</w:t>
            </w:r>
          </w:p>
        </w:tc>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CATEGORY</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STATUS</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PRIORITY</w:t>
            </w:r>
          </w:p>
        </w:tc>
        <w:tc>
          <w:tcPr>
            <w:tcW w:type="dxa" w:w="2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LEGAL AUTHORITY</w:t>
            </w:r>
          </w:p>
        </w:tc>
        <w:tc>
          <w:tcPr>
            <w:tcW w:type="dxa" w:w="3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ENFORCEMENT RATIONALE</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Sabetta LNG Terminal / Arctic LNG 2</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III</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LNG Infrastructure</w:t>
            </w:r>
          </w:p>
        </w:tc>
        <w:tc>
          <w:tcPr>
            <w:tcW w:type="dxa" w:w="14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CRITICAL</w:t>
            </w:r>
          </w:p>
        </w:tc>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14024 §1(a)(i); EO 14114 §11</w:t>
            </w:r>
          </w:p>
        </w:tc>
        <w:tc>
          <w:tcPr>
            <w:tcW w:type="dxa" w:w="3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Mikhelson controls entire Arctic LNG export capacity. Simultaneous US/EU designation with GL wind-down authorization. Most consequential single enforcement action available against Russian LNG.</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Power of Siberia Pipeline System</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II</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Gas Infrastructure</w:t>
            </w:r>
          </w:p>
        </w:tc>
        <w:tc>
          <w:tcPr>
            <w:tcW w:type="dxa" w:w="14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CRITICAL</w:t>
            </w:r>
          </w:p>
        </w:tc>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14024; EO 13662 Directive 4</w:t>
            </w:r>
          </w:p>
        </w:tc>
        <w:tc>
          <w:tcPr>
            <w:tcW w:type="dxa" w:w="3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38 BCM/yr Russia-China gas corridor. Designating Gazprom subsidiary operators degrades PRC energy security leverage and raises Russian export dependency costs.</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BitRiver / Bitcluster — Crypto Mining</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VII</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Crypto Infrastructure</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CRITICAL</w:t>
            </w:r>
          </w:p>
        </w:tc>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14024 §1(a)(i)</w:t>
            </w:r>
          </w:p>
        </w:tc>
        <w:tc>
          <w:tcPr>
            <w:tcW w:type="dxa" w:w="3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Largest Russian crypto mining operator. Designated Apr 2022. Monitor for operational reconstitution under new entity names.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Novatek — Leonid Mikhelson (Key Person)</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XI</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Key Person</w:t>
            </w:r>
          </w:p>
        </w:tc>
        <w:tc>
          <w:tcPr>
            <w:tcW w:type="dxa" w:w="14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CRITICAL</w:t>
            </w:r>
          </w:p>
        </w:tc>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14024 §1(a)(i); EO 14114</w:t>
            </w:r>
          </w:p>
        </w:tc>
        <w:tc>
          <w:tcPr>
            <w:tcW w:type="dxa" w:w="3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Operational controller of all Arctic LNG. US/EU gap designation. UK/CA/AU/NZ designated. Coordinated simultaneous US/EU action required before action on infrastructure nodes.</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Garantex Exchange (Moscow)</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Crypto Exchange</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HIGH</w:t>
            </w:r>
          </w:p>
        </w:tc>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14024; GENIUS Act Pub. L. 119-27</w:t>
            </w:r>
          </w:p>
        </w:tc>
        <w:tc>
          <w:tcPr>
            <w:tcW w:type="dxa" w:w="3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$10B+/yr sanctioned crypto settlement. Designated. Monitor for operational successor entities using same wallet infrastructure.</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ABCeX / Aeza Group (Federation Tower)</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Crypto Exchange</w:t>
            </w:r>
          </w:p>
        </w:tc>
        <w:tc>
          <w:tcPr>
            <w:tcW w:type="dxa" w:w="14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HIGH</w:t>
            </w:r>
          </w:p>
        </w:tc>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14024; GENIUS Act §4(a)(5)(A)</w:t>
            </w:r>
          </w:p>
        </w:tc>
        <w:tc>
          <w:tcPr>
            <w:tcW w:type="dxa" w:w="3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$11B+ processed. Principals unidentified. OFAC investigation priority. TRM Labs blockchain analytics should be tasked to trace wallet addresses to KYC-linked registrations.</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Sa'id al-Jamal Network — Houthi Oil Revenue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XXIX</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Terrorist Financing</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CRITICAL</w:t>
            </w:r>
          </w:p>
        </w:tc>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IFCA §104(c); CISADA</w:t>
            </w:r>
          </w:p>
        </w:tc>
        <w:tc>
          <w:tcPr>
            <w:tcW w:type="dxa" w:w="3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$2B+/yr Houthi revenue. 5 crypto wallets designated. Al-Jamal network cashed out $200M+ through mainstream exchanges. Extend designations to all identified exchange accounts.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Hamas Istanbul Investment Portfolio</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XXIII</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Terrorist Financing</w:t>
            </w:r>
          </w:p>
        </w:tc>
        <w:tc>
          <w:tcPr>
            <w:tcW w:type="dxa" w:w="14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CRITICAL</w:t>
            </w:r>
          </w:p>
        </w:tc>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CAATSA §226 (Turkish FFIs)</w:t>
            </w:r>
          </w:p>
        </w:tc>
        <w:tc>
          <w:tcPr>
            <w:tcW w:type="dxa" w:w="3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~$500M Jabarin portfolio. Jabarin designated but portfolio companies only partially actioned. Coordinate with Turkish MASAK for comprehensive asset freeze.</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Lazarus Group / TraderTraitor — DPRK</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XXIV</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Cyber / Crypto</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CRITICAL</w:t>
            </w:r>
          </w:p>
        </w:tc>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13722; EO 13687; NKSPEA</w:t>
            </w:r>
          </w:p>
        </w:tc>
        <w:tc>
          <w:tcPr>
            <w:tcW w:type="dxa" w:w="3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$1.5B Bybit hack (Feb 2025). Ongoing crypto heist campaign. Highest-value single cyber threat actor in document. Coordinate with exchanges for proactive wallet blocking.</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MODAFL / HESA UAV Procurement Network</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XXV</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Proliferation</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CRITICAL</w:t>
            </w:r>
          </w:p>
        </w:tc>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13382; EO 13224; UNSCR snapback</w:t>
            </w:r>
          </w:p>
        </w:tc>
        <w:tc>
          <w:tcPr>
            <w:tcW w:type="dxa" w:w="3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Primary Iranian UAV/missile procurement network. 32 entities designated Nov 2025. Coordinates Shahed drone production for Russia and Houthi supply. Monitor for new procurement front companies.</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Clan del Golfo (AGC) Cocaine Export</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XXXIV</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Narcotics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HIGH</w:t>
            </w:r>
          </w:p>
        </w:tc>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Kingpin Act; 21 U.S.C. §959</w:t>
            </w:r>
          </w:p>
        </w:tc>
        <w:tc>
          <w:tcPr>
            <w:tcW w:type="dxa" w:w="3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~70% European cocaine supply. Otoniel convicted. Successor leadership identified. Coordinate with Colombian DIJIN for rolling designation package against successor nodes.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PRC Fentanyl Precursor Supply Chain</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XXVIII</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Narcotics / WMD</w:t>
            </w:r>
          </w:p>
        </w:tc>
        <w:tc>
          <w:tcPr>
            <w:tcW w:type="dxa" w:w="14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CRITICAL</w:t>
            </w:r>
          </w:p>
        </w:tc>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FEND Off Fentanyl Act; 18 U.S.C. §2339B</w:t>
            </w:r>
          </w:p>
        </w:tc>
        <w:tc>
          <w:tcPr>
            <w:tcW w:type="dxa" w:w="3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Post-FTO designation of Sinaloa/CJNG, PRC precursor supply constitutes §2339B material support (20-year max). Coordinate DOJ/Commerce/OFAC joint enforcement.</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GRU Unit 29155 Operational Finance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XXXV</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Intelligence Ops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HIGH</w:t>
            </w:r>
          </w:p>
        </w:tc>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13694; 90 FR 24723</w:t>
            </w:r>
          </w:p>
        </w:tc>
        <w:tc>
          <w:tcPr>
            <w:tcW w:type="dxa" w:w="3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Salisbury, Skripal, multiple European operations. Monitor for new finance structures through Serbia, Turkey, UAE relay jurisdictions.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GAESA Military Holding Company (Cuba)</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XXVII</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Sanctions Evasion</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HIGH</w:t>
            </w:r>
          </w:p>
        </w:tc>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CACR; Helms-Burton Title III/IV</w:t>
            </w:r>
          </w:p>
        </w:tc>
        <w:tc>
          <w:tcPr>
            <w:tcW w:type="dxa" w:w="3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Controls 60-80% of Cuban foreign-currency economy. Rodriguez Lopez-Calleja designated. Helms-Burton Title III civil litigation mechanism available for US claimants.</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UAE Cross-Cutting Facilitation Hub</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XXXVIII</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Multi-Network Hub</w:t>
            </w:r>
          </w:p>
        </w:tc>
        <w:tc>
          <w:tcPr>
            <w:tcW w:type="dxa" w:w="14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CRITICAL</w:t>
            </w:r>
          </w:p>
        </w:tc>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14024; EO 13224; Kingpin Act; CAATSA §226</w:t>
            </w:r>
          </w:p>
        </w:tc>
        <w:tc>
          <w:tcPr>
            <w:tcW w:type="dxa" w:w="3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UAE serves as primary financial hub for Russia shadow finance, IRGC-QF, Hamas, Houthis, Wagner/Africa Corps, Kinahan OCG, Myanmar SAC, and GRU/FSB. See Section XXXVIII. Coordinated UAE-focused enforcement package represents highest-leverage single geographic action available.</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II. Natural Gas Infrastructure (Power of Siberia &amp; Future Routes)</w:t>
      </w:r>
    </w:p>
    <w:p>
      <w:pPr>
        <w:spacing w:before="40" w:after="40"/>
        <w:jc w:val="both"/>
      </w:pPr>
      <w:r>
        <w:rPr>
          <w:rFonts w:ascii="Calibri" w:cs="Calibri" w:eastAsia="Calibri" w:hAnsi="Calibri"/>
          <w:color w:val="111111"/>
          <w:sz w:val="19"/>
          <w:szCs w:val="19"/>
        </w:rPr>
        <w:t xml:space="preserve">PoS1 at full capacity (~38 BCM/yr) late 2025. PoS-2 via Mongolia planned, not operational. Dalnerechensk Far East route targeted Jan 2027.</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OPERATOR / STRUCTURE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ENFORCEMENT THEORY AND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Chayanda Gas Field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63.00°N, 112.50°E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Sakha Republic,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Gazprom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Field — PoS1 Feeder</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Primary PoS1 feeder. Designate Gazprom extraction subsidiaries to constrain future throughput.</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Kovykta Gas Field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54.30°N, 107.50°E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Irkutsk Oblast,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Gazprom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Field — PoS1 Feeder</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Secondary PoS1 feeder. Coordinate with Chayanda for maximum supply disruption.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Heihe Border Crossing (PoS1)</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50.24°N, 127.49°E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Heihe, Heilongjiang,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CNPC / Gazprom JV</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Pipeline Border / Grid Node</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Chinese-Russian JV on Chinese territory. PoS1 entry and HVDC digital node. Monitor only.</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PoS-2 Planned Entry (Mongolia)</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50.00°N, 106.00°E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Mongolia / Russia border corridor</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Gazprom (planned)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Pipeline — Future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Not operational. Diplomatic pressure on Mongolia to delay transit rights would disrupt PoS-2 viability.</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Dalnerechensk Far East Route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45.88°N, 133.68°E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Primorsky Krai / China border</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Gazprom / CNPC (planned)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Pipeline — Future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Operational target Jan 2027. Pre-emptive designation of Gazprom construction entities could delay commissioning.</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Zhengzhou Gas Hub</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34.75°N, 113.62°E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Henan,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CNPC / PipeChina (Chinese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Distribution Hub</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PoS1 inland distribution. Monitor only.</w:t>
            </w:r>
          </w:p>
        </w:tc>
      </w:tr>
    </w:tbl>
    <w:p>
      <w:pPr>
        <w:spacing w:before="40" w:after="40"/>
      </w:pPr>
      <w:r>
        <w:rPr>
          <w:sz w:val="18"/>
          <w:szCs w:val="18"/>
        </w:rPr>
        <w:t xml:space="preserve"/>
      </w:r>
    </w:p>
    <w:p>
      <w:pPr>
        <w:pBdr>
          <w:bottom w:val="single" w:color="2E5090" w:sz="6" w:space="1"/>
        </w:pBdr>
        <w:spacing w:before="80" w:after="80"/>
      </w:pPr>
    </w:p>
    <w:p>
      <w:pPr>
        <w:pStyle w:val="Heading1"/>
        <w:pBdr>
          <w:bottom w:val="single" w:color="2E5090" w:sz="8" w:space="4"/>
        </w:pBdr>
        <w:spacing w:before="360" w:after="120"/>
      </w:pPr>
      <w:r>
        <w:rPr>
          <w:rFonts w:ascii="Calibri" w:cs="Calibri" w:eastAsia="Calibri" w:hAnsi="Calibri"/>
          <w:b/>
          <w:bCs/>
          <w:color w:val="1C2B4A"/>
          <w:sz w:val="30"/>
          <w:szCs w:val="30"/>
        </w:rPr>
        <w:t xml:space="preserve">III. LNG and Arctic Energy Infrastructure</w:t>
      </w:r>
    </w:p>
    <w:p>
      <w:pPr>
        <w:spacing w:before="40" w:after="40"/>
        <w:jc w:val="both"/>
      </w:pPr>
      <w:r>
        <w:rPr>
          <w:rFonts w:ascii="Calibri" w:cs="Calibri" w:eastAsia="Calibri" w:hAnsi="Calibri"/>
          <w:color w:val="111111"/>
          <w:sz w:val="19"/>
          <w:szCs w:val="19"/>
        </w:rPr>
        <w:t xml:space="preserve">Arctic LNG production chain including sanctioned facilities operating via shadow fleet. Sabetta-Kamchatka FSU-Beihai corridor is the primary active evasion route as of Q1 2026.</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OPERATOR / STRUCTURE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ENFORCEMENT THEORY AND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Sabetta LNG Terminal</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71.27°N, 72.07°E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Yamal-Nenets AO,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Novatek (majority); CNPC / CNOOC (Chinese equity ~20%)</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LNG Export Terminal — Arctic</w:t>
            </w:r>
          </w:p>
        </w:tc>
        <w:tc>
          <w:tcPr>
            <w:tcW w:type="dxa" w:w="9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PRIORITY. Partially sanctioned EU/UK. CNPC/CNOOC equity stakes create leverage point. Designate all Novatek operating subsidiaries and individual shadow fleet tankers loading here under EO 14024.</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Arctic LNG 2 Plant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71.15°N, 77.92°E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Gydan Peninsula,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Novatek (majority); Chinese/Japanese/French equity withdrawn</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LNG Plant — Sanctioned</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Under US/EU/UK sanctions. Still shipping via shadow fleet to Beihai. Enforce tanker-level secondary sanctions — designate each vessel individually by IMO number.</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Saam FSU (Murmansk)</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69.30°N, 33.50°E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Barents Sea, near Murmansk</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Novatek (operated)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Floating Storage — STS Transfer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Designated. Ship-to-ship transfer point. Monitor for replacement FSU deployment.</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Kamchatka FSU</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53.00°N, 160.00°E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Pacific, off Kamchatka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Novatek (operated)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Floating Storage — Pacific STS</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Far East LNG transshipment to standard tankers. Designate vessel; track replacement.</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Beihai LNG Terminal</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21.48°N, 109.12°E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Guangxi,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CNOOC (Chinese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LNG Import Terminal — China</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Primary receiving terminal for sanctioned Arctic LNG 2. Off-limits for direct action. Indirect pressure via shipping insurance and flagging state designations on delivering vessels.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Murmansk Port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68.96°N, 33.07°E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Murmansk Oblast,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FGUP Rosmorport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Arctic Port — NSR Western Gate</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NSR western terminus. Designate port service companies and Atomflot icebreakers supporting Arctic energy exports.</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IV. Critical Minerals, Mining, and Rail Chokepoints</w:t>
      </w:r>
    </w:p>
    <w:p>
      <w:pPr>
        <w:spacing w:before="40" w:after="40"/>
        <w:jc w:val="both"/>
      </w:pPr>
      <w:r>
        <w:rPr>
          <w:rFonts w:ascii="Calibri" w:cs="Calibri" w:eastAsia="Calibri" w:hAnsi="Calibri"/>
          <w:color w:val="111111"/>
          <w:sz w:val="19"/>
          <w:szCs w:val="19"/>
        </w:rPr>
        <w:t xml:space="preserve">Extraction, transport, and processing nodes for uranium, REEs, nickel, copper, palladium, and coal. Zabaykalsk remains the single most critical physical chokepoint for all solid material exports.</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OPERATOR / STRUCTURE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ENFORCEMENT THEORY AND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Norilsk — Nornickel</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69.33°N, 88.20°E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Krasnoyarsk Krai,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Nornickel (Vladimir Potanin, ~35% controlling stake)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Mining — Ni/Cu/Pd/Pt</w:t>
            </w:r>
          </w:p>
        </w:tc>
        <w:tc>
          <w:tcPr>
            <w:tcW w:type="dxa" w:w="9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Potanin designated UK/Canada/Australia. US has NOT yet designated. OFAC should designate Nornickel under EO 14024. Major global palladium and nickel source (approximately 35–40% of global palladium, roughly 15–20% of refined nickel) — coordinate with allies before action to manage PGM market disruption.</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Tomtor REE Deposit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71.00°N, 116.50°E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Sakha Republic,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Polymetal / Russian state development interest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Mining — Rare Earths / Niobium</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Currently undeveloped. Monitor Chinese investment structures. Pre-emptive designation of Chinese JV partners once investment formalized.</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Krasnokamensk Uranium Hub</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50.10°N, 118.03°E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Zabaykalsky Krai,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Rosatom / ARMZ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Mining — Uranium Processing</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13382. ARMZ is Rosatom subsidiary. Fuel supply for Tianwan and Xudapu NPPs. TVEL designation is the recommended instrument but is operationally constrained: designating fuel supply to two operating Chinese civilian reactors creates a genuine nuclear safety argument that Beijing would exploit internationally. Interagency consultation with DOE/NNSA (policy practice rather than a statutory prerequisite) is not procedural formality — it is politically difficult given reactor operational status. Coordinate with DOE/NNSA and allied nuclear regulators before proceeding.</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Ganzhou REE Hub</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25.85°N, 114.93°E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Jiangxi,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China Rare Earth Group (Chinese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REE Processing — Global Monopoly</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Near-global monopoly on heavy REE. Off-limits. Long-term: build allied refining capacity (MP Materials, Lynas).</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Zabaykalsk Gauge Switch / Grain Terminal</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49.63°N, 117.32°E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Zabaykalsky Krai,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Railways / Zarubezhstroy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Rail Chokepoint / Grain Terminal — TIER I</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TIER I. All Russian solid mineral and grain exports to China transit here. Secondary sanctions on Chinese logistics buyers (COFCO, Sinograin). Note: RZD itself has been under EU sanctions since 2022 and extensive US sectoral restrictions; subsidiary designation recommendations are sound but RZD’s well-documented evasion architecture through non-sanctioned subsidiaries makes this a recurring enforcement action rather than a decisive one. The terminal infrastructure and the Chinese buyer side are the higher-leverage targets.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Manzhouli Border Entry</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49.58°N, 117.43°E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Inner Mongolia,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China Railway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Rail Border Crossing</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rail. Monitor cargo volumes as Russia-China trade proxy.</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Tongjiang / Nizhneleninskoye Rail Bridge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47.70°N, 132.65°E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Amur River — Russia/China border</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RZD (Russia) / Heilongjiang Longjiang Rail (China)</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Rail Bridge — Amur Crossing</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Opened 2022. Russian side targetable under EO 14024 (RZD). Chinese side off-limits. Monitor mineral throughput.</w:t>
            </w:r>
          </w:p>
        </w:tc>
      </w:tr>
    </w:tbl>
    <w:p>
      <w:pPr>
        <w:spacing w:before="40" w:after="40"/>
      </w:pPr>
      <w:r>
        <w:rPr>
          <w:sz w:val="18"/>
          <w:szCs w:val="18"/>
        </w:rPr>
        <w:t xml:space="preserve"/>
      </w:r>
    </w:p>
    <w:p>
      <w:pPr>
        <w:pBdr>
          <w:bottom w:val="single" w:color="2E5090" w:sz="6" w:space="1"/>
        </w:pBdr>
        <w:spacing w:before="80" w:after="80"/>
      </w:pPr>
    </w:p>
    <w:p>
      <w:pPr>
        <w:pStyle w:val="Heading1"/>
        <w:pBdr>
          <w:bottom w:val="single" w:color="2E5090" w:sz="8" w:space="4"/>
        </w:pBdr>
        <w:spacing w:before="360" w:after="120"/>
      </w:pPr>
      <w:r>
        <w:rPr>
          <w:rFonts w:ascii="Calibri" w:cs="Calibri" w:eastAsia="Calibri" w:hAnsi="Calibri"/>
          <w:b/>
          <w:bCs/>
          <w:color w:val="1C2B4A"/>
          <w:sz w:val="30"/>
          <w:szCs w:val="30"/>
        </w:rPr>
        <w:t xml:space="preserve">V. Electrical Grid and Nuclear Power</w:t>
      </w:r>
    </w:p>
    <w:p>
      <w:pPr>
        <w:spacing w:before="40" w:after="40"/>
        <w:jc w:val="both"/>
      </w:pPr>
      <w:r>
        <w:rPr>
          <w:rFonts w:ascii="Calibri" w:cs="Calibri" w:eastAsia="Calibri" w:hAnsi="Calibri"/>
          <w:color w:val="111111"/>
          <w:sz w:val="19"/>
          <w:szCs w:val="19"/>
        </w:rPr>
        <w:t xml:space="preserve">Cross-border HVDC electrical exports via Amurskaya-Heihe and Chinese NPPs built and fueled by Rosatom. Amurskaya substation is the master switch; TVEL designation affects both Tianwan and Xudapu simultaneously.</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OPERATOR / STRUCTURE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ENFORCEMENT THEORY AND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Zeya Hydroelectric Dam</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53.76°N, 127.25°E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Amur Oblast,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RusHydro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Hydropower — Export Feeder</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Designate RusHydro subsidiaries operating cross-border export functions.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Bureya Hydroelectric Dam</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50.27°N, 130.31°E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Amur Oblast,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RusHydro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Hydropower — Export Feeder</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Coordinate with Zeya designation to remove surplus power base underpinning cross-border exports.</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Amurskaya Substation</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50.31°N, 127.51°E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Amur Oblast,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FGC UES / Rosseti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HVDC Grid — Master Switch — TIER I</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TIER I. Master switch for all Russian power exports to China. Designate Rosseti subsidiaries. Physical disruption severs cross-border electrical supply entirely.</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Heihe HVDC Converter</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50.20°N, 127.48°E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Heihe, Heilongjiang,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State Grid Corporation of China</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HVDC Converter — China Side</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grid. Russian side is actionable node. Monitor grid import volumes.</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Tianwan NPP</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34.68°N, 119.46°E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Lianyungang, Jiangsu,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JNPC (China) / Rosatom tech+fuel (Russia)</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Nuclear Power — Russian-Built</w:t>
            </w:r>
          </w:p>
        </w:tc>
        <w:tc>
          <w:tcPr>
            <w:tcW w:type="dxa" w:w="9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13382. TVEL designation would cut fuel supply from Krasnokamensk to operating Chinese civilian reactors. Highest-constraint action in the index: nuclear safety arguments are internationally exploitable and would complicate any allied coordination. Action requires DOE/NNSA interagency consultation, allied nuclear regulator consultation, and pre-positioned alternative fuel supply pathway before execution.</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Xudapu NPP</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40.11°N, 120.52°E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Huludao, Liaoning,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CNNC (China) / Rosatom tech+fuel (Russia)</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Nuclear Power — Russian-Built</w:t>
            </w:r>
          </w:p>
        </w:tc>
        <w:tc>
          <w:tcPr>
            <w:tcW w:type="dxa" w:w="9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13382. Coordinate TVEL designation with Tianwan action. Same nuclear safety constraint applies — see Tianwan entry. Do not execute without DOE/NNSA interagency consultation and allied nuclear regulator coordination.</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VI. Polar Express Submarine Cable Corridor</w:t>
      </w:r>
    </w:p>
    <w:p>
      <w:pPr>
        <w:spacing w:before="40" w:after="40"/>
        <w:jc w:val="both"/>
      </w:pPr>
      <w:r>
        <w:rPr>
          <w:rFonts w:ascii="Calibri" w:cs="Calibri" w:eastAsia="Calibri" w:hAnsi="Calibri"/>
          <w:color w:val="111111"/>
          <w:sz w:val="19"/>
          <w:szCs w:val="19"/>
        </w:rPr>
        <w:t xml:space="preserve">Russian Arctic fiber cable running Teriberka to Vladivostok along NSR (designed capacity up to approximately 100 Tbps depending on system configuration, over approximately 12,650 km; cite Morsvyazsputnik project documentation or ITU infrastructure filings before publication). Manufactured with Chinese optical fiber. Petropavlovsk-Kamchatsky node highest-priority due to Pacific Fleet colocation.</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OPERATOR / STRUCTURE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ENFORCEMENT THEORY AND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Polar Express: Teriberka</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69.19°N, 35.07°E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Murmansk Oblast,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FSUE Morsvyazsputnik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Submarine Cable — Origin</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12,650km Russian Arctic cable manufactured with Chinese optical fiber. No current US designation authority over Russian domestic cable. NATO monitoring.</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Polar Express: Tiksi</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71.64°N, 128.86°E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Sakha Republic,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FSUE Morsvyazsputnik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Submarine Cable — Dual-Use Node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DUAL-USE: cable landing AND nearest Arctic port to Tomtor REE deposit. Monitor.</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Polar Express: Petropavlovsk-Kamchatsky</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53.01°N, 158.65°E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Kamchatka Krai,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FSUE Morsvyazsputnik / Pacific Fleet (dual)</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Submarine Cable — Military Dual-Use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CRITICAL DUAL-USE: collocated with Pacific Fleet submarine base. Disruption affects civil comms AND naval C2. NATO/INDOPACOM monitoring priority.</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Polar Express: Vladivostok</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43.12°N, 131.89°E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Primorsky Krai,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FSUE Morsvyazsputnik / Eastern Military District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Submarine Cable — Eastern Terminus</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Eastern terminus. Planned connections to Chinese networks. Eastern Military District HQ. Monitor connection point designation.</w:t>
            </w:r>
          </w:p>
        </w:tc>
      </w:tr>
    </w:tbl>
    <w:p>
      <w:pPr>
        <w:spacing w:before="40" w:after="40"/>
      </w:pPr>
      <w:r>
        <w:rPr>
          <w:sz w:val="18"/>
          <w:szCs w:val="18"/>
        </w:rPr>
        <w:t xml:space="preserve"/>
      </w:r>
    </w:p>
    <w:p>
      <w:pPr>
        <w:pBdr>
          <w:bottom w:val="single" w:color="2E5090" w:sz="6" w:space="1"/>
        </w:pBdr>
        <w:spacing w:before="80" w:after="80"/>
      </w:pPr>
    </w:p>
    <w:p>
      <w:pPr>
        <w:pStyle w:val="Heading1"/>
        <w:pBdr>
          <w:bottom w:val="single" w:color="2E5090" w:sz="8" w:space="4"/>
        </w:pBdr>
        <w:spacing w:before="360" w:after="120"/>
      </w:pPr>
      <w:r>
        <w:rPr>
          <w:rFonts w:ascii="Calibri" w:cs="Calibri" w:eastAsia="Calibri" w:hAnsi="Calibri"/>
          <w:b/>
          <w:bCs/>
          <w:color w:val="1C2B4A"/>
          <w:sz w:val="30"/>
          <w:szCs w:val="30"/>
        </w:rPr>
        <w:t xml:space="preserve">VII. Financial, CBDC, and Crypto Shadow Network</w:t>
      </w:r>
    </w:p>
    <w:p>
      <w:pPr>
        <w:spacing w:before="40" w:after="40"/>
        <w:jc w:val="both"/>
      </w:pPr>
      <w:r>
        <w:rPr>
          <w:rFonts w:ascii="Calibri" w:cs="Calibri" w:eastAsia="Calibri" w:hAnsi="Calibri"/>
          <w:color w:val="111111"/>
          <w:sz w:val="19"/>
          <w:szCs w:val="19"/>
        </w:rPr>
        <w:t xml:space="preserve">Sanctions-proofing architecture as of Q1 2026. A significant and growing share of Russia-China bilateral trade is now settled in yuan through CIPS and BRICS Bridge architecture (various estimates range from widely reported estimates of 30–50%+; primary source verification recommended before final release). A7A5 stablecoin provides crypto-native layer. Core enforcement problem: infrastructure substitutability requires simultaneous hosting embargo + Tether freeze, not sequential entity designation.</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OPERATOR / STRUCTURE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ENFORCEMENT THEORY AND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Moscow BRICS Bridge CBDC Node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55.75°N, 37.61°E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Moscow,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Bank of Russia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CBDC — Sovereign Settlement</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Bank of Russia fully designated. BRICS Bridge bypasses SWIFT. No short-term US interdiction vs. central-bank CBDC. BIS multilateral audit demand is only near-term lever.</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Shanghai BRICS Bridge / Ag Hub</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31.23°N, 121.47°E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Shanghai,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People's Bank of China / COFCO</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CBDC / Agricultural Trade Hub</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Five Russian agricultural attachés. 1M+ tons/yr vegetable oil. Off-limits. Monitor flows as sanctions compliance indicator.</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ABCeX Exchange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55.74°N, 37.53°E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Federation Tower, Moscow</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 Russian principals</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Crypto OTC Exchange</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GENIUS Act + EO 14024. Reportedly $11B+ processed (blockchain intelligence estimates; cite TRM Labs or Chainalysis primary reporting before publication). DO NOT designate entity alone. Simultaneously de-peer Aeza Group / Media Land via IEEPA and execute Tether freeze.</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Garantex (Mirror Wallets)</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55.75°N, 37.54°E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Moscow (distributed)</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Garantex Europe OÜ (sanctioned)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Crypto Exchange — Designated</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OFAC-designated. Still processing Reportedly ~$10B/yr via mirror wallets (blockchain intelligence estimates; cite TRM Labs or Chainalysis primary reporting before release). Tether freeze on identified mirror wallet cluster.</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Aifory Pro</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55.75°N, 37.62°E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Moscow / Dubai / Turkey</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 — FEA Payment Agent</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USDT Virtual Card Agent</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§1(a)(iii). CAATSA §226 on UAE/Turkish correspondent banks.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BitRiver (Bratsk)</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56.13°N, 101.60°E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Bratsk, Irkutsk Oblast,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BitRiver AG (Swiss-registered, Russian-operated)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Crypto Mining / Dual-Use Compute — TIER I</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TIER I. EO 14024 §1(a)(i). Sole economically viable large-scale A7A5 compute in Russia. Collocated with Bratsk Dam. Replacement timeline is contested — Russian crypto mining infrastructure has demonstrated improvisation capacity. The 90-day estimate is a lower bound; equivalent-scale substitution is structurally constrained by power availability, not hardware alone.</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Grinex / Meer (A7A5 Issuer)</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42.87°N, 74.59°E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Bishkek, Kyrgyzstan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 Kyrgyz-registered principals</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Stablecoin Issuer — A7A5</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CAATSA §226. Target Keremet Bank and Capital Bank (Kyrgyzstan) as FFIs. Avoid sovereign action. FATF re-referral is a long-lead instrument (18-24 months minimum for compliance pressure to materialize) — not a near-term lever. Bilateral diplomatic engagement with Kyrgyz FIU under existing AML cooperation frameworks is the correct first-order action.</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Hong Kong OTC Cluster</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22.31°N, 114.17°E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Hong Kong SAR,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Multiple shell-structured resellers</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Crypto OTC / Dual-Use Procurement</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13382 + EO 14024 §1(a)(iii). Designate freight forwarders and resellers SIMULTANEOUSLY. TRM Labs exposure mapping required first.</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VIII. Arctic Military Infrastructure (Enforcement Context)</w:t>
      </w:r>
    </w:p>
    <w:p>
      <w:pPr>
        <w:spacing w:before="40" w:after="40"/>
        <w:jc w:val="both"/>
      </w:pPr>
      <w:r>
        <w:rPr>
          <w:rFonts w:ascii="Calibri" w:cs="Calibri" w:eastAsia="Calibri" w:hAnsi="Calibri"/>
          <w:color w:val="111111"/>
          <w:sz w:val="19"/>
          <w:szCs w:val="19"/>
        </w:rPr>
        <w:t xml:space="preserve">Russian Arctic military presence that determines feasibility of kinetic or covert interdiction operations along the Northern Sea Route and adjacent energy/cable corridors. These nodes are not sanction targets — they are the operational constraint envelope for all physical disruption options.</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OPERATOR / STRUCTURE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ENFORCEMENT THEORY AND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Severomorsk — Northern Fleet HQ</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69.07°N, 33.42°E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Kola Peninsula, Murmansk Oblast,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Navy / Ministry of Defence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Military — Naval HQ</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Northern Fleet HQ. Six nuclear-armed submarines based here. Kola Peninsula hosts a substantial share of Russia's second-strike nuclear capability (commonly cited as approximately two-thirds per open-source defense literature (cite IISS Military Balance or CRS nuclear forces reports before final publication)). Key constraint on any Arctic interdiction operation.</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Gadzhiyevo Submarine Base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69.26°N, 33.31°E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Kola Peninsula, Murmansk Oblast,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Navy (Northern Fleet)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Military — Submarine Base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Expanded post-2022. Hosts SSBN and SSN assets protecting Northern Sea Route. Constrains naval interdiction options in Barents/Kara Sea.</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Nagurskoye Air Base (Franz Josef Land)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80.80°N, 47.60°E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Alexandra Land, Franz Josef Land,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Aerospace Forces / FSB</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Military — Arctic Air Base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Russia's northernmost military base. 3,500m runway (expanded 2020). Can stage MiG-31, Su-34. S-300/S-400/Pantsir-S1 deployed. Arctic Shamrock autonomous base collocated. Severely constrains NATO freedom of operation in High Arctic. Key enforcement context node.</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Rogachevo Air Base (Novaya Zemlya)</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71.62°N, 52.48°E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Novaya Zemlya, Arkhangelsk Oblast,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Aerospace Forces</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Military — Arctic Air Base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S-400 SAM systems deployed. Protects Yamal/Sabetta LNG infrastructure from western approach. Also Novaya Zemlya nuclear test site (high readiness maintained). Constrains Western Arctic access.</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Northern Clover Base (Kotelny Island)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75.90°N, 138.00°E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New Siberian Islands, Sakha Republic,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Armed Forces (99th Arctic Tactical Group)</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Military — Arctic Autonomous Base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Laptev Sea. 250 troops. Regional air defense, radar, early warning. Covers central NSR corridor. Constrains Arctic mineral interdiction options between Tiksi and Pevek cable/logistics nodes.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Tiksi Military Airfield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71.70°N, 128.93°E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Sakha Republic,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Aerospace Forces / Northern Fleet</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Military — Airfield (Collocated with Cable Node)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DUAL-USE colocation: military airfield and Polar Express cable landing station. Military presence constrains physical cable interdiction. Monitor for Arctic Tactical Group forward deployments.</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Petropavlovsk-Kamchatsky — Pacific Fleet Sub Base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53.01°N, 158.65°E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Kamchatka Krai,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Navy (Pacific Fleet)</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Military — Submarine Base (Collocated with Cable Node)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DUAL-USE: Polar Express cable landing and Pacific Fleet submarine base. SSBNs and SSNs based here. Physical cable interdiction at this node would require naval operation in contested waters.</w:t>
            </w:r>
          </w:p>
        </w:tc>
      </w:tr>
    </w:tbl>
    <w:p>
      <w:pPr>
        <w:spacing w:before="40" w:after="40"/>
      </w:pPr>
      <w:r>
        <w:rPr>
          <w:sz w:val="18"/>
          <w:szCs w:val="18"/>
        </w:rPr>
        <w:t xml:space="preserve"/>
      </w:r>
    </w:p>
    <w:p>
      <w:pPr>
        <w:pBdr>
          <w:bottom w:val="single" w:color="2E5090" w:sz="6" w:space="1"/>
        </w:pBdr>
        <w:spacing w:before="80" w:after="80"/>
      </w:pPr>
    </w:p>
    <w:p>
      <w:pPr>
        <w:pStyle w:val="Heading1"/>
        <w:pBdr>
          <w:bottom w:val="single" w:color="2E5090" w:sz="8" w:space="4"/>
        </w:pBdr>
        <w:spacing w:before="360" w:after="120"/>
      </w:pPr>
      <w:r>
        <w:rPr>
          <w:rFonts w:ascii="Calibri" w:cs="Calibri" w:eastAsia="Calibri" w:hAnsi="Calibri"/>
          <w:b/>
          <w:bCs/>
          <w:color w:val="1C2B4A"/>
          <w:sz w:val="30"/>
          <w:szCs w:val="30"/>
        </w:rPr>
        <w:t xml:space="preserve">IX. Central Asian Transit Nodes</w:t>
      </w:r>
    </w:p>
    <w:p>
      <w:pPr>
        <w:spacing w:before="40" w:after="40"/>
        <w:jc w:val="both"/>
      </w:pPr>
      <w:r>
        <w:rPr>
          <w:rFonts w:ascii="Calibri" w:cs="Calibri" w:eastAsia="Calibri" w:hAnsi="Calibri"/>
          <w:color w:val="111111"/>
          <w:sz w:val="19"/>
          <w:szCs w:val="19"/>
        </w:rPr>
        <w:t xml:space="preserve">Kazakhstan, Uzbekistan, Turkmenistan, and Mongolia nodes relevant to Russian energy transit, PoS-2 corridor, and Atasu-Alashankou oil route. Diplomatic sensitivity high across all — CSTO/SCO membership limits direct sanction options.</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OPERATOR / STRUCTURE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ENFORCEMENT THEORY AND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Pavlodar Refinery (Kazakhstan)</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52.28°N, 76.97°E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Pavlodar, Kazakhstan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KazMunayGas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Refinery — Kazakhstan Transit</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Entry point where Russian West Siberian crude enters Kazakhstan-China pipeline via Omsk-Pavlodar connection. Monitor Russian crude volumes. Diplomatic sensitivity high — Kazakhstan is CSTO member.</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Omsk Refinery (Russia)</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54.99°N, 73.37°E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Omsk Oblast,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Gazprom Neft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Refinery — Kazakhstan Transit Feeder</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EO 14024. Feeds Russian crude into Omsk-Pavlodar-Atasu-Alashankou Kazakhstan transit route. Designate Gazprom Neft subsidiaries.</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Uzbekistan Gas Transit Nodes</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41.30°N, 69.24°E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Tashkent, Uzbekistan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Uzbekneftegaz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Transit — Central Asian Pipeline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Uzbekistan feeds into China-Central Asia gas pipeline alongside Russian volumes. Monitor for Russian gas substitution volumes as direct PoS alternatives.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Turkmenistan — TAPI / CAGP Node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37.95°N, 58.38°E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Ashgabat, Turkmenistan</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Turkmengaz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Gas Transit — China-Central Asia</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Among the world's largest gas reserve holders (commonly cited as 4th largest; rankings vary by source and assessment methodology). China-Central Asia gas pipeline carries Turkmen gas to China — reduces Chinese dependency on Russian gas. Actually strategic interest to encourage rather than disrupt.</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Erenhot — Mongolia Rail Hub</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43.65°N, 111.97°E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Inner Mongolia,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China Railway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Rail Hub — Mongolia Transit</w:t>
            </w:r>
          </w:p>
        </w:tc>
        <w:tc>
          <w:tcPr>
            <w:tcW w:type="dxa" w:w="9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OFF-LIMITS</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Chinese sovereign. PoS-2 planned entry corridor. Diplomatic pressure on Mongolia is the indirect lever for constraining this corridor.</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Ulaanbaatar Rail Junction</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47.91°N, 106.88°E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Ulaanbaatar, Mongolia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UBTZ (Mongolian/Russian JV — RZD 50%)</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Rail Junction — Mongolia Transit</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RZD holds 50% of Ulaanbaatar Railway. RZD is designated — this JV is a secondary sanctions exposure point. Monitor for PoS-2 pipeline construction activity and Mongolian government negotiations.</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X. Shadow Fleet Vessel Registry</w:t>
      </w:r>
    </w:p>
    <w:p>
      <w:pPr>
        <w:spacing w:before="40" w:after="40"/>
        <w:jc w:val="both"/>
      </w:pPr>
      <w:r>
        <w:rPr>
          <w:rFonts w:ascii="Calibri" w:cs="Calibri" w:eastAsia="Calibri" w:hAnsi="Calibri"/>
          <w:color w:val="111111"/>
          <w:sz w:val="19"/>
          <w:szCs w:val="19"/>
        </w:rPr>
        <w:t xml:space="preserve">Individually identifiable vessels operating in support of sanctioned Russian energy exports as of Q1 2026. Total shadow fleet: Approximately 1,300+ vessels (Ukraine GUR catalog, Feb 2026 estimate; CREA shadow fleet dataset); ~342 under Western sanctions as of EU 17th package (May 2025); an estimated ~100 sanctioned vessels transited NSR in 2025 (CREA maritime tracking; figures are directional and subject to revision). Cite GUR Feb 2026 and CREA datasets before publication. This table covers highest-priority LNG and oil tankers with confirmed sanctioned cargo history, known IMO numbers, and/or enforcement precedent.</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1800"/>
        <w:gridCol w:w="900"/>
        <w:gridCol w:w="700"/>
        <w:gridCol w:w="2200"/>
        <w:gridCol w:w="900"/>
        <w:gridCol w:w="3880"/>
      </w:tblGrid>
      <w:tr>
        <w:trPr>
          <w:tblHeader/>
        </w:trPr>
        <w:tc>
          <w:tcPr>
            <w:tcW w:type="dxa" w:w="15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VESSEL NAME</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IMO #</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FLAG</w:t>
            </w:r>
          </w:p>
        </w:tc>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REGISTERED OWNER</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TYPE</w:t>
            </w:r>
          </w:p>
        </w:tc>
        <w:tc>
          <w:tcPr>
            <w:tcW w:type="dxa" w:w="7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ICE CLASS</w:t>
            </w:r>
          </w:p>
        </w:tc>
        <w:tc>
          <w:tcPr>
            <w:tcW w:type="dxa" w:w="2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PRIMARY ROUTE</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38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INTERDICTION NOTES</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Christophe de Margerie</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9737187</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Sovcomflot / Novatek (operated)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Arc7 LNG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Arc7</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Sabetta → China/India (NSR year-round)</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Russia's first Arc7 LNG tanker. Has drifted in Kara Gate area. Individually designate under EO 14024 via SDN listing by IMO number.</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Alexey Kosygin</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Unconfirmed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Novatek / Zvezda (newly commissioned)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Arc7 LNG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Arc7</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Arctic LNG 2 → Beihai (NSR winter)</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Newly commissioned from Zvezda Shipyard. First domestically completed Arc7. Designate upon formal IMO registration. Cutting off further Arc7 deliveries from Zvezda is the upstream interdiction point.</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Buran (ex-North Air)</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9839613</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 (ex-Marshall Islands)</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Shell company — undisclosed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Arc4 LNG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Arc4</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Yamal LNG / Arctic LNG 2 → China (NSR summer)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Dec 2024. Previously named North Air. Changed flag to Russia 2025. NSR sailing permission granted 2025. Designate under EO 14024.</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Voskhod (ex-North Mountain, ex-Samsung 2580)</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9839625</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Shell company — undisclosed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Arc4 LNG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Arc4</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Yamal/Arctic LNG 2 → China (NSR summer)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Dec 2024. Three name changes. Currently Russian flag. Drifting Barents Sea. EO 14024 designation.</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Iris (ex-North Sky, ex-North Star)</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9839637</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Shell company — undisclosed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Arc4 LNG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Arc4</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Yamal/Arctic LNG 2 → China (NSR summer)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Dec 2024. Multiple name changes. EO 14024 designation.</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Zarya (ex-North Way, ex-North Wind)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9839649</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Shell company — undisclosed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Arc4 LNG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Arc4</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Yamal/Arctic LNG 2 → China (NSR summer)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Dec 2024. Multiple name changes. EO 14024 designation.</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Valera (ex-Velikiy Novgorod)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9414699</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Sovcomflot-affiliated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Conventional LNG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Portovaya → Beihai (China) via NSR/Suez</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US/UK/EU/Canada/Switzerland sanctioned. AIS dark operations confirmed. Delivered cargo to Beihai Dec 2025. Diverted to Norway Feb 2026. Enforce port denial across allied jurisdictions.</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Pioneer</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9256602</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Palau (ex-Liberia)</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Shell entity — Dubai</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Conventional LNG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Arctic LNG 2 → Asia (Suez/Cape)</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OFAC-designated Aug 2024. First shadow LNG tanker loading at Arctic LNG 2. AIS spoofing confirmed. 19-year-old vessel (built 2005).</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Asya Energy (ex-Trader IV)</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9216298</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Palau (ex-Liberia)</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Same management as Pioneer and Everest Energy</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Conventional LNG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Arctic LNG 2 → Asia (Red Sea/Suez)</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OFAC-designated Aug 2024. Flag-hopped Liberia→Palau May 2024. AIS spoofing and offshore bunkering confirmed. Built 2002.</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Everest Energy (ex-Metagas Everest)</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9243148</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Liberia</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Same management as Pioneer / Asya Energy</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Conventional LNG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Arctic LNG 2 → Asia (Red Sea/Suez)</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OFAC-designated Aug 2024. Built 2003. Red Sea crossing confirmed June 2024.</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Arctic Metagas</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9864837</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Conventional LNG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 (no ice class)</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Arctic LNG 2 → China (attempted NSR)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May 2025 (17th package). Stuck in East Siberian Sea Aug 2025 — no icebreaker escort. Near-total navigation incompetence in Arctic conditions. Designate under EO 14024. High accident risk.</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La Perouse</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9838179</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LNG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Arc4</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Arctic LNG 2 → China (NSR)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Sailed twice from Arctic LNG 2 to China through western NSR in 2025. EO 14024 designation.</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Perle</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9838181</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Dreamer Shipmanagement Ltd (Dubai)</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LNG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Arc4</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Portovaya → Malaysia (STS) → Asia</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EU-sanctioned. AIS spoofing confirmed Oct 2025 during STS transfer off Malaysia. Managed by Dreamer Shipmanagement, Dubai. Designate Dreamer under CAATSA §226 as FFI-equivalent ship manager.</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Mires</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9299771</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Sierra Leone</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NSR: China → St. Petersburg</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EU/US-sanctioned. No ice class, sailed NSR Sep 2025 WITHOUT icebreaker escort. 20-year-old vessel. Enforce port denial.</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Lynx</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9412347</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Oman</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Tanker</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Murmansk → China (NSR)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EU/US-sanctioned. Trapped in Arctic ice for days — loaded with 150,000 tons of oil. No icebreaker booked. Not in NSR Administration public records. 14-year-old vessel. Enforce port denial.</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Eagle S</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9449218</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Cook Islands (seized)</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Products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Baltic/NSR routes</w:t>
            </w:r>
          </w:p>
        </w:tc>
        <w:tc>
          <w:tcPr>
            <w:tcW w:type="dxa" w:w="900"/>
            <w:tcBorders>
              <w:top w:val="single" w:color="D0D5DE" w:sz="1"/>
              <w:left w:val="single" w:color="D0D5DE" w:sz="1"/>
              <w:bottom w:val="single" w:color="D0D5DE" w:sz="1"/>
              <w:right w:val="single" w:color="D0D5DE" w:sz="1"/>
            </w:tcBorders>
            <w:shd w:fill="444444"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SEIZED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Seized by Finnish Police/Coast Guard Dec 2024 after suspected deliberate cable damage (Elisa C-Lion1 cable). Under criminal investigation for sabotage. IMO 9449218. Key interdiction precedent.</w:t>
            </w:r>
          </w:p>
        </w:tc>
      </w:tr>
      <w:tr>
        <w:tc>
          <w:tcPr>
            <w:tcW w:type="dxa" w:w="15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Fitburg</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St. Vincent &amp; Grenadines (seized)</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Cargo Ship</w:t>
            </w:r>
          </w:p>
        </w:tc>
        <w:tc>
          <w:tcPr>
            <w:tcW w:type="dxa" w:w="7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St. Petersburg → Haifa</w:t>
            </w:r>
          </w:p>
        </w:tc>
        <w:tc>
          <w:tcPr>
            <w:tcW w:type="dxa" w:w="900"/>
            <w:tcBorders>
              <w:top w:val="single" w:color="D0D5DE" w:sz="1"/>
              <w:left w:val="single" w:color="D0D5DE" w:sz="1"/>
              <w:bottom w:val="single" w:color="D0D5DE" w:sz="1"/>
              <w:right w:val="single" w:color="D0D5DE" w:sz="1"/>
            </w:tcBorders>
            <w:shd w:fill="444444"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SEIZED</w:t>
            </w:r>
          </w:p>
        </w:tc>
        <w:tc>
          <w:tcPr>
            <w:tcW w:type="dxa" w:w="38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Captured by Finnish Coast Guard Dec 2024 carrying sanctioned structural steel. Suspected cable damage. Two crew arrested. Enforcement precedent.</w:t>
            </w:r>
          </w:p>
        </w:tc>
      </w:tr>
      <w:tr>
        <w:tc>
          <w:tcPr>
            <w:tcW w:type="dxa" w:w="15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Seahorse</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Comoros</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Oil Tanker</w:t>
            </w:r>
          </w:p>
        </w:tc>
        <w:tc>
          <w:tcPr>
            <w:tcW w:type="dxa" w:w="7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None</w:t>
            </w:r>
          </w:p>
        </w:tc>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Caribbean — Venezuela</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38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Intercepted by USS Stockdale Nov 2025. Forced to divert to Cuba. Demonstrates US Navy willingness to physically interdict. Enforcement model for Arctic shadow fleet operations.</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XI. Key Persons and Beneficial Ownership Layer</w:t>
      </w:r>
    </w:p>
    <w:p>
      <w:pPr>
        <w:spacing w:before="40" w:after="40"/>
        <w:jc w:val="both"/>
      </w:pPr>
      <w:r>
        <w:rPr>
          <w:rFonts w:ascii="Calibri" w:cs="Calibri" w:eastAsia="Calibri" w:hAnsi="Calibri"/>
          <w:color w:val="111111"/>
          <w:sz w:val="19"/>
          <w:szCs w:val="19"/>
        </w:rPr>
        <w:t xml:space="preserve">Individuals who control or directly benefit from the 60-node network. OFAC designations require a person or entity nexus — this layer converts the infrastructure register into a designation-ready targeting package. US/EU designation status shown. Green = designated. Amber = partial. Red = not yet designated (gap).</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900"/>
        <w:gridCol w:w="2800"/>
        <w:gridCol w:w="900"/>
        <w:gridCol w:w="900"/>
        <w:gridCol w:w="2080"/>
        <w:gridCol w:w="2500"/>
      </w:tblGrid>
      <w:tr>
        <w:trPr>
          <w:tblHeader/>
        </w:trPr>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NAME</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ROLE / ENTITY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NET WORTH</w:t>
            </w:r>
          </w:p>
        </w:tc>
        <w:tc>
          <w:tcPr>
            <w:tcW w:type="dxa" w:w="2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NODES CONTROLLED</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US SDN</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EU/UK</w:t>
            </w:r>
          </w:p>
        </w:tc>
        <w:tc>
          <w:tcPr>
            <w:tcW w:type="dxa" w:w="1200"/>
            <w:shd w:val="clear" w:color="auto" w:fill="1C2B4A"/>
          </w:tcPr>
          <w:p>
            <w:pPr>
              <w:jc w:val="center"/>
            </w:pPr>
            <w:r>
              <w:rPr>
                <w:rFonts w:ascii="Calibri" w:cs="Calibri" w:hAnsi="Calibri"/>
                <w:b/>
                <w:bCs/>
                <w:color w:val="FFFFFF"/>
                <w:sz w:val="16"/>
                <w:szCs w:val="16"/>
              </w:rPr>
              <w:t xml:space="preserve">STATUS</w:t>
            </w:r>
          </w:p>
        </w:tc>
        <w:tc>
          <w:tcPr>
            <w:tcW w:type="dxa" w:w="20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KNOWN OFFSHORE STRUCTURE</w:t>
            </w:r>
          </w:p>
        </w:tc>
        <w:tc>
          <w:tcPr>
            <w:tcW w:type="dxa" w:w="13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DESIGNATION NOTES</w:t>
            </w:r>
          </w:p>
        </w:tc>
      </w:tr>
      <w:tr>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b/>
                <w:bCs/>
                <w:color w:val="1C2B4A"/>
                <w:sz w:val="17"/>
                <w:szCs w:val="17"/>
              </w:rPr>
              <w:t xml:space="preserve">Leonid Mikhelson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CEO &amp; Chairman, Novatek (24.8% stake); major shareholder Sibur (30.6%)</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~$21-28B</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Sabetta LNG, Arctic LNG 2, Portovaya, Yamal LNG, Saam FSU, Kamchatka FSU, entire shadow LNG fleet</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NO</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UK/AUS/CA/NZ</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20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Cyprus holding company; transferred ~14% Novatek stake directly in 2022</w:t>
            </w:r>
          </w:p>
        </w:tc>
        <w:tc>
          <w:tcPr>
            <w:tcW w:type="dxa" w:w="13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US AND EU have not designated. Critical gap. Mikhelson is the operational controller of all Novatek Arctic LNG infrastructure. EO 14024 nexus is clear. Coordinate US/EU simultaneous designation.</w:t>
            </w:r>
          </w:p>
        </w:tc>
      </w:tr>
      <w:tr>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b/>
                <w:bCs/>
                <w:color w:val="1C2B4A"/>
                <w:sz w:val="17"/>
                <w:szCs w:val="17"/>
              </w:rPr>
              <w:t xml:space="preserve">Gennady Timchenko</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Co-owner Novatek (23.5% via Volga Resources); Novatek Board; founder Gunvor</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~$14B</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Sabetta LNG, Arctic LNG 2, Novatek supply chain; Sibur petrochemicals</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Volga Resources (Luxembourg); White Seal Holdings (Cyprus); Vidrio Enterprises Ltd (Cyprus); Bodela Holdings (Cyprus). Pandora Papers: $572M in loans through anonymous Cyprus shells.</w:t>
            </w:r>
          </w:p>
        </w:tc>
        <w:tc>
          <w:tcPr>
            <w:tcW w:type="dxa" w:w="13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US-designated 2014 (EO 13661). EU/UK-designated. Volga Resources and White Seal Holdings designated 2015. Monitor for new holding structures.</w:t>
            </w:r>
          </w:p>
        </w:tc>
      </w:tr>
      <w:tr>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b/>
                <w:bCs/>
                <w:color w:val="1C2B4A"/>
                <w:sz w:val="17"/>
                <w:szCs w:val="17"/>
              </w:rPr>
              <w:t xml:space="preserve">Vladimir Potanin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President/CEO Nornickel (~35% controlling stake); Interros holding; owner Rosbank</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~$31B (Russia's richest)</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Norilsk mining complex — palladium, nickel, copper, cobalt</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NO</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UK/CA/AUS</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20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Interros Holding (relocated from Cyprus to Vladivostok FTZ 2022)</w:t>
            </w:r>
          </w:p>
        </w:tc>
        <w:tc>
          <w:tcPr>
            <w:tcW w:type="dxa" w:w="13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US has NOT designated. Nornickel produces Approximately 35–40% of global palladium supply and roughly 15–20% of refined nickel (Nornickel annual reports and USGS Mineral Commodity Summaries; verify against current production data before publication). Designation would cause significant global PGM market disruption. Requires coordinated allied approach and allied stockpile pre-positioning before action.</w:t>
            </w:r>
          </w:p>
        </w:tc>
      </w:tr>
      <w:tr>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b/>
                <w:bCs/>
                <w:color w:val="1C2B4A"/>
                <w:sz w:val="17"/>
                <w:szCs w:val="17"/>
              </w:rPr>
              <w:t xml:space="preserve">Igor Sechin</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CEO Rosneft (since 2004); former Deputy Prime Minister</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~$800M (low vs. leverage)</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ESPO pipeline chain; Kozmino terminal; Angarsk/Komsomolsk refineries; Zvezda Shipyard (Rosneft interest)</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Crescent superyacht (135m, seized Spain). Rosneft has 632 subsidiaries identified vs. 22 disclosed; 71 in tax havens.</w:t>
            </w:r>
          </w:p>
        </w:tc>
        <w:tc>
          <w:tcPr>
            <w:tcW w:type="dxa" w:w="13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US/EU/UK-designated. Monitor for new Rosneft subsidiary structures moving assets. Rosneft's undisclosed subsidiary network (632 identified) provides continued evasion capacity.</w:t>
            </w:r>
          </w:p>
        </w:tc>
      </w:tr>
      <w:tr>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b/>
                <w:bCs/>
                <w:color w:val="1C2B4A"/>
                <w:sz w:val="17"/>
                <w:szCs w:val="17"/>
              </w:rPr>
              <w:t xml:space="preserve">Alexei Miller</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CEO Gazprom (since 2001)</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~$1B</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Chayanda/Kovykta gas fields, Power of Siberia 1/2, all Gazprom infrastructure</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Limited known offshore; Gazprom is majority state-owned</w:t>
            </w:r>
          </w:p>
        </w:tc>
        <w:tc>
          <w:tcPr>
            <w:tcW w:type="dxa" w:w="13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US/EU/UK-designated. Gazprom fully under sectoral sanctions. Monitor subsidiary proliferation and gas-for-yuan settlement structuring.</w:t>
            </w:r>
          </w:p>
        </w:tc>
      </w:tr>
      <w:tr>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b/>
                <w:bCs/>
                <w:color w:val="1C2B4A"/>
                <w:sz w:val="17"/>
                <w:szCs w:val="17"/>
              </w:rPr>
              <w:t xml:space="preserve">Nikolay Tokarev</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President Transneft (since 2007)</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~$500M</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ESPO pipeline (entire chain), Skovorodino fork, Kozmino terminal, all Russian oil pipeline infrastructure</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Limited public disclosure</w:t>
            </w:r>
          </w:p>
        </w:tc>
        <w:tc>
          <w:tcPr>
            <w:tcW w:type="dxa" w:w="13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US/EU/UK-designated. Transneft is Russian state pipeline monopoly. Pipeline infrastructure itself is the target; personal designation already executed.</w:t>
            </w:r>
          </w:p>
        </w:tc>
      </w:tr>
      <w:tr>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b/>
                <w:bCs/>
                <w:color w:val="1C2B4A"/>
                <w:sz w:val="17"/>
                <w:szCs w:val="17"/>
              </w:rPr>
              <w:t xml:space="preserve">Andrei Akimov</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Chairman Gazprombank</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~$300M</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Zvezda Shipyard financing (Gazprombank is co-owner); Arctic project financing</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Gazprombank offshore subsidiaries (BVI, Cayman)</w:t>
            </w:r>
          </w:p>
        </w:tc>
        <w:tc>
          <w:tcPr>
            <w:tcW w:type="dxa" w:w="13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US/EU/UK-designated 2022. Gazprombank was last major Russian bank with partial Western access — now fully sanctioned. Monitor residual offshore subsidiary activity.</w:t>
            </w:r>
          </w:p>
        </w:tc>
      </w:tr>
      <w:tr>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b/>
                <w:bCs/>
                <w:color w:val="1C2B4A"/>
                <w:sz w:val="17"/>
                <w:szCs w:val="17"/>
              </w:rPr>
              <w:t xml:space="preserve">Undisclosed ABCeX Principals</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Beneficial owners, ABCeX Exchange (Federation Tower, Moscow)</w:t>
            </w:r>
          </w:p>
        </w:tc>
        <w:tc>
          <w:tcPr>
            <w:tcW w:type="dxa" w:w="9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Unknown</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ABCeX exchange, $11B+ crypto settlement, connections to Aifory Pro</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NO</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NO</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20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Unknown — Federation Tower registered entities; likely UAE/BVI shells</w:t>
            </w:r>
          </w:p>
        </w:tc>
        <w:tc>
          <w:tcPr>
            <w:tcW w:type="dxa" w:w="13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tcPr>
          <w:p>
            <w:r>
              <w:rPr>
                <w:rFonts w:ascii="Calibri" w:cs="Calibri" w:eastAsia="Calibri" w:hAnsi="Calibri"/>
                <w:color w:val="111111"/>
                <w:sz w:val="17"/>
                <w:szCs w:val="17"/>
              </w:rPr>
              <w:t xml:space="preserve">OFAC investigation priority. Identity of ABCeX beneficial owners is the critical gap for entity-level EO 14024 designation. TRM Labs blockchain analytics should be tasked to trace wallet addresses to KYC-linked exchange registrations.</w:t>
            </w:r>
          </w:p>
        </w:tc>
      </w:tr>
      <w:tr>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b/>
                <w:bCs/>
                <w:color w:val="1C2B4A"/>
                <w:sz w:val="17"/>
                <w:szCs w:val="17"/>
              </w:rPr>
              <w:t xml:space="preserve">Undisclosed Grinex/Meer Principals</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Beneficial owners, A7A5 stablecoin issuance (Bishkek)</w:t>
            </w:r>
          </w:p>
        </w:tc>
        <w:tc>
          <w:tcPr>
            <w:tcW w:type="dxa" w:w="9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Unknown</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Grinex/Meer, A7A5 stablecoin, Kyrgyz FFI network</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NO</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center"/>
          </w:tcPr>
          <w:p>
            <w:pPr>
              <w:jc w:val="center"/>
            </w:pPr>
            <w:r>
              <w:rPr>
                <w:rFonts w:ascii="Calibri" w:cs="Calibri" w:eastAsia="Calibri" w:hAnsi="Calibri"/>
                <w:b/>
                <w:bCs/>
                <w:color w:val="FFFFFF"/>
                <w:sz w:val="17"/>
                <w:szCs w:val="17"/>
              </w:rPr>
              <w:t xml:space="preserve">NO</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20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Kyrgyzstan-registered; likely Russian beneficial owners via CIS nominee structures</w:t>
            </w:r>
          </w:p>
        </w:tc>
        <w:tc>
          <w:tcPr>
            <w:tcW w:type="dxa" w:w="13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tcPr>
          <w:p>
            <w:r>
              <w:rPr>
                <w:rFonts w:ascii="Calibri" w:cs="Calibri" w:eastAsia="Calibri" w:hAnsi="Calibri"/>
                <w:color w:val="111111"/>
                <w:sz w:val="17"/>
                <w:szCs w:val="17"/>
              </w:rPr>
              <w:t xml:space="preserve">CAATSA §226 investigation. FinCEN should task Kyrgyz FIU (Financial Intelligence Unit) for beneficial ownership disclosure under bilateral AML cooperation framework.</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XII. Chinese Equity Stakes and Corporate Linkages</w:t>
      </w:r>
    </w:p>
    <w:p>
      <w:pPr>
        <w:spacing w:before="40" w:after="40"/>
        <w:jc w:val="both"/>
      </w:pPr>
      <w:r>
        <w:rPr>
          <w:rFonts w:ascii="Calibri" w:cs="Calibri" w:eastAsia="Calibri" w:hAnsi="Calibri"/>
          <w:color w:val="111111"/>
          <w:sz w:val="19"/>
          <w:szCs w:val="19"/>
        </w:rPr>
        <w:t xml:space="preserve">Chinese state entities holding equity positions in sanctioned or targetable Russian infrastructure. These equity positions are themselves secondary sanctions exposure points under EO 14024. CNPC/CNOOC stakes in Yamal LNG and Arctic LNG 2 are the primary leverage nodes.</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OPERATOR / STRUCTURE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ENFORCEMENT THEORY AND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Yamal LNG — CNPC Stake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71.27°N, 72.07°E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Sabetta,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CNPC (20% equity stake in Yamal LNG)</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Chinese Equity — LNG</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CNPC holds 20% equity in Yamal LNG. This equity position is itself a US sanctions exposure under EO 14024 if Novatek is more broadly designated. CNPC equity stake is the leverage point for secondary sanctions pressure. Value: ~$3-4B at pre-sanctions valuation.</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Arctic LNG 2 — CNOOC/CNOOC Gas Stake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71.15°N, 77.92°E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Gydan Peninsula,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CNOOC (10%) + CNOOC Gas (unconfirmed additional)</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Chinese Equity — LNG</w:t>
            </w:r>
          </w:p>
        </w:tc>
        <w:tc>
          <w:tcPr>
            <w:tcW w:type="dxa" w:w="9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CNOOC holds equity in sanctioned facility. CNOOC has not formally withdrawn. US should formally require CNOOC equity divestiture as condition of avoiding secondary SDN designation. Leverage point.</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Sakhalin-1 (CNPC via ONGC JV)</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51.00°N, 143.00°E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Sakhalin,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Rosneft (operator); ONGC (India, 20%); CNPC indirect exposure via downstream offtake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Chinese Equity — Oil</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Rosneft designated. Chinese downstream offtake contracts from Sakhalin-1 continue. Monitor contract structure for secondary sanctions exposure.</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ICBC — Russian Energy Financing</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39.91°N, 116.39°E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Beijing,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ICBC (Chinese state bank)</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Chinese Banking — Energy Finance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ICBC provided significant project financing for Arctic energy infrastructure pre-2022. Post-designation, ICBC has reduced direct exposure but indirect financing via Chinese subsidiaries continues. CAATSA §226 pressure point if specific transaction evidence obtained.</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Bank of China — Trade Finance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39.91°N, 116.40°E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Beijing,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Bank of China (Chinese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Chinese Banking — Trade Finance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Provides trade finance for Russia-China commodity flows. Has maintained USD-clearing exposure cautiously. Target of OFAC informal pressure. Secondary sanctions threat is the primary deterrent instrument.</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COSCO Shipping — Shadow Fleet Exposure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31.22°N, 121.48°E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Shanghai, China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COSCO Shipping Group (Chinese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Chinese Shipping — Potential Exposure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COSCO has publicly distanced from shadow fleet operations following US pressure. Monitor for subsidiary or affiliated vessel management companies providing services to sanctioned tankers. Any confirmed connection triggers EO 14024 secondary designation analysis.</w:t>
            </w:r>
          </w:p>
        </w:tc>
      </w:tr>
    </w:tbl>
    <w:p>
      <w:pPr>
        <w:spacing w:before="40" w:after="40"/>
      </w:pPr>
      <w:r>
        <w:rPr>
          <w:sz w:val="18"/>
          <w:szCs w:val="18"/>
        </w:rPr>
        <w:t xml:space="preserve"/>
      </w:r>
    </w:p>
    <w:p>
      <w:pPr>
        <w:pBdr>
          <w:bottom w:val="single" w:color="2E5090" w:sz="6" w:space="1"/>
        </w:pBdr>
        <w:spacing w:before="80" w:after="80"/>
      </w:pPr>
    </w:p>
    <w:p>
      <w:pPr>
        <w:pStyle w:val="Heading1"/>
        <w:pBdr>
          <w:bottom w:val="single" w:color="2E5090" w:sz="8" w:space="4"/>
        </w:pBdr>
        <w:spacing w:before="360" w:after="120"/>
      </w:pPr>
      <w:r>
        <w:rPr>
          <w:rFonts w:ascii="Calibri" w:cs="Calibri" w:eastAsia="Calibri" w:hAnsi="Calibri"/>
          <w:b/>
          <w:bCs/>
          <w:color w:val="1C2B4A"/>
          <w:sz w:val="30"/>
          <w:szCs w:val="30"/>
        </w:rPr>
        <w:t xml:space="preserve">XIII. Shadow Fleet Insurance and Flag State Network</w:t>
      </w:r>
    </w:p>
    <w:p>
      <w:pPr>
        <w:spacing w:before="40" w:after="40"/>
        <w:jc w:val="both"/>
      </w:pPr>
      <w:r>
        <w:rPr>
          <w:rFonts w:ascii="Calibri" w:cs="Calibri" w:eastAsia="Calibri" w:hAnsi="Calibri"/>
          <w:color w:val="111111"/>
          <w:sz w:val="19"/>
          <w:szCs w:val="19"/>
        </w:rPr>
        <w:t xml:space="preserve">The shadow fleet operates because it can obtain hull insurance (primarily Ingosstrakh) and flag registration (Palau, Gabon, Cameroon, Sierra Leone, Comoros). Cutting insurance and flag state cooperation is operationally equivalent to grounding vessels without physical interdiction.</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OPERATOR / STRUCTURE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ENFORCEMENT THEORY AND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Ingosstrakh — Shadow Fleet Insurer</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55.76°N, 37.61°E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Moscow,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Ingosstrakh PJSC (partially state-linked via Rosneft/VTB exposure)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Insurance — Shadow Fleet Hull</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Primary hull insurer for Russian shadow fleet after P&amp;I clubs withdrew. EO 14024 §1(a)(i). Designate to remove insurance coverage from shadow fleet. Without Ingosstrakh coverage, many shadow vessels become uninsurable even in non-Western markets.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Russian National Reinsurance Company (RNRC)</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55.75°N, 37.63°E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Moscow, Russia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Bank of Russia (state)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Insurance — State Reinsurer</w:t>
            </w:r>
          </w:p>
        </w:tc>
        <w:tc>
          <w:tcPr>
            <w:tcW w:type="dxa" w:w="9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RNRC is the state-owned reinsurer of last resort for sanctioned entities. Already under EU/UK sanctions. US should designate under EO 14024 to complete insurance chain disruption.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Palau Ship Registry</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7.51°N, 134.58°E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Palau (Pacific Islands)</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Government of Palau / private registry management</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Flag State — Shadow Fleet</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Favorite flag state for shadow LNG fleet (Pioneer, Asya Energy). US should apply diplomatic pressure for mandatory AIS compliance and port state control cooperation. Palau is a Compact of Free Association partner — leverage exists.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Gabon Ship Registry</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0.39°N, 9.45°E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Libreville, Gabon</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Government of Gabon / ANUTTC registry</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Flag State — Shadow Fleet Oil</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Frequently used by shadow oil tankers. US should require flag state cooperation on AIS monitoring or risk Gabon vessels being treated as presumptively sanctioned.</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Cameroon Ship Registry</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3.85°N, 11.50°E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Yaoundé, Cameroon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Government of Cameroon</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Flag State — Shadow Fleet</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Secondary flag state for shadow fleet. Diplomatic engagement required.</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Sierra Leone Ship Registry</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8.49°N, -13.23°E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Freetown, Sierra Leone</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Government of Sierra Leone</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Flag State — Shadow Fleet</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Mires vessel (IMO 9299771) flies Sierra Leone flag. No-ice-class vessel in Arctic conditions. Diplomatic engagement; Paris MOU port state control pressure.</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Dreamer Shipmanagement (Dubai)</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25.20°N, 55.27°E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Dubai, UAE</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Undisclosed — UAE-registered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Ship Manager — Shadow Fleet</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Manages Perle LNG tanker. No proven compliance record. AIS spoofing confirmed. CAATSA §226 designation as FFI-equivalent ship manager. UAE correspondent bank pressure.</w:t>
            </w:r>
          </w:p>
        </w:tc>
      </w:tr>
    </w:tbl>
    <w:p>
      <w:pPr>
        <w:spacing w:before="40" w:after="40"/>
      </w:pPr>
      <w:r>
        <w:rPr>
          <w:sz w:val="18"/>
          <w:szCs w:val="18"/>
        </w:rPr>
        <w:t xml:space="preserve"/>
      </w:r>
    </w:p>
    <w:p>
      <w:r>
        <w:br w:type="page"/>
      </w:r>
    </w:p>
    <w:p>
      <w:pPr>
        <w:pStyle w:val="Heading1"/>
        <w:pBdr>
          <w:bottom w:val="single" w:color="2E5090" w:sz="8" w:space="4"/>
        </w:pBdr>
        <w:spacing w:before="360" w:after="120"/>
      </w:pPr>
      <w:r>
        <w:rPr>
          <w:rFonts w:ascii="Calibri" w:cs="Calibri" w:eastAsia="Calibri" w:hAnsi="Calibri"/>
          <w:b/>
          <w:bCs/>
          <w:color w:val="1C2B4A"/>
          <w:sz w:val="30"/>
          <w:szCs w:val="30"/>
        </w:rPr>
        <w:t xml:space="preserve">XIV. Dual-Use Technology and Cyber Supply Chain</w:t>
      </w:r>
    </w:p>
    <w:p>
      <w:pPr>
        <w:spacing w:before="40" w:after="40"/>
        <w:jc w:val="both"/>
      </w:pPr>
      <w:r>
        <w:rPr>
          <w:rFonts w:ascii="Calibri" w:cs="Calibri" w:eastAsia="Calibri" w:hAnsi="Calibri"/>
          <w:color w:val="111111"/>
          <w:sz w:val="19"/>
          <w:szCs w:val="19"/>
        </w:rPr>
        <w:t xml:space="preserve">Physical and digital supply chain nodes enabling Zvezda Shipyard Arc7 production, ESPO pipeline ICS operations, LNG containment technology, and the crypto shadow exchange hosting infrastructure. These are the upstream interdiction points that prevent sanctions evasion infrastructure from being rebuilt after designation.</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000"/>
        <w:gridCol w:w="1200"/>
        <w:gridCol w:w="900"/>
        <w:gridCol w:w="49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NODE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COORDINATES</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OPERATOR / STRUCTURE</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CATEGORY</w:t>
            </w:r>
          </w:p>
        </w:tc>
        <w:tc>
          <w:tcPr>
            <w:tcW w:type="dxa" w:w="9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STATUS</w:t>
            </w:r>
          </w:p>
        </w:tc>
        <w:tc>
          <w:tcPr>
            <w:tcW w:type="dxa" w:w="498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ENFORCEMENT THEORY AND ACTION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Zvezda Shipyard — Chinese Input Node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43.12°N, 132.48°E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Bolshoy Kamen, Primorsky Krai, Russia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Rosneft / Gazprombank (state)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Shipbuilding — Chinese Tech Input</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TIER I. Chinese optical fiber, steel, navigation systems critical to Arc7 production. Designate Chinese component suppliers under EO 14024 §1(a)(iii). Without Chinese inputs, Arc7 production halts.</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Wärtsilä Replacement — Russian ASKU-TP</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55.75°N, 37.62°E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Moscow (distributed production)</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state enterprises (after Western vendor withdrawal)</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Industrial Control Systems — Pipeline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Russian ASKU-TP systems replaced Western (Emerson/Honeywell/Schneider) ICS on ESPO pipeline following vendor withdrawal. Monitor for vulnerability mapping of non-hardened domestic ICS. Potential cyber vector for pipeline disruption.</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GTT Membrane License — Chinese Substitute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48.88°N, 2.33°E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France /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GTT (France) — license; Chinese shipyards attempting substitute</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LNG Tech — Membrane License</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GTT (France) withdrew licensing for Arctic LNG 2 membrane containment systems. Russia and China are attempting to develop a domestic substitute for GTT membrane technology. Monitor Chinese shipyard (Hudong-Zhonghua) membrane system development as potential sanctions gap.</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Samsung / Hyundai Arc7 Propulsion Gap</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37.56°N, 126.97°E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South Korea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Samsung Heavy Industries / HD Hyundai</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Shipbuilding — Azipod Propulsion</w:t>
            </w:r>
          </w:p>
        </w:tc>
        <w:tc>
          <w:tcPr>
            <w:tcW w:type="dxa" w:w="9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Samsung Heavy Industries withdrew from Arc7 program under US/EU sanctions pressure. Russia/Zvezda attempting to produce Azipod-type thrusters domestically. Monitor Chinese propulsion system suppliers (CSSC) for potential substitute supply. Any Chinese Azipod-equivalent export to Zvezda is a secondary sanctions trigger.</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Shenzhen Component Cluster — HK OTC Downstream</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22.54°N, 114.06°E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Shenzhen, Guangdong, China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Multiple Chinese electronics manufacturers</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Dual-Use Tech — Missile/Navigation Components</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TRM Labs / Chainalysis graph tracing shows USDT flows from sanctioned Moscow wallets terminating at Shenzhen electronics firms after multiple layering hops via HK OTC cluster (blockchain analytics methodology; specific hop count is an estimate based on Chainalysis/TRM Labs reporting; verify against primary source before citing). Identify specific firms receiving &gt;90% of funds from single sanctioned source; designate under EO 14024 §1(a)(iii).</w:t>
            </w:r>
          </w:p>
        </w:tc>
      </w:tr>
      <w:tr>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Aeza Group — Bulletproof Hosting</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51.50°N, 31.28°E</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Distributed (Russia/Netherlands/Germany ASNs)</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Aeza Group (Russian-operated, Netherlands-registered)</w:t>
            </w:r>
          </w:p>
        </w:tc>
        <w:tc>
          <w:tcPr>
            <w:tcW w:type="dxa" w:w="1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Cyber Infrastructure — Bulletproof Hosting</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IEEPA §1702. Hosts ABCeX and Aifory Pro exchange interfaces. Issue Tier 1 ISP de-peering directive simultaneously with Tether freeze. Target ASNs: AS210644, AS215902. Netherlands registration creates EU coordination requirement.</w:t>
            </w:r>
          </w:p>
        </w:tc>
      </w:tr>
      <w:tr>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bCs/>
                <w:color w:val="1C2B4A"/>
                <w:sz w:val="17"/>
                <w:szCs w:val="17"/>
              </w:rPr>
              <w:t xml:space="preserve">Media Land LLC — Bulletproof Hosting</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55.75°N, 37.62°E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Moscow (distributed ASNs)</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Media Land LLC (Russian-registered)</w:t>
            </w:r>
          </w:p>
        </w:tc>
        <w:tc>
          <w:tcPr>
            <w:tcW w:type="dxa" w:w="1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2E5090"/>
                <w:sz w:val="17"/>
                <w:szCs w:val="17"/>
              </w:rPr>
              <w:t xml:space="preserve">Cyber Infrastructure — Bulletproof Hosting</w:t>
            </w:r>
          </w:p>
        </w:tc>
        <w:tc>
          <w:tcPr>
            <w:tcW w:type="dxa" w:w="9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498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jc w:val="left"/>
            </w:pPr>
            <w:r>
              <w:rPr>
                <w:rFonts w:ascii="Calibri" w:cs="Calibri" w:eastAsia="Calibri" w:hAnsi="Calibri"/>
                <w:b w:val="false"/>
                <w:bCs w:val="false"/>
                <w:color w:val="111111"/>
                <w:sz w:val="17"/>
                <w:szCs w:val="17"/>
              </w:rPr>
              <w:t xml:space="preserve">IEEPA §1702. Primary bulletproof hoster for Russian cybercrime/sanctions evasion infrastructure. US, Australia, and UK designated Media Land in a trilateral action on November 19, 2025 — not early 2026. Complete Tier 1 ISP de-peering to physically deplatform exchange interfaces.</w:t>
            </w:r>
          </w:p>
        </w:tc>
      </w:tr>
    </w:tbl>
    <w:p>
      <w:pPr>
        <w:spacing w:before="40" w:after="40"/>
      </w:pPr>
      <w:r>
        <w:rPr>
          <w:sz w:val="18"/>
          <w:szCs w:val="18"/>
        </w:rPr>
        <w:t xml:space="preserve"/>
      </w:r>
    </w:p>
    <w:p>
      <w:pPr>
        <w:pBdr>
          <w:bottom w:val="single" w:color="2E5090" w:sz="6" w:space="1"/>
        </w:pBdr>
        <w:spacing w:before="80" w:after="80"/>
      </w:pPr>
    </w:p>
    <w:p>
      <w:pPr>
        <w:pStyle w:val="Heading1"/>
        <w:pBdr>
          <w:bottom w:val="single" w:color="2E5090" w:sz="8" w:space="4"/>
        </w:pBdr>
        <w:spacing w:before="360" w:after="120"/>
      </w:pPr>
      <w:r>
        <w:rPr>
          <w:rFonts w:ascii="Calibri" w:cs="Calibri" w:eastAsia="Calibri" w:hAnsi="Calibri"/>
          <w:b/>
          <w:bCs/>
          <w:color w:val="1C2B4A"/>
          <w:sz w:val="30"/>
          <w:szCs w:val="30"/>
        </w:rPr>
        <w:t xml:space="preserve">XV. Consolidated Tier I Priority Target Summary</w:t>
      </w:r>
    </w:p>
    <w:p>
      <w:pPr>
        <w:spacing w:before="40" w:after="40"/>
        <w:jc w:val="both"/>
      </w:pPr>
      <w:r>
        <w:rPr>
          <w:rFonts w:ascii="Calibri" w:cs="Calibri" w:eastAsia="Calibri" w:hAnsi="Calibri"/>
          <w:color w:val="111111"/>
          <w:sz w:val="19"/>
          <w:szCs w:val="19"/>
        </w:rPr>
        <w:t xml:space="preserve">Nodes assessed as irreplaceable AND high-throughput. Disruption produces systemic effects across multiple sectors. Highest-priority targets for coordinated multilateral action.</w:t>
      </w:r>
    </w:p>
    <w:p>
      <w:pPr>
        <w:spacing w:before="40" w:after="40"/>
      </w:pPr>
      <w:r>
        <w:rPr>
          <w:sz w:val="18"/>
          <w:szCs w:val="18"/>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1800"/>
        <w:gridCol w:w="7780"/>
      </w:tblGrid>
      <w:tr>
        <w:trPr>
          <w:tblHeader/>
        </w:trPr>
        <w:tc>
          <w:tcPr>
            <w:tcW w:type="dxa" w:w="1800"/>
            <w:tcBorders>
              <w:top w:val="single" w:color="D0D5DE" w:sz="1"/>
              <w:left w:val="single" w:color="D0D5DE" w:sz="1"/>
              <w:bottom w:val="single" w:color="D0D5DE" w:sz="1"/>
              <w:right w:val="single" w:color="D0D5DE" w:sz="1"/>
            </w:tcBorders>
            <w:shd w:fill="1C2B4A"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NODE</w:t>
            </w:r>
          </w:p>
        </w:tc>
        <w:tc>
          <w:tcPr>
            <w:tcW w:type="dxa" w:w="1200"/>
            <w:tcBorders>
              <w:top w:val="single" w:color="D0D5DE" w:sz="1"/>
              <w:left w:val="single" w:color="D0D5DE" w:sz="1"/>
              <w:bottom w:val="single" w:color="D0D5DE" w:sz="1"/>
              <w:right w:val="single" w:color="D0D5DE" w:sz="1"/>
            </w:tcBorders>
            <w:shd w:fill="1C2B4A"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COORDS</w:t>
            </w:r>
          </w:p>
        </w:tc>
        <w:tc>
          <w:tcPr>
            <w:tcW w:type="dxa" w:w="1100"/>
            <w:tcBorders>
              <w:top w:val="single" w:color="D0D5DE" w:sz="1"/>
              <w:left w:val="single" w:color="D0D5DE" w:sz="1"/>
              <w:bottom w:val="single" w:color="D0D5DE" w:sz="1"/>
              <w:right w:val="single" w:color="D0D5DE" w:sz="1"/>
            </w:tcBorders>
            <w:shd w:fill="1C2B4A"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SECTOR</w:t>
            </w:r>
          </w:p>
        </w:tc>
        <w:tc>
          <w:tcPr>
            <w:tcW w:type="dxa" w:w="1800"/>
            <w:tcBorders>
              <w:top w:val="single" w:color="D0D5DE" w:sz="1"/>
              <w:left w:val="single" w:color="D0D5DE" w:sz="1"/>
              <w:bottom w:val="single" w:color="D0D5DE" w:sz="1"/>
              <w:right w:val="single" w:color="D0D5DE" w:sz="1"/>
            </w:tcBorders>
            <w:shd w:fill="1C2B4A"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LEGAL AUTHORITY</w:t>
            </w:r>
          </w:p>
        </w:tc>
        <w:tc>
          <w:tcPr>
            <w:tcW w:type="dxa" w:w="7780"/>
            <w:tcBorders>
              <w:top w:val="single" w:color="D0D5DE" w:sz="1"/>
              <w:left w:val="single" w:color="D0D5DE" w:sz="1"/>
              <w:bottom w:val="single" w:color="D0D5DE" w:sz="1"/>
              <w:right w:val="single" w:color="D0D5DE" w:sz="1"/>
            </w:tcBorders>
            <w:shd w:fill="1C2B4A" w:val="clear"/>
            <w:tcMar>
              <w:top w:type="dxa" w:w="80"/>
              <w:left w:type="dxa" w:w="120"/>
              <w:bottom w:type="dxa" w:w="80"/>
              <w:right w:type="dxa" w:w="120"/>
            </w:tcMar>
          </w:tcPr>
          <w:p>
            <w:pPr>
              <w:jc w:val="center"/>
            </w:pPr>
            <w:r>
              <w:rPr>
                <w:rFonts w:ascii="Calibri" w:cs="Calibri" w:eastAsia="Calibri" w:hAnsi="Calibri"/>
                <w:b/>
                <w:bCs/>
                <w:color w:val="FFFFFF"/>
                <w:sz w:val="17"/>
                <w:szCs w:val="17"/>
              </w:rPr>
              <w:t xml:space="preserve">RATIONALE FOR TIER I STATUS</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bCs/>
                <w:color w:val="1C2B4A"/>
                <w:sz w:val="17"/>
                <w:szCs w:val="17"/>
              </w:rPr>
              <w:t xml:space="preserve">Skovorodino ESPO Fork</w:t>
            </w:r>
          </w:p>
        </w:tc>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53.98°N, 123.95°E</w:t>
            </w:r>
          </w:p>
        </w:tc>
        <w:tc>
          <w:tcPr>
            <w:tcW w:type="dxa" w:w="11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Oil</w:t>
            </w:r>
          </w:p>
        </w:tc>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w:t>
            </w:r>
          </w:p>
        </w:tc>
        <w:tc>
          <w:tcPr>
            <w:tcW w:type="dxa" w:w="77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Single switch for all ESPO land oil to China (~30M tons/yr). Cannot be rerouted within any operationally relevant timeframe.</w:t>
            </w:r>
          </w:p>
        </w:tc>
      </w:tr>
      <w:tr>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bCs/>
                <w:color w:val="1C2B4A"/>
                <w:sz w:val="17"/>
                <w:szCs w:val="17"/>
              </w:rPr>
              <w:t xml:space="preserve">Zabaykalsk Gauge Switch / Grain Terminal</w:t>
            </w:r>
          </w:p>
        </w:tc>
        <w:tc>
          <w:tcPr>
            <w:tcW w:type="dxa" w:w="12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49.63°N, 117.32°E</w:t>
            </w:r>
          </w:p>
        </w:tc>
        <w:tc>
          <w:tcPr>
            <w:tcW w:type="dxa" w:w="11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Minerals/Ag</w:t>
            </w:r>
          </w:p>
        </w:tc>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 + Secondary</w:t>
            </w:r>
          </w:p>
        </w:tc>
        <w:tc>
          <w:tcPr>
            <w:tcW w:type="dxa" w:w="778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All Russian solid mineral exports and millions of tons of grain physically transit this single crossing. No alternative at comparable capacity.</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bCs/>
                <w:color w:val="1C2B4A"/>
                <w:sz w:val="17"/>
                <w:szCs w:val="17"/>
              </w:rPr>
              <w:t xml:space="preserve">Zvezda Shipyard</w:t>
            </w:r>
          </w:p>
        </w:tc>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43.12°N, 132.48°E</w:t>
            </w:r>
          </w:p>
        </w:tc>
        <w:tc>
          <w:tcPr>
            <w:tcW w:type="dxa" w:w="11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Arctic LNG</w:t>
            </w:r>
          </w:p>
        </w:tc>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 + Secondary</w:t>
            </w:r>
          </w:p>
        </w:tc>
        <w:tc>
          <w:tcPr>
            <w:tcW w:type="dxa" w:w="77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Russia's ONLY Arc7 facility. Without Arc7 production, Arctic LNG is ice-locked in winter. Chinese component supply is the upstream interdiction point.</w:t>
            </w:r>
          </w:p>
        </w:tc>
      </w:tr>
      <w:tr>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bCs/>
                <w:color w:val="1C2B4A"/>
                <w:sz w:val="17"/>
                <w:szCs w:val="17"/>
              </w:rPr>
              <w:t xml:space="preserve">Amurskaya Substation</w:t>
            </w:r>
          </w:p>
        </w:tc>
        <w:tc>
          <w:tcPr>
            <w:tcW w:type="dxa" w:w="12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50.31°N, 127.51°E</w:t>
            </w:r>
          </w:p>
        </w:tc>
        <w:tc>
          <w:tcPr>
            <w:tcW w:type="dxa" w:w="11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Power Grid</w:t>
            </w:r>
          </w:p>
        </w:tc>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 (Rosseti)</w:t>
            </w:r>
          </w:p>
        </w:tc>
        <w:tc>
          <w:tcPr>
            <w:tcW w:type="dxa" w:w="778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Master switch for all Russian power exports to China via 500kV HVDC. Single-node disruption severs entire cross-border electrical supply.</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bCs/>
                <w:color w:val="1C2B4A"/>
                <w:sz w:val="17"/>
                <w:szCs w:val="17"/>
              </w:rPr>
              <w:t xml:space="preserve">BitRiver (Bratsk)</w:t>
            </w:r>
          </w:p>
        </w:tc>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56.13°N, 101.60°E</w:t>
            </w:r>
          </w:p>
        </w:tc>
        <w:tc>
          <w:tcPr>
            <w:tcW w:type="dxa" w:w="11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Crypto/Compute</w:t>
            </w:r>
          </w:p>
        </w:tc>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 §1(a)(i)</w:t>
            </w:r>
          </w:p>
        </w:tc>
        <w:tc>
          <w:tcPr>
            <w:tcW w:type="dxa" w:w="77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Sole economically viable large-scale A7A5 stablecoin compute in Russia. Collocated with Bratsk Dam power. Cannot be replicated at equivalent scale within 90 days.</w:t>
            </w:r>
          </w:p>
        </w:tc>
      </w:tr>
      <w:tr>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bCs/>
                <w:color w:val="1C2B4A"/>
                <w:sz w:val="17"/>
                <w:szCs w:val="17"/>
              </w:rPr>
              <w:t xml:space="preserve">Sabetta LNG Terminal</w:t>
            </w:r>
          </w:p>
        </w:tc>
        <w:tc>
          <w:tcPr>
            <w:tcW w:type="dxa" w:w="12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71.27°N, 72.07°E</w:t>
            </w:r>
          </w:p>
        </w:tc>
        <w:tc>
          <w:tcPr>
            <w:tcW w:type="dxa" w:w="11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Arctic LNG</w:t>
            </w:r>
          </w:p>
        </w:tc>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 + Tanker SDN</w:t>
            </w:r>
          </w:p>
        </w:tc>
        <w:tc>
          <w:tcPr>
            <w:tcW w:type="dxa" w:w="778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Primary Arctic LNG export hub. Chinese equity. Shadow fleet operations originate here. CNPC/CNOOC equity stakes are secondary sanctions leverage.</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bCs/>
                <w:color w:val="1C2B4A"/>
                <w:sz w:val="17"/>
                <w:szCs w:val="17"/>
              </w:rPr>
              <w:t xml:space="preserve">ABCeX (hosting + freeze simultaneously)</w:t>
            </w:r>
          </w:p>
        </w:tc>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55.74°N, 37.53°E</w:t>
            </w:r>
          </w:p>
        </w:tc>
        <w:tc>
          <w:tcPr>
            <w:tcW w:type="dxa" w:w="11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Crypto/Finance</w:t>
            </w:r>
          </w:p>
        </w:tc>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GENIUS Act + IEEPA</w:t>
            </w:r>
          </w:p>
        </w:tc>
        <w:tc>
          <w:tcPr>
            <w:tcW w:type="dxa" w:w="77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$11B+ current settlement. MUST target via hosting embargo + Tether freeze simultaneously — entity designation alone repeats Garantex failure.</w:t>
            </w:r>
          </w:p>
        </w:tc>
      </w:tr>
      <w:tr>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bCs/>
                <w:color w:val="1C2B4A"/>
                <w:sz w:val="17"/>
                <w:szCs w:val="17"/>
              </w:rPr>
              <w:t xml:space="preserve">Leonid Mikhelson (personal designation)</w:t>
            </w:r>
          </w:p>
        </w:tc>
        <w:tc>
          <w:tcPr>
            <w:tcW w:type="dxa" w:w="12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N/A</w:t>
            </w:r>
          </w:p>
        </w:tc>
        <w:tc>
          <w:tcPr>
            <w:tcW w:type="dxa" w:w="11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LNG/Finance</w:t>
            </w:r>
          </w:p>
        </w:tc>
        <w:tc>
          <w:tcPr>
            <w:tcW w:type="dxa" w:w="180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w:t>
            </w:r>
          </w:p>
        </w:tc>
        <w:tc>
          <w:tcPr>
            <w:tcW w:type="dxa" w:w="7780"/>
            <w:tcBorders>
              <w:top w:val="single" w:color="D0D5DE" w:sz="1"/>
              <w:left w:val="single" w:color="D0D5DE" w:sz="1"/>
              <w:bottom w:val="single" w:color="D0D5DE" w:sz="1"/>
              <w:right w:val="single" w:color="D0D5DE" w:sz="1"/>
            </w:tcBorders>
            <w:shd w:fill="F2F4F7"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Controls entire Novatek Arctic LNG chain. Not yet designated by US or EU — single largest designation gap in the network. Requires coordinated US/EU simultaneous action.</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bCs/>
                <w:color w:val="1C2B4A"/>
                <w:sz w:val="17"/>
                <w:szCs w:val="17"/>
              </w:rPr>
              <w:t xml:space="preserve">Ingosstrakh (shadow fleet insurance)</w:t>
            </w:r>
          </w:p>
        </w:tc>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55.76°N, 37.61°E</w:t>
            </w:r>
          </w:p>
        </w:tc>
        <w:tc>
          <w:tcPr>
            <w:tcW w:type="dxa" w:w="11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Finance/Maritime</w:t>
            </w:r>
          </w:p>
        </w:tc>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EO 14024</w:t>
            </w:r>
          </w:p>
        </w:tc>
        <w:tc>
          <w:tcPr>
            <w:tcW w:type="dxa" w:w="77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Calibri" w:cs="Calibri" w:eastAsia="Calibri" w:hAnsi="Calibri"/>
                <w:b w:val="false"/>
                <w:bCs w:val="false"/>
                <w:color w:val="111111"/>
                <w:sz w:val="17"/>
                <w:szCs w:val="17"/>
              </w:rPr>
              <w:t xml:space="preserve">Primary hull insurer for Russian shadow fleet. Designation removes insurance coverage and effectively grounds vessels across non-Western markets.</w:t>
            </w:r>
          </w:p>
        </w:tc>
      </w:tr>
    </w:tbl>
    <w:p>
      <w:pPr>
        <w:spacing w:before="40" w:after="40"/>
      </w:pPr>
      <w:r>
        <w:rPr>
          <w:sz w:val="18"/>
          <w:szCs w:val="18"/>
        </w:rPr>
        <w:t xml:space="preserve"/>
      </w:r>
    </w:p>
    <w:p>
      <w:pPr>
        <w:spacing w:before="40" w:after="40"/>
      </w:pPr>
      <w:r>
        <w:rPr>
          <w:sz w:val="18"/>
          <w:szCs w:val="18"/>
        </w:rPr>
        <w:t xml:space="preserve"/>
      </w:r>
    </w:p>
    <w:p>
      <w:pPr>
        <w:shd w:fill="1C2B4A" w:val="clear"/>
        <w:spacing w:before="0" w:after="0"/>
        <w:jc w:val="center"/>
      </w:pPr>
      <w:r>
        <w:rPr>
          <w:rFonts w:ascii="Calibri" w:cs="Calibri" w:eastAsia="Calibri" w:hAnsi="Calibri"/>
          <w:b/>
          <w:bCs/>
          <w:color w:val="FFFFFF"/>
          <w:sz w:val="17"/>
          <w:szCs w:val="17"/>
        </w:rPr>
        <w:t xml:space="preserve">UNCLASSIFIED  •  OPEN SOURCE  •  WP-2026-SENI-01  •  C. GEORGE  •  MARCH 2026</w:t>
      </w:r>
    </w:p>
    <w:p>
      <w:r>
        <w:br w:type="page"/>
      </w:r>
    </w:p>
    <w:p>
      <w:pPr>
        <w:spacing w:before="240" w:after="120"/>
        <w:rPr>
          <w:rFonts w:ascii="Calibri" w:cs="Calibri" w:eastAsia="Calibri" w:hAnsi="Calibri"/>
          <w:b/>
          <w:bCs/>
          <w:color w:val="1C2B4A"/>
          <w:sz w:val="30"/>
          <w:szCs w:val="30"/>
        </w:rPr>
      </w:pPr>
      <w:r>
        <w:rPr>
          <w:rFonts w:ascii="Calibri" w:cs="Calibri" w:eastAsia="Calibri" w:hAnsi="Calibri"/>
          <w:b/>
          <w:bCs/>
          <w:color w:val="1C2B4A"/>
          <w:sz w:val="30"/>
          <w:szCs w:val="30"/>
        </w:rPr>
        <w:t xml:space="preserve">XVI. Post-Publication Status Corrections (Updated March 2026)</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The following nodes and persons have had material designation status changes since the initial v1 publication of this index. All corrections supersede the status shown in Sections I–XIV. The most significant change is the full blocking designation of Rosneft and Lukoil under EO 14024 (October 22, 2025), which converts those entries from TARGETABLE to DESIGNATED and eliminates the sectoral-only posture that previously applied.</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400"/>
        <w:gridCol w:w="4800"/>
      </w:tblGrid>
      <w:tr>
        <w:tc>
          <w:tcPr>
            <w:tcW w:type="dxa" w:w="2400"/>
            <w:shd w:val="clear" w:color="auto" w:fill="1C2B4A"/>
          </w:tcPr>
          <w:p>
            <w:pPr>
              <w:jc w:val="center"/>
            </w:pPr>
            <w:r>
              <w:rPr>
                <w:rFonts w:ascii="Calibri" w:cs="Calibri" w:eastAsia="Calibri" w:hAnsi="Calibri"/>
                <w:b/>
                <w:bCs/>
                <w:color w:val="FFFFFF"/>
                <w:sz w:val="16"/>
                <w:szCs w:val="16"/>
              </w:rPr>
              <w:t xml:space="preserve">ENTITY</w:t>
            </w:r>
          </w:p>
        </w:tc>
        <w:tc>
          <w:tcPr>
            <w:tcW w:type="dxa" w:w="1800"/>
            <w:shd w:val="clear" w:color="auto" w:fill="1C2B4A"/>
          </w:tcPr>
          <w:p>
            <w:pPr>
              <w:jc w:val="center"/>
            </w:pPr>
            <w:r>
              <w:rPr>
                <w:rFonts w:ascii="Calibri" w:cs="Calibri" w:eastAsia="Calibri" w:hAnsi="Calibri"/>
                <w:b/>
                <w:bCs/>
                <w:color w:val="FFFFFF"/>
                <w:sz w:val="16"/>
                <w:szCs w:val="16"/>
              </w:rPr>
              <w:t xml:space="preserve">PRIOR STATUS</w:t>
            </w:r>
          </w:p>
        </w:tc>
        <w:tc>
          <w:tcPr>
            <w:tcW w:type="dxa" w:w="1800"/>
            <w:shd w:val="clear" w:color="auto" w:fill="1C2B4A"/>
          </w:tcPr>
          <w:p>
            <w:pPr>
              <w:jc w:val="center"/>
            </w:pPr>
            <w:r>
              <w:rPr>
                <w:rFonts w:ascii="Calibri" w:cs="Calibri" w:eastAsia="Calibri" w:hAnsi="Calibri"/>
                <w:b/>
                <w:bCs/>
                <w:color w:val="FFFFFF"/>
                <w:sz w:val="16"/>
                <w:szCs w:val="16"/>
              </w:rPr>
              <w:t xml:space="preserve">CURRENT STATUS</w:t>
            </w:r>
          </w:p>
        </w:tc>
        <w:tc>
          <w:tcPr>
            <w:tcW w:type="dxa" w:w="2400"/>
            <w:shd w:val="clear" w:color="auto" w:fill="1C2B4A"/>
          </w:tcPr>
          <w:p>
            <w:pPr>
              <w:jc w:val="center"/>
            </w:pPr>
            <w:r>
              <w:rPr>
                <w:rFonts w:ascii="Calibri" w:cs="Calibri" w:eastAsia="Calibri" w:hAnsi="Calibri"/>
                <w:b/>
                <w:bCs/>
                <w:color w:val="FFFFFF"/>
                <w:sz w:val="16"/>
                <w:szCs w:val="16"/>
              </w:rPr>
              <w:t xml:space="preserve">AUTHORITY</w:t>
            </w:r>
          </w:p>
        </w:tc>
        <w:tc>
          <w:tcPr>
            <w:tcW w:type="dxa" w:w="4800"/>
            <w:shd w:val="clear" w:color="auto" w:fill="1C2B4A"/>
          </w:tcPr>
          <w:p>
            <w:pPr>
              <w:jc w:val="center"/>
            </w:pPr>
            <w:r>
              <w:rPr>
                <w:rFonts w:ascii="Calibri" w:cs="Calibri" w:eastAsia="Calibri" w:hAnsi="Calibri"/>
                <w:b/>
                <w:bCs/>
                <w:color w:val="FFFFFF"/>
                <w:sz w:val="16"/>
                <w:szCs w:val="16"/>
              </w:rPr>
              <w:t xml:space="preserve">NOTE</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Rosneft Oil Company (+ 34 subsidiaries)</w:t>
            </w:r>
          </w:p>
        </w:tc>
        <w:tc>
          <w:tcPr>
            <w:tcW w:type="dxa" w:w="1800"/>
            <w:shd w:val="clear" w:color="auto" w:fill="EEF2F8"/>
          </w:tcPr>
          <w:p>
            <w:pPr>
              <w:spacing w:before="40" w:after="40"/>
            </w:pPr>
            <w:r>
              <w:rPr>
                <w:rFonts w:ascii="Calibri" w:cs="Calibri" w:eastAsia="Calibri" w:hAnsi="Calibri"/>
                <w:color w:val="000000"/>
                <w:sz w:val="16"/>
                <w:szCs w:val="16"/>
              </w:rPr>
              <w:t xml:space="preserve">PARTIAL (Directive 4 / EO 13662)</w:t>
            </w:r>
          </w:p>
        </w:tc>
        <w:tc>
          <w:tcPr>
            <w:tcW w:type="dxa" w:w="18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400"/>
            <w:shd w:val="clear" w:color="auto" w:fill="EEF2F8"/>
          </w:tcPr>
          <w:p>
            <w:pPr>
              <w:spacing w:before="40" w:after="40"/>
            </w:pPr>
            <w:r>
              <w:rPr>
                <w:rFonts w:ascii="Calibri" w:cs="Calibri" w:eastAsia="Calibri" w:hAnsi="Calibri"/>
                <w:color w:val="000000"/>
                <w:sz w:val="16"/>
                <w:szCs w:val="16"/>
              </w:rPr>
              <w:t xml:space="preserve">EO 14024 §1(a)(i), Oct 22 2025</w:t>
            </w:r>
          </w:p>
        </w:tc>
        <w:tc>
          <w:tcPr>
            <w:tcW w:type="dxa" w:w="4800"/>
            <w:shd w:val="clear" w:color="auto" w:fill="EEF2F8"/>
          </w:tcPr>
          <w:p>
            <w:pPr>
              <w:spacing w:before="40" w:after="40"/>
            </w:pPr>
            <w:r>
              <w:rPr>
                <w:rFonts w:ascii="Calibri" w:cs="Calibri" w:eastAsia="Calibri" w:hAnsi="Calibri"/>
                <w:color w:val="000000"/>
                <w:sz w:val="16"/>
                <w:szCs w:val="16"/>
              </w:rPr>
              <w:t xml:space="preserve">Full blocking. OFAC issued GL 126–128 wind-down authorizations following the Oct 22 2025 designations; these authorizations expired Nov 21 2025. GL 129 was superseded by GL 129A on Mar 5 2026; GL 129A authorizes specified transactions involving Rosneft Deutschland GmbH and RN Refining &amp; Marketing GmbH through Apr 29 2026.</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Lukoil OAO (+ subsidiaries)</w:t>
            </w:r>
          </w:p>
        </w:tc>
        <w:tc>
          <w:tcPr>
            <w:tcW w:type="dxa" w:w="1800"/>
            <w:shd w:val="clear" w:color="auto" w:fill="FFFFFF"/>
          </w:tcPr>
          <w:p>
            <w:pPr>
              <w:spacing w:before="40" w:after="40"/>
            </w:pPr>
            <w:r>
              <w:rPr>
                <w:rFonts w:ascii="Calibri" w:cs="Calibri" w:eastAsia="Calibri" w:hAnsi="Calibri"/>
                <w:color w:val="000000"/>
                <w:sz w:val="16"/>
                <w:szCs w:val="16"/>
              </w:rPr>
              <w:t xml:space="preserve">Not Designated (sectoral only)</w:t>
            </w:r>
          </w:p>
        </w:tc>
        <w:tc>
          <w:tcPr>
            <w:tcW w:type="dxa" w:w="18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400"/>
            <w:shd w:val="clear" w:color="auto" w:fill="FFFFFF"/>
          </w:tcPr>
          <w:p>
            <w:pPr>
              <w:spacing w:before="40" w:after="40"/>
            </w:pPr>
            <w:r>
              <w:rPr>
                <w:rFonts w:ascii="Calibri" w:cs="Calibri" w:eastAsia="Calibri" w:hAnsi="Calibri"/>
                <w:color w:val="000000"/>
                <w:sz w:val="16"/>
                <w:szCs w:val="16"/>
              </w:rPr>
              <w:t xml:space="preserve">EO 14024 §1(a)(i), Oct 22 2025</w:t>
            </w:r>
          </w:p>
        </w:tc>
        <w:tc>
          <w:tcPr>
            <w:tcW w:type="dxa" w:w="4800"/>
            <w:shd w:val="clear" w:color="auto" w:fill="FFFFFF"/>
          </w:tcPr>
          <w:p>
            <w:pPr>
              <w:spacing w:before="40" w:after="40"/>
            </w:pPr>
            <w:r>
              <w:rPr>
                <w:rFonts w:ascii="Calibri" w:cs="Calibri" w:eastAsia="Calibri" w:hAnsi="Calibri"/>
                <w:color w:val="000000"/>
                <w:sz w:val="16"/>
                <w:szCs w:val="16"/>
              </w:rPr>
              <w:t xml:space="preserve">Full blocking. GL 126/127/128 wind-down expired Nov 21 2025. GL 124B carve-out for Caspian Pipeline Consortium (CPC), Tengizchevroil (TCO), and Karachaganak project transactions (GL 124B issued Nov 2025, supersedes GL 124A). Active — no stated expiry.</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Gazprom Neft</w:t>
            </w:r>
          </w:p>
        </w:tc>
        <w:tc>
          <w:tcPr>
            <w:tcW w:type="dxa" w:w="18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400"/>
            <w:shd w:val="clear" w:color="auto" w:fill="EEF2F8"/>
          </w:tcPr>
          <w:p>
            <w:pPr>
              <w:spacing w:before="40" w:after="40"/>
            </w:pPr>
            <w:r>
              <w:rPr>
                <w:rFonts w:ascii="Calibri" w:cs="Calibri" w:eastAsia="Calibri" w:hAnsi="Calibri"/>
                <w:color w:val="000000"/>
                <w:sz w:val="16"/>
                <w:szCs w:val="16"/>
              </w:rPr>
              <w:t xml:space="preserve">Treasury determination under EO 14024 (Jan 10 2025) designating Gazprom Neft and related energy entities; EU 19th package Art. 5aa</w:t>
            </w:r>
          </w:p>
        </w:tc>
        <w:tc>
          <w:tcPr>
            <w:tcW w:type="dxa" w:w="4800"/>
            <w:shd w:val="clear" w:color="auto" w:fill="EEF2F8"/>
          </w:tcPr>
          <w:p>
            <w:pPr>
              <w:spacing w:before="40" w:after="40"/>
            </w:pPr>
            <w:r>
              <w:rPr>
                <w:rFonts w:ascii="Calibri" w:cs="Calibri" w:eastAsia="Calibri" w:hAnsi="Calibri"/>
                <w:color w:val="000000"/>
                <w:sz w:val="16"/>
                <w:szCs w:val="16"/>
              </w:rPr>
              <w:t xml:space="preserve">Treasury determination under EO 14024 (Jan 10 2025). EU 19th package removed remaining exemptions for Gazprom Neft oil/gas imports into EU.</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Shadow Fleet (EU-listed)</w:t>
            </w:r>
          </w:p>
        </w:tc>
        <w:tc>
          <w:tcPr>
            <w:tcW w:type="dxa" w:w="1800"/>
            <w:shd w:val="clear" w:color="auto" w:fill="FFFFFF"/>
          </w:tcPr>
          <w:p>
            <w:pPr>
              <w:spacing w:before="40" w:after="40"/>
            </w:pPr>
            <w:r>
              <w:rPr>
                <w:rFonts w:ascii="Calibri" w:cs="Calibri" w:eastAsia="Calibri" w:hAnsi="Calibri"/>
                <w:color w:val="000000"/>
                <w:sz w:val="16"/>
                <w:szCs w:val="16"/>
              </w:rPr>
              <w:t xml:space="preserve">342 vessels (EU 17th package)</w:t>
            </w:r>
          </w:p>
        </w:tc>
        <w:tc>
          <w:tcPr>
            <w:tcW w:type="dxa" w:w="1800"/>
            <w:shd w:val="clear" w:color="auto" w:fill="FFFFFF"/>
          </w:tcPr>
          <w:p>
            <w:pPr>
              <w:spacing w:before="40" w:after="40"/>
            </w:pPr>
            <w:r>
              <w:rPr>
                <w:rFonts w:ascii="Calibri" w:cs="Calibri" w:eastAsia="Calibri" w:hAnsi="Calibri"/>
                <w:b/>
                <w:bCs/>
                <w:color w:val="000000"/>
                <w:sz w:val="16"/>
                <w:szCs w:val="16"/>
              </w:rPr>
              <w:t xml:space="preserve">557 vessels</w:t>
            </w:r>
          </w:p>
        </w:tc>
        <w:tc>
          <w:tcPr>
            <w:tcW w:type="dxa" w:w="2400"/>
            <w:shd w:val="clear" w:color="auto" w:fill="FFFFFF"/>
          </w:tcPr>
          <w:p>
            <w:pPr>
              <w:spacing w:before="40" w:after="40"/>
            </w:pPr>
            <w:r>
              <w:rPr>
                <w:rFonts w:ascii="Calibri" w:cs="Calibri" w:eastAsia="Calibri" w:hAnsi="Calibri"/>
                <w:color w:val="000000"/>
                <w:sz w:val="16"/>
                <w:szCs w:val="16"/>
              </w:rPr>
              <w:t xml:space="preserve">EU Reg. 833/2014, Annex XLII; 19th package Oct 2025</w:t>
            </w:r>
          </w:p>
        </w:tc>
        <w:tc>
          <w:tcPr>
            <w:tcW w:type="dxa" w:w="4800"/>
            <w:shd w:val="clear" w:color="auto" w:fill="FFFFFF"/>
          </w:tcPr>
          <w:p>
            <w:pPr>
              <w:spacing w:before="40" w:after="40"/>
            </w:pPr>
            <w:r>
              <w:rPr>
                <w:rFonts w:ascii="Calibri" w:cs="Calibri" w:eastAsia="Calibri" w:hAnsi="Calibri"/>
                <w:color w:val="000000"/>
                <w:sz w:val="16"/>
                <w:szCs w:val="16"/>
              </w:rPr>
              <w:t xml:space="preserve">117 vessels added in 19th package. Reinsurance now explicitly prohibited. Litasco Middle East DMCC (Lukoil shadow fleet enabler, UAE) designated.</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Russian LNG — EU import ban</w:t>
            </w:r>
          </w:p>
        </w:tc>
        <w:tc>
          <w:tcPr>
            <w:tcW w:type="dxa" w:w="1800"/>
            <w:shd w:val="clear" w:color="auto" w:fill="EEF2F8"/>
          </w:tcPr>
          <w:p>
            <w:pPr>
              <w:spacing w:before="40" w:after="40"/>
            </w:pPr>
            <w:r>
              <w:rPr>
                <w:rFonts w:ascii="Calibri" w:cs="Calibri" w:eastAsia="Calibri" w:hAnsi="Calibri"/>
                <w:color w:val="000000"/>
                <w:sz w:val="16"/>
                <w:szCs w:val="16"/>
              </w:rPr>
              <w:t xml:space="preserve">No direct ban</w:t>
            </w:r>
          </w:p>
        </w:tc>
        <w:tc>
          <w:tcPr>
            <w:tcW w:type="dxa" w:w="1800"/>
            <w:shd w:val="clear" w:color="auto" w:fill="EEF2F8"/>
          </w:tcPr>
          <w:p>
            <w:pPr>
              <w:spacing w:before="40" w:after="40"/>
            </w:pPr>
            <w:r>
              <w:rPr>
                <w:rFonts w:ascii="Calibri" w:cs="Calibri" w:eastAsia="Calibri" w:hAnsi="Calibri"/>
                <w:b/>
                <w:bCs/>
                <w:color w:val="8B0000"/>
                <w:sz w:val="16"/>
                <w:szCs w:val="16"/>
              </w:rPr>
              <w:t xml:space="preserve">IMMINENT BAN</w:t>
            </w:r>
          </w:p>
        </w:tc>
        <w:tc>
          <w:tcPr>
            <w:tcW w:type="dxa" w:w="2400"/>
            <w:shd w:val="clear" w:color="auto" w:fill="EEF2F8"/>
          </w:tcPr>
          <w:p>
            <w:pPr>
              <w:spacing w:before="40" w:after="40"/>
            </w:pPr>
            <w:r>
              <w:rPr>
                <w:rFonts w:ascii="Calibri" w:cs="Calibri" w:eastAsia="Calibri" w:hAnsi="Calibri"/>
                <w:color w:val="000000"/>
                <w:sz w:val="16"/>
                <w:szCs w:val="16"/>
              </w:rPr>
              <w:t xml:space="preserve">EU 19th package, Reg. 833/2014 Art. 3m</w:t>
            </w:r>
          </w:p>
        </w:tc>
        <w:tc>
          <w:tcPr>
            <w:tcW w:type="dxa" w:w="4800"/>
            <w:shd w:val="clear" w:color="auto" w:fill="EEF2F8"/>
          </w:tcPr>
          <w:p>
            <w:pPr>
              <w:spacing w:before="40" w:after="40"/>
            </w:pPr>
            <w:r>
              <w:rPr>
                <w:rFonts w:ascii="Calibri" w:cs="Calibri" w:eastAsia="Calibri" w:hAnsi="Calibri"/>
                <w:color w:val="000000"/>
                <w:sz w:val="16"/>
                <w:szCs w:val="16"/>
              </w:rPr>
              <w:t xml:space="preserve">EU 19th package introduces an LNG import ban starting January 2027 for long-term contracts (pre-June 17 2025, not materially amended) and within six months of adoption for short-term contracts. Official Council formulation governs; precise implementation dates should be tied to operative EU Reg. 833/2014 Art. 3m text. GL 55E (Sakhalin-2) remains separately in force through Jun 18 2026.</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SPFS / Mir / SBP payment systems</w:t>
            </w:r>
          </w:p>
        </w:tc>
        <w:tc>
          <w:tcPr>
            <w:tcW w:type="dxa" w:w="1800"/>
            <w:shd w:val="clear" w:color="auto" w:fill="FFFFFF"/>
          </w:tcPr>
          <w:p>
            <w:pPr>
              <w:spacing w:before="40" w:after="40"/>
            </w:pPr>
            <w:r>
              <w:rPr>
                <w:rFonts w:ascii="Calibri" w:cs="Calibri" w:eastAsia="Calibri" w:hAnsi="Calibri"/>
                <w:color w:val="000000"/>
                <w:sz w:val="16"/>
                <w:szCs w:val="16"/>
              </w:rPr>
              <w:t xml:space="preserve">SPFS banned for EU banks</w:t>
            </w:r>
          </w:p>
        </w:tc>
        <w:tc>
          <w:tcPr>
            <w:tcW w:type="dxa" w:w="1800"/>
            <w:shd w:val="clear" w:color="auto" w:fill="FFFFFF"/>
          </w:tcPr>
          <w:p>
            <w:pPr>
              <w:spacing w:before="40" w:after="40"/>
            </w:pPr>
            <w:r>
              <w:rPr>
                <w:rFonts w:ascii="Calibri" w:cs="Calibri" w:eastAsia="Calibri" w:hAnsi="Calibri"/>
                <w:b/>
                <w:bCs/>
                <w:color w:val="8B0000"/>
                <w:sz w:val="16"/>
                <w:szCs w:val="16"/>
              </w:rPr>
              <w:t xml:space="preserve">EXPANDED BAN</w:t>
            </w:r>
          </w:p>
        </w:tc>
        <w:tc>
          <w:tcPr>
            <w:tcW w:type="dxa" w:w="2400"/>
            <w:shd w:val="clear" w:color="auto" w:fill="FFFFFF"/>
          </w:tcPr>
          <w:p>
            <w:pPr>
              <w:spacing w:before="40" w:after="40"/>
            </w:pPr>
            <w:r>
              <w:rPr>
                <w:rFonts w:ascii="Calibri" w:cs="Calibri" w:eastAsia="Calibri" w:hAnsi="Calibri"/>
                <w:color w:val="000000"/>
                <w:sz w:val="16"/>
                <w:szCs w:val="16"/>
              </w:rPr>
              <w:t xml:space="preserve">EU Reg. 833/2014 Art. 5af (new); effective Jan 25 2026</w:t>
            </w:r>
          </w:p>
        </w:tc>
        <w:tc>
          <w:tcPr>
            <w:tcW w:type="dxa" w:w="4800"/>
            <w:shd w:val="clear" w:color="auto" w:fill="FFFFFF"/>
          </w:tcPr>
          <w:p>
            <w:pPr>
              <w:spacing w:before="40" w:after="40"/>
            </w:pPr>
            <w:r>
              <w:rPr>
                <w:rFonts w:ascii="Calibri" w:cs="Calibri" w:eastAsia="Calibri" w:hAnsi="Calibri"/>
                <w:color w:val="000000"/>
                <w:sz w:val="16"/>
                <w:szCs w:val="16"/>
              </w:rPr>
              <w:t xml:space="preserve">19th package extended SPFS ban to cover Mir (National Payment Card System) and SBP (Fast Payments System). Operationally material for any bank with residual Russian payment rails.</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Leonid Mikhelson (Novatek)</w:t>
            </w:r>
          </w:p>
        </w:tc>
        <w:tc>
          <w:tcPr>
            <w:tcW w:type="dxa" w:w="1800"/>
            <w:shd w:val="clear" w:color="auto" w:fill="EEF2F8"/>
          </w:tcPr>
          <w:p>
            <w:pPr>
              <w:spacing w:before="40" w:after="40"/>
            </w:pPr>
            <w:r>
              <w:rPr>
                <w:rFonts w:ascii="Calibri" w:cs="Calibri" w:eastAsia="Calibri" w:hAnsi="Calibri"/>
                <w:color w:val="000000"/>
                <w:sz w:val="16"/>
                <w:szCs w:val="16"/>
              </w:rPr>
              <w:t xml:space="preserve">NOT DESIGNATED (US/EU)</w:t>
            </w:r>
          </w:p>
        </w:tc>
        <w:tc>
          <w:tcPr>
            <w:tcW w:type="dxa" w:w="1800"/>
            <w:shd w:val="clear" w:color="auto" w:fill="EEF2F8"/>
          </w:tcPr>
          <w:p>
            <w:pPr>
              <w:spacing w:before="40" w:after="40"/>
            </w:pPr>
            <w:r>
              <w:rPr>
                <w:rFonts w:ascii="Calibri" w:cs="Calibri" w:eastAsia="Calibri" w:hAnsi="Calibri"/>
                <w:b/>
                <w:bCs/>
                <w:color w:val="8B4500"/>
                <w:sz w:val="16"/>
                <w:szCs w:val="16"/>
              </w:rPr>
              <w:t xml:space="preserve">NOT DESIGNATED (US/EU)</w:t>
            </w:r>
          </w:p>
        </w:tc>
        <w:tc>
          <w:tcPr>
            <w:tcW w:type="dxa" w:w="2400"/>
            <w:shd w:val="clear" w:color="auto" w:fill="EEF2F8"/>
          </w:tcPr>
          <w:p>
            <w:pPr>
              <w:spacing w:before="40" w:after="40"/>
            </w:pPr>
            <w:r>
              <w:rPr>
                <w:rFonts w:ascii="Calibri" w:cs="Calibri" w:eastAsia="Calibri" w:hAnsi="Calibri"/>
                <w:color w:val="000000"/>
                <w:sz w:val="16"/>
                <w:szCs w:val="16"/>
              </w:rPr>
              <w:t xml:space="preserve">Gap — EO 14024 nexus exists</w:t>
            </w:r>
          </w:p>
        </w:tc>
        <w:tc>
          <w:tcPr>
            <w:tcW w:type="dxa" w:w="4800"/>
            <w:shd w:val="clear" w:color="auto" w:fill="EEF2F8"/>
          </w:tcPr>
          <w:p>
            <w:pPr>
              <w:spacing w:before="40" w:after="40"/>
            </w:pPr>
            <w:r>
              <w:rPr>
                <w:rFonts w:ascii="Calibri" w:cs="Calibri" w:eastAsia="Calibri" w:hAnsi="Calibri"/>
                <w:color w:val="000000"/>
                <w:sz w:val="16"/>
                <w:szCs w:val="16"/>
              </w:rPr>
              <w:t xml:space="preserve">Still undesignated as of March 2026. ACF War Enablers list (July 2025) documents Putin family financial linkages via Novatek subsidiary. UK/CA/AU/NZ-designated. Coordinated US/EU simultaneous action remains the recommended approach.</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ABCeX / Aeza Group / Media Land</w:t>
            </w:r>
          </w:p>
        </w:tc>
        <w:tc>
          <w:tcPr>
            <w:tcW w:type="dxa" w:w="18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2400"/>
            <w:shd w:val="clear" w:color="auto" w:fill="FFFFFF"/>
          </w:tcPr>
          <w:p>
            <w:pPr>
              <w:spacing w:before="40" w:after="40"/>
            </w:pPr>
            <w:r>
              <w:rPr>
                <w:rFonts w:ascii="Calibri" w:cs="Calibri" w:eastAsia="Calibri" w:hAnsi="Calibri"/>
                <w:color w:val="000000"/>
                <w:sz w:val="16"/>
                <w:szCs w:val="16"/>
              </w:rPr>
              <w:t xml:space="preserve">GENIUS Act, Pub. L. 119-27, 139 Stat. 419 (July 18, 2025) + IEEPA</w:t>
            </w:r>
          </w:p>
        </w:tc>
        <w:tc>
          <w:tcPr>
            <w:tcW w:type="dxa" w:w="4800"/>
            <w:shd w:val="clear" w:color="auto" w:fill="FFFFFF"/>
          </w:tcPr>
          <w:p>
            <w:pPr>
              <w:spacing w:before="40" w:after="40"/>
            </w:pPr>
            <w:r>
              <w:rPr>
                <w:rFonts w:ascii="Calibri" w:cs="Calibri" w:eastAsia="Calibri" w:hAnsi="Calibri"/>
                <w:color w:val="000000"/>
                <w:sz w:val="16"/>
                <w:szCs w:val="16"/>
              </w:rPr>
              <w:t xml:space="preserve">GENIUS Act is now enacted law. §4(a)(5)(A) mandates BSA treatment for all permitted stablecoin issuers, including mandatory freeze/burn/seize capability. ABCeX principals remain unidentified — OFAC investigation priority unchanged.</w:t>
            </w:r>
          </w:p>
        </w:tc>
      </w:tr>
    </w:tbl>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
      </w:r>
    </w:p>
    <w:p>
      <w:r>
        <w:br w:type="page"/>
      </w:r>
    </w:p>
    <w:p>
      <w:pPr>
        <w:spacing w:before="240" w:after="120"/>
        <w:rPr>
          <w:rFonts w:ascii="Calibri" w:cs="Calibri" w:eastAsia="Calibri" w:hAnsi="Calibri"/>
          <w:b/>
          <w:bCs/>
          <w:color w:val="1C2B4A"/>
          <w:sz w:val="30"/>
          <w:szCs w:val="30"/>
        </w:rPr>
      </w:pPr>
      <w:r>
        <w:rPr>
          <w:rFonts w:ascii="Calibri" w:cs="Calibri" w:eastAsia="Calibri" w:hAnsi="Calibri"/>
          <w:b/>
          <w:bCs/>
          <w:color w:val="1C2B4A"/>
          <w:sz w:val="30"/>
          <w:szCs w:val="30"/>
        </w:rPr>
        <w:t xml:space="preserve">XVII. Enforcement Calendar — Forward-Looking Effective Dates</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The following table consolidates all known statutory and regulatory effective dates relevant to this target network as of March 2026. Dates are drawn from enacted legislation (GENIUS Act, S.1582), OFAC General Licenses, EU Regulation 833/2014 as amended by the 19th package, and EO 14024 as amended by EO 14114. This calendar is the operational planning horizon for enforcement and compliance teams.</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2800"/>
        <w:gridCol w:w="4400"/>
      </w:tblGrid>
      <w:tr>
        <w:tc>
          <w:tcPr>
            <w:tcW w:type="dxa" w:w="1800"/>
            <w:shd w:val="clear" w:color="auto" w:fill="1C2B4A"/>
          </w:tcPr>
          <w:p>
            <w:pPr>
              <w:jc w:val="center"/>
            </w:pPr>
            <w:r>
              <w:rPr>
                <w:rFonts w:ascii="Calibri" w:cs="Calibri" w:eastAsia="Calibri" w:hAnsi="Calibri"/>
                <w:b/>
                <w:bCs/>
                <w:color w:val="FFFFFF"/>
                <w:sz w:val="16"/>
                <w:szCs w:val="16"/>
              </w:rPr>
              <w:t xml:space="preserve">EFFECTIVE DATE</w:t>
            </w:r>
          </w:p>
        </w:tc>
        <w:tc>
          <w:tcPr>
            <w:tcW w:type="dxa" w:w="4200"/>
            <w:shd w:val="clear" w:color="auto" w:fill="1C2B4A"/>
          </w:tcPr>
          <w:p>
            <w:pPr>
              <w:jc w:val="center"/>
            </w:pPr>
            <w:r>
              <w:rPr>
                <w:rFonts w:ascii="Calibri" w:cs="Calibri" w:eastAsia="Calibri" w:hAnsi="Calibri"/>
                <w:b/>
                <w:bCs/>
                <w:color w:val="FFFFFF"/>
                <w:sz w:val="16"/>
                <w:szCs w:val="16"/>
              </w:rPr>
              <w:t xml:space="preserve">EVENT</w:t>
            </w:r>
          </w:p>
        </w:tc>
        <w:tc>
          <w:tcPr>
            <w:tcW w:type="dxa" w:w="2800"/>
            <w:shd w:val="clear" w:color="auto" w:fill="1C2B4A"/>
          </w:tcPr>
          <w:p>
            <w:pPr>
              <w:jc w:val="center"/>
            </w:pPr>
            <w:r>
              <w:rPr>
                <w:rFonts w:ascii="Calibri" w:cs="Calibri" w:eastAsia="Calibri" w:hAnsi="Calibri"/>
                <w:b/>
                <w:bCs/>
                <w:color w:val="FFFFFF"/>
                <w:sz w:val="16"/>
                <w:szCs w:val="16"/>
              </w:rPr>
              <w:t xml:space="preserve">LEGAL AUTHORITY</w:t>
            </w:r>
          </w:p>
        </w:tc>
        <w:tc>
          <w:tcPr>
            <w:tcW w:type="dxa" w:w="4400"/>
            <w:shd w:val="clear" w:color="auto" w:fill="1C2B4A"/>
          </w:tcPr>
          <w:p>
            <w:pPr>
              <w:jc w:val="center"/>
            </w:pPr>
            <w:r>
              <w:rPr>
                <w:rFonts w:ascii="Calibri" w:cs="Calibri" w:eastAsia="Calibri" w:hAnsi="Calibri"/>
                <w:b/>
                <w:bCs/>
                <w:color w:val="FFFFFF"/>
                <w:sz w:val="16"/>
                <w:szCs w:val="16"/>
              </w:rPr>
              <w:t xml:space="preserve">ACTION REQUIRED / ENFORCEMENT IMPLICATION</w:t>
            </w:r>
          </w:p>
        </w:tc>
      </w:tr>
      <w:tr>
        <w:tc>
          <w:tcPr>
            <w:tcW w:type="dxa" w:w="1800"/>
            <w:shd w:val="clear" w:color="auto" w:fill="EEF2F8"/>
          </w:tcPr>
          <w:p>
            <w:pPr>
              <w:spacing w:before="40" w:after="40"/>
            </w:pPr>
            <w:r>
              <w:rPr>
                <w:rFonts w:ascii="Calibri" w:cs="Calibri" w:eastAsia="Calibri" w:hAnsi="Calibri"/>
                <w:b/>
                <w:bCs/>
                <w:color w:val="1C2B4A"/>
                <w:sz w:val="16"/>
                <w:szCs w:val="16"/>
              </w:rPr>
              <w:t xml:space="preserve">Nov 21 2025
[ELAPSED]</w:t>
            </w:r>
          </w:p>
        </w:tc>
        <w:tc>
          <w:tcPr>
            <w:tcW w:type="dxa" w:w="4200"/>
            <w:shd w:val="clear" w:color="auto" w:fill="EEF2F8"/>
          </w:tcPr>
          <w:p>
            <w:pPr>
              <w:spacing w:before="40" w:after="40"/>
            </w:pPr>
            <w:r>
              <w:rPr>
                <w:rFonts w:ascii="Calibri" w:cs="Calibri" w:eastAsia="Calibri" w:hAnsi="Calibri"/>
                <w:color w:val="000000"/>
                <w:sz w:val="16"/>
                <w:szCs w:val="16"/>
              </w:rPr>
              <w:t xml:space="preserve">GL 126/127/128 wind-down expired — Rosneft, Lukoil full blocking now in effect. No further authorized transactions.</w:t>
            </w:r>
          </w:p>
        </w:tc>
        <w:tc>
          <w:tcPr>
            <w:tcW w:type="dxa" w:w="2800"/>
            <w:shd w:val="clear" w:color="auto" w:fill="EEF2F8"/>
          </w:tcPr>
          <w:p>
            <w:pPr>
              <w:spacing w:before="40" w:after="40"/>
            </w:pPr>
            <w:r>
              <w:rPr>
                <w:rFonts w:ascii="Calibri" w:cs="Calibri" w:eastAsia="Calibri" w:hAnsi="Calibri"/>
                <w:color w:val="000000"/>
                <w:sz w:val="16"/>
                <w:szCs w:val="16"/>
              </w:rPr>
              <w:t xml:space="preserve">GLs 126/127/128 under EO 14024</w:t>
            </w:r>
          </w:p>
        </w:tc>
        <w:tc>
          <w:tcPr>
            <w:tcW w:type="dxa" w:w="4400"/>
            <w:shd w:val="clear" w:color="auto" w:fill="EEF2F8"/>
          </w:tcPr>
          <w:p>
            <w:pPr>
              <w:spacing w:before="40" w:after="40"/>
            </w:pPr>
            <w:r>
              <w:rPr>
                <w:rFonts w:ascii="Calibri" w:cs="Calibri" w:eastAsia="Calibri" w:hAnsi="Calibri"/>
                <w:color w:val="000000"/>
                <w:sz w:val="16"/>
                <w:szCs w:val="16"/>
              </w:rPr>
              <w:t xml:space="preserve">All US person and FFI exposure to Rosneft/Lukoil must be terminated. GL 129A carve-out for Rosneft Deutschland GmbH and RN Refining &amp; Marketing GmbH only, through Apr 29 2026 (GL 129 superseded by GL 129A on Mar 5 2026).</w:t>
            </w:r>
          </w:p>
        </w:tc>
      </w:tr>
      <w:tr>
        <w:tc>
          <w:tcPr>
            <w:tcW w:type="dxa" w:w="1800"/>
            <w:shd w:val="clear" w:color="auto" w:fill="FFFFFF"/>
          </w:tcPr>
          <w:p>
            <w:pPr>
              <w:spacing w:before="40" w:after="40"/>
            </w:pPr>
            <w:r>
              <w:rPr>
                <w:rFonts w:ascii="Calibri" w:cs="Calibri" w:eastAsia="Calibri" w:hAnsi="Calibri"/>
                <w:b/>
                <w:bCs/>
                <w:color w:val="1C2B4A"/>
                <w:sz w:val="16"/>
                <w:szCs w:val="16"/>
              </w:rPr>
              <w:t xml:space="preserve">Jan 1 2026</w:t>
            </w:r>
          </w:p>
        </w:tc>
        <w:tc>
          <w:tcPr>
            <w:tcW w:type="dxa" w:w="4200"/>
            <w:shd w:val="clear" w:color="auto" w:fill="FFFFFF"/>
          </w:tcPr>
          <w:p>
            <w:pPr>
              <w:spacing w:before="40" w:after="40"/>
            </w:pPr>
            <w:r>
              <w:rPr>
                <w:rFonts w:ascii="Calibri" w:cs="Calibri" w:eastAsia="Calibri" w:hAnsi="Calibri"/>
                <w:color w:val="000000"/>
                <w:sz w:val="16"/>
                <w:szCs w:val="16"/>
              </w:rPr>
              <w:t xml:space="preserve">Full ban on new Russian gas import contracts (pipeline and LNG) for EU operators. No contract volume increases permitted.</w:t>
            </w:r>
          </w:p>
        </w:tc>
        <w:tc>
          <w:tcPr>
            <w:tcW w:type="dxa" w:w="2800"/>
            <w:shd w:val="clear" w:color="auto" w:fill="FFFFFF"/>
          </w:tcPr>
          <w:p>
            <w:pPr>
              <w:spacing w:before="40" w:after="40"/>
            </w:pPr>
            <w:r>
              <w:rPr>
                <w:rFonts w:ascii="Calibri" w:cs="Calibri" w:eastAsia="Calibri" w:hAnsi="Calibri"/>
                <w:color w:val="000000"/>
                <w:sz w:val="16"/>
                <w:szCs w:val="16"/>
              </w:rPr>
              <w:t xml:space="preserve">EU 19th package, Reg. 833/2014</w:t>
            </w:r>
          </w:p>
        </w:tc>
        <w:tc>
          <w:tcPr>
            <w:tcW w:type="dxa" w:w="4400"/>
            <w:shd w:val="clear" w:color="auto" w:fill="FFFFFF"/>
          </w:tcPr>
          <w:p>
            <w:pPr>
              <w:spacing w:before="40" w:after="40"/>
            </w:pPr>
            <w:r>
              <w:rPr>
                <w:rFonts w:ascii="Calibri" w:cs="Calibri" w:eastAsia="Calibri" w:hAnsi="Calibri"/>
                <w:color w:val="000000"/>
                <w:sz w:val="16"/>
                <w:szCs w:val="16"/>
              </w:rPr>
              <w:t xml:space="preserve">EU energy procurement teams: no new or amended contracts. Russian gas substitution planning required.</w:t>
            </w:r>
          </w:p>
        </w:tc>
      </w:tr>
      <w:tr>
        <w:tc>
          <w:tcPr>
            <w:tcW w:type="dxa" w:w="1800"/>
            <w:shd w:val="clear" w:color="auto" w:fill="EEF2F8"/>
          </w:tcPr>
          <w:p>
            <w:pPr>
              <w:spacing w:before="40" w:after="40"/>
            </w:pPr>
            <w:r>
              <w:rPr>
                <w:rFonts w:ascii="Calibri" w:cs="Calibri" w:eastAsia="Calibri" w:hAnsi="Calibri"/>
                <w:b/>
                <w:bCs/>
                <w:color w:val="1C2B4A"/>
                <w:sz w:val="16"/>
                <w:szCs w:val="16"/>
              </w:rPr>
              <w:t xml:space="preserve">Jan 25 2026</w:t>
            </w:r>
          </w:p>
        </w:tc>
        <w:tc>
          <w:tcPr>
            <w:tcW w:type="dxa" w:w="4200"/>
            <w:shd w:val="clear" w:color="auto" w:fill="EEF2F8"/>
          </w:tcPr>
          <w:p>
            <w:pPr>
              <w:spacing w:before="40" w:after="40"/>
            </w:pPr>
            <w:r>
              <w:rPr>
                <w:rFonts w:ascii="Calibri" w:cs="Calibri" w:eastAsia="Calibri" w:hAnsi="Calibri"/>
                <w:color w:val="000000"/>
                <w:sz w:val="16"/>
                <w:szCs w:val="16"/>
              </w:rPr>
              <w:t xml:space="preserve">SPFS ban extended to Mir and SBP payment systems. Ban on maintaining investment/operations in Alabuga and Technopolis Moscow SEZs (Annex LII, Part A).</w:t>
            </w:r>
          </w:p>
        </w:tc>
        <w:tc>
          <w:tcPr>
            <w:tcW w:type="dxa" w:w="2800"/>
            <w:shd w:val="clear" w:color="auto" w:fill="EEF2F8"/>
          </w:tcPr>
          <w:p>
            <w:pPr>
              <w:spacing w:before="40" w:after="40"/>
            </w:pPr>
            <w:r>
              <w:rPr>
                <w:rFonts w:ascii="Calibri" w:cs="Calibri" w:eastAsia="Calibri" w:hAnsi="Calibri"/>
                <w:color w:val="000000"/>
                <w:sz w:val="16"/>
                <w:szCs w:val="16"/>
              </w:rPr>
              <w:t xml:space="preserve">EU Reg. 833/2014 Art. 5af; Art. 5ah (new)</w:t>
            </w:r>
          </w:p>
        </w:tc>
        <w:tc>
          <w:tcPr>
            <w:tcW w:type="dxa" w:w="4400"/>
            <w:shd w:val="clear" w:color="auto" w:fill="EEF2F8"/>
          </w:tcPr>
          <w:p>
            <w:pPr>
              <w:spacing w:before="40" w:after="40"/>
            </w:pPr>
            <w:r>
              <w:rPr>
                <w:rFonts w:ascii="Calibri" w:cs="Calibri" w:eastAsia="Calibri" w:hAnsi="Calibri"/>
                <w:color w:val="000000"/>
                <w:sz w:val="16"/>
                <w:szCs w:val="16"/>
              </w:rPr>
              <w:t xml:space="preserve">Bank compliance: purge Mir/SBP payment rails. Any remaining investment exposure in Alabuga or Technopolis Moscow must be divested.</w:t>
            </w:r>
          </w:p>
        </w:tc>
      </w:tr>
      <w:tr>
        <w:tc>
          <w:tcPr>
            <w:tcW w:type="dxa" w:w="1800"/>
            <w:shd w:val="clear" w:color="auto" w:fill="FFFFFF"/>
          </w:tcPr>
          <w:p>
            <w:pPr>
              <w:spacing w:before="40" w:after="40"/>
            </w:pPr>
            <w:r>
              <w:rPr>
                <w:rFonts w:ascii="Calibri" w:cs="Calibri" w:eastAsia="Calibri" w:hAnsi="Calibri"/>
                <w:b/>
                <w:bCs/>
                <w:color w:val="1C2B4A"/>
                <w:sz w:val="16"/>
                <w:szCs w:val="16"/>
              </w:rPr>
              <w:t xml:space="preserve">Apr 25 2026</w:t>
            </w:r>
          </w:p>
        </w:tc>
        <w:tc>
          <w:tcPr>
            <w:tcW w:type="dxa" w:w="4200"/>
            <w:shd w:val="clear" w:color="auto" w:fill="FFFFFF"/>
          </w:tcPr>
          <w:p>
            <w:pPr>
              <w:spacing w:before="40" w:after="40"/>
            </w:pPr>
            <w:r>
              <w:rPr>
                <w:rFonts w:ascii="Calibri" w:cs="Calibri" w:eastAsia="Calibri" w:hAnsi="Calibri"/>
                <w:color w:val="000000"/>
                <w:sz w:val="16"/>
                <w:szCs w:val="16"/>
              </w:rPr>
              <w:t xml:space="preserve">EU ban on import of Russian LNG (short-term contracts, under 1 year). Also: ceramic goods (HS 6909.19) export wind-down expires.</w:t>
            </w:r>
          </w:p>
        </w:tc>
        <w:tc>
          <w:tcPr>
            <w:tcW w:type="dxa" w:w="2800"/>
            <w:shd w:val="clear" w:color="auto" w:fill="FFFFFF"/>
          </w:tcPr>
          <w:p>
            <w:pPr>
              <w:spacing w:before="40" w:after="40"/>
            </w:pPr>
            <w:r>
              <w:rPr>
                <w:rFonts w:ascii="Calibri" w:cs="Calibri" w:eastAsia="Calibri" w:hAnsi="Calibri"/>
                <w:color w:val="000000"/>
                <w:sz w:val="16"/>
                <w:szCs w:val="16"/>
              </w:rPr>
              <w:t xml:space="preserve">EU 19th package, Reg. 833/2014 Art. 3m</w:t>
            </w:r>
          </w:p>
        </w:tc>
        <w:tc>
          <w:tcPr>
            <w:tcW w:type="dxa" w:w="4400"/>
            <w:shd w:val="clear" w:color="auto" w:fill="FFFFFF"/>
          </w:tcPr>
          <w:p>
            <w:pPr>
              <w:spacing w:before="40" w:after="40"/>
            </w:pPr>
            <w:r>
              <w:rPr>
                <w:rFonts w:ascii="Calibri" w:cs="Calibri" w:eastAsia="Calibri" w:hAnsi="Calibri"/>
                <w:color w:val="000000"/>
                <w:sz w:val="16"/>
                <w:szCs w:val="16"/>
              </w:rPr>
              <w:t xml:space="preserve">EU LNG importers: terminate short-term Russian LNG contracts. Sabetta/Arctic LNG 2 cargo deliveries to EU ports illegal after this date for affected contracts.</w:t>
            </w:r>
          </w:p>
        </w:tc>
      </w:tr>
      <w:tr>
        <w:tc>
          <w:tcPr>
            <w:tcW w:type="dxa" w:w="1800"/>
            <w:shd w:val="clear" w:color="auto" w:fill="EEF2F8"/>
          </w:tcPr>
          <w:p>
            <w:pPr>
              <w:spacing w:before="40" w:after="40"/>
            </w:pPr>
            <w:r>
              <w:rPr>
                <w:rFonts w:ascii="Calibri" w:cs="Calibri" w:eastAsia="Calibri" w:hAnsi="Calibri"/>
                <w:b/>
                <w:bCs/>
                <w:color w:val="1C2B4A"/>
                <w:sz w:val="16"/>
                <w:szCs w:val="16"/>
              </w:rPr>
              <w:t xml:space="preserve">Apr 29 2026</w:t>
            </w:r>
          </w:p>
        </w:tc>
        <w:tc>
          <w:tcPr>
            <w:tcW w:type="dxa" w:w="4200"/>
            <w:shd w:val="clear" w:color="auto" w:fill="EEF2F8"/>
          </w:tcPr>
          <w:p>
            <w:pPr>
              <w:spacing w:before="40" w:after="40"/>
            </w:pPr>
            <w:r>
              <w:rPr>
                <w:rFonts w:ascii="Calibri" w:cs="Calibri" w:eastAsia="Calibri" w:hAnsi="Calibri"/>
                <w:color w:val="000000"/>
                <w:sz w:val="16"/>
                <w:szCs w:val="16"/>
              </w:rPr>
              <w:t xml:space="preserve">GL 129A expires — authorized transactions involving Rosneft Deutschland GmbH and RN Refining &amp; Marketing GmbH terminate (GL 129 was superseded by GL 129A on Mar 5 2026).</w:t>
            </w:r>
          </w:p>
        </w:tc>
        <w:tc>
          <w:tcPr>
            <w:tcW w:type="dxa" w:w="2800"/>
            <w:shd w:val="clear" w:color="auto" w:fill="EEF2F8"/>
          </w:tcPr>
          <w:p>
            <w:pPr>
              <w:spacing w:before="40" w:after="40"/>
            </w:pPr>
            <w:r>
              <w:rPr>
                <w:rFonts w:ascii="Calibri" w:cs="Calibri" w:eastAsia="Calibri" w:hAnsi="Calibri"/>
                <w:color w:val="000000"/>
                <w:sz w:val="16"/>
                <w:szCs w:val="16"/>
              </w:rPr>
              <w:t xml:space="preserve">GL 129A under EO 14024 (supersedes GL 129, Mar 5 2026)</w:t>
            </w:r>
          </w:p>
        </w:tc>
        <w:tc>
          <w:tcPr>
            <w:tcW w:type="dxa" w:w="4400"/>
            <w:shd w:val="clear" w:color="auto" w:fill="EEF2F8"/>
          </w:tcPr>
          <w:p>
            <w:pPr>
              <w:spacing w:before="40" w:after="40"/>
            </w:pPr>
            <w:r>
              <w:rPr>
                <w:rFonts w:ascii="Calibri" w:cs="Calibri" w:eastAsia="Calibri" w:hAnsi="Calibri"/>
                <w:color w:val="000000"/>
                <w:sz w:val="16"/>
                <w:szCs w:val="16"/>
              </w:rPr>
              <w:t xml:space="preserve">Wind down all remaining Rosneft Deutschland/RN Refining transactions. No extension expected given enforcement trajectory.</w:t>
            </w:r>
          </w:p>
        </w:tc>
      </w:tr>
      <w:tr>
        <w:tc>
          <w:tcPr>
            <w:tcW w:type="dxa" w:w="1800"/>
            <w:shd w:val="clear" w:color="auto" w:fill="FFFFFF"/>
          </w:tcPr>
          <w:p>
            <w:pPr>
              <w:spacing w:before="40" w:after="40"/>
            </w:pPr>
            <w:r>
              <w:rPr>
                <w:rFonts w:ascii="Calibri" w:cs="Calibri" w:eastAsia="Calibri" w:hAnsi="Calibri"/>
                <w:b/>
                <w:bCs/>
                <w:color w:val="1C2B4A"/>
                <w:sz w:val="16"/>
                <w:szCs w:val="16"/>
              </w:rPr>
              <w:t xml:space="preserve">Jan 1 2027</w:t>
            </w:r>
          </w:p>
        </w:tc>
        <w:tc>
          <w:tcPr>
            <w:tcW w:type="dxa" w:w="4200"/>
            <w:shd w:val="clear" w:color="auto" w:fill="FFFFFF"/>
          </w:tcPr>
          <w:p>
            <w:pPr>
              <w:spacing w:before="40" w:after="40"/>
            </w:pPr>
            <w:r>
              <w:rPr>
                <w:rFonts w:ascii="Calibri" w:cs="Calibri" w:eastAsia="Calibri" w:hAnsi="Calibri"/>
                <w:color w:val="000000"/>
                <w:sz w:val="16"/>
                <w:szCs w:val="16"/>
              </w:rPr>
              <w:t xml:space="preserve">EU ban on import of Russian LNG (long-term contracts over 1 year, pre-June 17 2025, not materially amended). Effectively closes all remaining EU LNG import pathways from Russia.</w:t>
            </w:r>
          </w:p>
        </w:tc>
        <w:tc>
          <w:tcPr>
            <w:tcW w:type="dxa" w:w="2800"/>
            <w:shd w:val="clear" w:color="auto" w:fill="FFFFFF"/>
          </w:tcPr>
          <w:p>
            <w:pPr>
              <w:spacing w:before="40" w:after="40"/>
            </w:pPr>
            <w:r>
              <w:rPr>
                <w:rFonts w:ascii="Calibri" w:cs="Calibri" w:eastAsia="Calibri" w:hAnsi="Calibri"/>
                <w:color w:val="000000"/>
                <w:sz w:val="16"/>
                <w:szCs w:val="16"/>
              </w:rPr>
              <w:t xml:space="preserve">EU 19th package, Reg. 833/2014 Art. 3m</w:t>
            </w:r>
          </w:p>
        </w:tc>
        <w:tc>
          <w:tcPr>
            <w:tcW w:type="dxa" w:w="4400"/>
            <w:shd w:val="clear" w:color="auto" w:fill="FFFFFF"/>
          </w:tcPr>
          <w:p>
            <w:pPr>
              <w:spacing w:before="40" w:after="40"/>
            </w:pPr>
            <w:r>
              <w:rPr>
                <w:rFonts w:ascii="Calibri" w:cs="Calibri" w:eastAsia="Calibri" w:hAnsi="Calibri"/>
                <w:color w:val="000000"/>
                <w:sz w:val="16"/>
                <w:szCs w:val="16"/>
              </w:rPr>
              <w:t xml:space="preserve">Full EU-Russia LNG severance. Arctic LNG 2 and Yamal LNG EU-bound cargo deliveries prohibited. Beihai (China) becomes primary remaining offtake destination.</w:t>
            </w:r>
          </w:p>
        </w:tc>
      </w:tr>
      <w:tr>
        <w:tc>
          <w:tcPr>
            <w:tcW w:type="dxa" w:w="1800"/>
            <w:shd w:val="clear" w:color="auto" w:fill="EEF2F8"/>
          </w:tcPr>
          <w:p>
            <w:pPr>
              <w:spacing w:before="40" w:after="40"/>
            </w:pPr>
            <w:r>
              <w:rPr>
                <w:rFonts w:ascii="Calibri" w:cs="Calibri" w:eastAsia="Calibri" w:hAnsi="Calibri"/>
                <w:b/>
                <w:bCs/>
                <w:color w:val="1C2B4A"/>
                <w:sz w:val="16"/>
                <w:szCs w:val="16"/>
              </w:rPr>
              <w:t xml:space="preserve">Dec 31 2026</w:t>
            </w:r>
          </w:p>
        </w:tc>
        <w:tc>
          <w:tcPr>
            <w:tcW w:type="dxa" w:w="4200"/>
            <w:shd w:val="clear" w:color="auto" w:fill="EEF2F8"/>
          </w:tcPr>
          <w:p>
            <w:pPr>
              <w:spacing w:before="40" w:after="40"/>
            </w:pPr>
            <w:r>
              <w:rPr>
                <w:rFonts w:ascii="Calibri" w:cs="Calibri" w:eastAsia="Calibri" w:hAnsi="Calibri"/>
                <w:color w:val="000000"/>
                <w:sz w:val="16"/>
                <w:szCs w:val="16"/>
              </w:rPr>
              <w:t xml:space="preserve">EU exit transaction derogation deadline. All EU persons must have completed wind-down of Russia operations under sale/supply/transfer derogations.</w:t>
            </w:r>
          </w:p>
        </w:tc>
        <w:tc>
          <w:tcPr>
            <w:tcW w:type="dxa" w:w="2800"/>
            <w:shd w:val="clear" w:color="auto" w:fill="EEF2F8"/>
          </w:tcPr>
          <w:p>
            <w:pPr>
              <w:spacing w:before="40" w:after="40"/>
            </w:pPr>
            <w:r>
              <w:rPr>
                <w:rFonts w:ascii="Calibri" w:cs="Calibri" w:eastAsia="Calibri" w:hAnsi="Calibri"/>
                <w:color w:val="000000"/>
                <w:sz w:val="16"/>
                <w:szCs w:val="16"/>
              </w:rPr>
              <w:t xml:space="preserve">EU Reg. 833/2014 Art. 5aa(3)(d)</w:t>
            </w:r>
          </w:p>
        </w:tc>
        <w:tc>
          <w:tcPr>
            <w:tcW w:type="dxa" w:w="4400"/>
            <w:shd w:val="clear" w:color="auto" w:fill="EEF2F8"/>
          </w:tcPr>
          <w:p>
            <w:pPr>
              <w:spacing w:before="40" w:after="40"/>
            </w:pPr>
            <w:r>
              <w:rPr>
                <w:rFonts w:ascii="Calibri" w:cs="Calibri" w:eastAsia="Calibri" w:hAnsi="Calibri"/>
                <w:color w:val="000000"/>
                <w:sz w:val="16"/>
                <w:szCs w:val="16"/>
              </w:rPr>
              <w:t xml:space="preserve">Final deadline for orderly exit from Russia operations for EU entities. Acceleration of divestments recommended to avoid last-minute OFAC/EU enforcement risk.</w:t>
            </w:r>
          </w:p>
        </w:tc>
      </w:tr>
      <w:tr>
        <w:tc>
          <w:tcPr>
            <w:tcW w:type="dxa" w:w="1800"/>
            <w:shd w:val="clear" w:color="auto" w:fill="FFFFFF"/>
          </w:tcPr>
          <w:p>
            <w:pPr>
              <w:spacing w:before="40" w:after="40"/>
            </w:pPr>
            <w:r>
              <w:rPr>
                <w:rFonts w:ascii="Calibri" w:cs="Calibri" w:eastAsia="Calibri" w:hAnsi="Calibri"/>
                <w:b/>
                <w:bCs/>
                <w:color w:val="1C2B4A"/>
                <w:sz w:val="16"/>
                <w:szCs w:val="16"/>
              </w:rPr>
              <w:t xml:space="preserve">~Jan 2027</w:t>
            </w:r>
          </w:p>
        </w:tc>
        <w:tc>
          <w:tcPr>
            <w:tcW w:type="dxa" w:w="4200"/>
            <w:shd w:val="clear" w:color="auto" w:fill="FFFFFF"/>
          </w:tcPr>
          <w:p>
            <w:pPr>
              <w:spacing w:before="40" w:after="40"/>
            </w:pPr>
            <w:r>
              <w:rPr>
                <w:rFonts w:ascii="Calibri" w:cs="Calibri" w:eastAsia="Calibri" w:hAnsi="Calibri"/>
                <w:color w:val="000000"/>
                <w:sz w:val="16"/>
                <w:szCs w:val="16"/>
              </w:rPr>
              <w:t xml:space="preserve">PoS-1 designed capacity (~38 BCM/yr) reached; Dalnerechensk Far East gas route operational (Jan 2027 target). Russia-China gas interdependence deepens.</w:t>
            </w:r>
          </w:p>
        </w:tc>
        <w:tc>
          <w:tcPr>
            <w:tcW w:type="dxa" w:w="2800"/>
            <w:shd w:val="clear" w:color="auto" w:fill="FFFFFF"/>
          </w:tcPr>
          <w:p>
            <w:pPr>
              <w:spacing w:before="40" w:after="40"/>
            </w:pPr>
            <w:r>
              <w:rPr>
                <w:rFonts w:ascii="Calibri" w:cs="Calibri" w:eastAsia="Calibri" w:hAnsi="Calibri"/>
                <w:color w:val="000000"/>
                <w:sz w:val="16"/>
                <w:szCs w:val="16"/>
              </w:rPr>
              <w:t xml:space="preserve">Monitor — not a sanctions deadline</w:t>
            </w:r>
          </w:p>
        </w:tc>
        <w:tc>
          <w:tcPr>
            <w:tcW w:type="dxa" w:w="4400"/>
            <w:shd w:val="clear" w:color="auto" w:fill="FFFFFF"/>
          </w:tcPr>
          <w:p>
            <w:pPr>
              <w:spacing w:before="40" w:after="40"/>
            </w:pPr>
            <w:r>
              <w:rPr>
                <w:rFonts w:ascii="Calibri" w:cs="Calibri" w:eastAsia="Calibri" w:hAnsi="Calibri"/>
                <w:color w:val="000000"/>
                <w:sz w:val="16"/>
                <w:szCs w:val="16"/>
              </w:rPr>
              <w:t xml:space="preserve">Pre-emptive designation of Gazprom construction entities for Dalnerechensk recommended before operational milestone. Window is closing.</w:t>
            </w:r>
          </w:p>
        </w:tc>
      </w:tr>
      <w:tr>
        <w:tc>
          <w:tcPr>
            <w:tcW w:type="dxa" w:w="1800"/>
            <w:shd w:val="clear" w:color="auto" w:fill="EEF2F8"/>
          </w:tcPr>
          <w:p>
            <w:pPr>
              <w:spacing w:before="40" w:after="40"/>
            </w:pPr>
            <w:r>
              <w:rPr>
                <w:rFonts w:ascii="Calibri" w:cs="Calibri" w:eastAsia="Calibri" w:hAnsi="Calibri"/>
                <w:b/>
                <w:bCs/>
                <w:color w:val="1C2B4A"/>
                <w:sz w:val="16"/>
                <w:szCs w:val="16"/>
              </w:rPr>
              <w:t xml:space="preserve">18 mo. from Jul 18 2025
(~Jan 2027)</w:t>
            </w:r>
          </w:p>
        </w:tc>
        <w:tc>
          <w:tcPr>
            <w:tcW w:type="dxa" w:w="4200"/>
            <w:shd w:val="clear" w:color="auto" w:fill="EEF2F8"/>
          </w:tcPr>
          <w:p>
            <w:pPr>
              <w:spacing w:before="40" w:after="40"/>
            </w:pPr>
            <w:r>
              <w:rPr>
                <w:rFonts w:ascii="Calibri" w:cs="Calibri" w:eastAsia="Calibri" w:hAnsi="Calibri"/>
                <w:color w:val="000000"/>
                <w:sz w:val="16"/>
                <w:szCs w:val="16"/>
              </w:rPr>
              <w:t xml:space="preserve">GENIUS Act (S.1582) full implementation deadline. All permitted payment stablecoin issuers must have BSA/AML programs, sanctions screening, and freeze/burn/seize capability operational.</w:t>
            </w:r>
          </w:p>
        </w:tc>
        <w:tc>
          <w:tcPr>
            <w:tcW w:type="dxa" w:w="2800"/>
            <w:shd w:val="clear" w:color="auto" w:fill="EEF2F8"/>
          </w:tcPr>
          <w:p>
            <w:pPr>
              <w:spacing w:before="40" w:after="40"/>
            </w:pPr>
            <w:r>
              <w:rPr>
                <w:rFonts w:ascii="Calibri" w:cs="Calibri" w:eastAsia="Calibri" w:hAnsi="Calibri"/>
                <w:color w:val="000000"/>
                <w:sz w:val="16"/>
                <w:szCs w:val="16"/>
              </w:rPr>
              <w:t xml:space="preserve">GENIUS Act §4(a)(5)(A); Bank Secrecy Act</w:t>
            </w:r>
          </w:p>
        </w:tc>
        <w:tc>
          <w:tcPr>
            <w:tcW w:type="dxa" w:w="4400"/>
            <w:shd w:val="clear" w:color="auto" w:fill="EEF2F8"/>
          </w:tcPr>
          <w:p>
            <w:pPr>
              <w:spacing w:before="40" w:after="40"/>
            </w:pPr>
            <w:r>
              <w:rPr>
                <w:rFonts w:ascii="Calibri" w:cs="Calibri" w:eastAsia="Calibri" w:hAnsi="Calibri"/>
                <w:color w:val="000000"/>
                <w:sz w:val="16"/>
                <w:szCs w:val="16"/>
              </w:rPr>
              <w:t xml:space="preserve">A7A5 (Grinex/Meer, Kyrgyzstan) and any USD-denominated stablecoin used for Russia sanctions evasion becomes directly subject to Treasury enforcement once framework is effective. Task FinCEN to designate non-compliant foreign issuers.</w:t>
            </w:r>
          </w:p>
        </w:tc>
      </w:tr>
      <w:tr>
        <w:tc>
          <w:tcPr>
            <w:tcW w:type="dxa" w:w="1800"/>
            <w:shd w:val="clear" w:color="auto" w:fill="FFFFFF"/>
          </w:tcPr>
          <w:p>
            <w:pPr>
              <w:spacing w:before="40" w:after="40"/>
            </w:pPr>
            <w:r>
              <w:rPr>
                <w:rFonts w:ascii="Calibri" w:cs="Calibri" w:eastAsia="Calibri" w:hAnsi="Calibri"/>
                <w:b/>
                <w:bCs/>
                <w:color w:val="1C2B4A"/>
                <w:sz w:val="16"/>
                <w:szCs w:val="16"/>
              </w:rPr>
              <w:t xml:space="preserve">Anticipated 2026</w:t>
            </w:r>
          </w:p>
        </w:tc>
        <w:tc>
          <w:tcPr>
            <w:tcW w:type="dxa" w:w="4200"/>
            <w:shd w:val="clear" w:color="auto" w:fill="FFFFFF"/>
          </w:tcPr>
          <w:p>
            <w:pPr>
              <w:spacing w:before="40" w:after="40"/>
            </w:pPr>
            <w:r>
              <w:rPr>
                <w:rFonts w:ascii="Calibri" w:cs="Calibri" w:eastAsia="Calibri" w:hAnsi="Calibri"/>
                <w:color w:val="000000"/>
                <w:sz w:val="16"/>
                <w:szCs w:val="16"/>
              </w:rPr>
              <w:t xml:space="preserve">Analyst projection: possible EU 20th sanctions package. Analytical forecast only — not enacted law, not an adopted deadline, and not suitable for citation as current legal authority. Based on publicly reported preparatory activity and prior package patterns.</w:t>
            </w:r>
          </w:p>
        </w:tc>
        <w:tc>
          <w:tcPr>
            <w:tcW w:type="dxa" w:w="2800"/>
            <w:shd w:val="clear" w:color="auto" w:fill="FFFFFF"/>
          </w:tcPr>
          <w:p>
            <w:pPr>
              <w:spacing w:before="40" w:after="40"/>
            </w:pPr>
            <w:r>
              <w:rPr>
                <w:rFonts w:ascii="Calibri" w:cs="Calibri" w:eastAsia="Calibri" w:hAnsi="Calibri"/>
                <w:color w:val="000000"/>
                <w:sz w:val="16"/>
                <w:szCs w:val="16"/>
              </w:rPr>
              <w:t xml:space="preserve">EU Council — anticipated</w:t>
            </w:r>
          </w:p>
        </w:tc>
        <w:tc>
          <w:tcPr>
            <w:tcW w:type="dxa" w:w="4400"/>
            <w:shd w:val="clear" w:color="auto" w:fill="FFFFFF"/>
          </w:tcPr>
          <w:p>
            <w:pPr>
              <w:spacing w:before="40" w:after="40"/>
            </w:pPr>
            <w:r>
              <w:rPr>
                <w:rFonts w:ascii="Calibri" w:cs="Calibri" w:eastAsia="Calibri" w:hAnsi="Calibri"/>
                <w:color w:val="000000"/>
                <w:sz w:val="16"/>
                <w:szCs w:val="16"/>
              </w:rPr>
              <w:t xml:space="preserve">Monitor for CNPC/CNOOC secondary exposure triggers and expansion of Article 5aa transaction bans to additional state-owned energy companies.</w:t>
            </w:r>
          </w:p>
        </w:tc>
      </w:tr>
    </w:tbl>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
      </w:r>
    </w:p>
    <w:p>
      <w:r>
        <w:br w:type="page"/>
      </w:r>
    </w:p>
    <w:p>
      <w:pPr>
        <w:spacing w:before="240" w:after="120"/>
        <w:rPr>
          <w:rFonts w:ascii="Calibri" w:cs="Calibri" w:eastAsia="Calibri" w:hAnsi="Calibri"/>
          <w:b/>
          <w:bCs/>
          <w:color w:val="1C2B4A"/>
          <w:sz w:val="30"/>
          <w:szCs w:val="30"/>
        </w:rPr>
      </w:pPr>
      <w:r>
        <w:rPr>
          <w:rFonts w:ascii="Calibri" w:cs="Calibri" w:eastAsia="Calibri" w:hAnsi="Calibri"/>
          <w:b/>
          <w:bCs/>
          <w:color w:val="1C2B4A"/>
          <w:sz w:val="30"/>
          <w:szCs w:val="30"/>
        </w:rPr>
        <w:t xml:space="preserve">XVIII. General License Risk Matrix and Wind-Down Exposure</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This section catalogs the OFAC General Licenses most relevant to parties with residual Russia/China exposure in this network. GL status is as of March 2026. Wind-down licenses with elapsed deadlines are noted; continued reliance on elapsed GLs constitutes a sanctions violation. EO 14024 §11 secondary sanctions risk attaches to all blocked persons listed below.</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400"/>
        <w:gridCol w:w="1800"/>
        <w:gridCol w:w="5200"/>
      </w:tblGrid>
      <w:tr>
        <w:tc>
          <w:tcPr>
            <w:tcW w:type="dxa" w:w="1200"/>
            <w:shd w:val="clear" w:color="auto" w:fill="1C2B4A"/>
          </w:tcPr>
          <w:p>
            <w:pPr>
              <w:jc w:val="center"/>
            </w:pPr>
            <w:r>
              <w:rPr>
                <w:rFonts w:ascii="Calibri" w:cs="Calibri" w:eastAsia="Calibri" w:hAnsi="Calibri"/>
                <w:b/>
                <w:bCs/>
                <w:color w:val="FFFFFF"/>
                <w:sz w:val="16"/>
                <w:szCs w:val="16"/>
              </w:rPr>
              <w:t xml:space="preserve">GL / AUTHORITY</w:t>
            </w:r>
          </w:p>
        </w:tc>
        <w:tc>
          <w:tcPr>
            <w:tcW w:type="dxa" w:w="3600"/>
            <w:shd w:val="clear" w:color="auto" w:fill="1C2B4A"/>
          </w:tcPr>
          <w:p>
            <w:pPr>
              <w:jc w:val="center"/>
            </w:pPr>
            <w:r>
              <w:rPr>
                <w:rFonts w:ascii="Calibri" w:cs="Calibri" w:eastAsia="Calibri" w:hAnsi="Calibri"/>
                <w:b/>
                <w:bCs/>
                <w:color w:val="FFFFFF"/>
                <w:sz w:val="16"/>
                <w:szCs w:val="16"/>
              </w:rPr>
              <w:t xml:space="preserve">SCOPE</w:t>
            </w:r>
          </w:p>
        </w:tc>
        <w:tc>
          <w:tcPr>
            <w:tcW w:type="dxa" w:w="1400"/>
            <w:shd w:val="clear" w:color="auto" w:fill="1C2B4A"/>
          </w:tcPr>
          <w:p>
            <w:pPr>
              <w:jc w:val="center"/>
            </w:pPr>
            <w:r>
              <w:rPr>
                <w:rFonts w:ascii="Calibri" w:cs="Calibri" w:eastAsia="Calibri" w:hAnsi="Calibri"/>
                <w:b/>
                <w:bCs/>
                <w:color w:val="FFFFFF"/>
                <w:sz w:val="16"/>
                <w:szCs w:val="16"/>
              </w:rPr>
              <w:t xml:space="preserve">STATUS</w:t>
            </w:r>
          </w:p>
        </w:tc>
        <w:tc>
          <w:tcPr>
            <w:tcW w:type="dxa" w:w="1800"/>
            <w:shd w:val="clear" w:color="auto" w:fill="1C2B4A"/>
          </w:tcPr>
          <w:p>
            <w:pPr>
              <w:jc w:val="center"/>
            </w:pPr>
            <w:r>
              <w:rPr>
                <w:rFonts w:ascii="Calibri" w:cs="Calibri" w:eastAsia="Calibri" w:hAnsi="Calibri"/>
                <w:b/>
                <w:bCs/>
                <w:color w:val="FFFFFF"/>
                <w:sz w:val="16"/>
                <w:szCs w:val="16"/>
              </w:rPr>
              <w:t xml:space="preserve">DEADLINE</w:t>
            </w:r>
          </w:p>
        </w:tc>
        <w:tc>
          <w:tcPr>
            <w:tcW w:type="dxa" w:w="5200"/>
            <w:shd w:val="clear" w:color="auto" w:fill="1C2B4A"/>
          </w:tcPr>
          <w:p>
            <w:pPr>
              <w:jc w:val="center"/>
            </w:pPr>
            <w:r>
              <w:rPr>
                <w:rFonts w:ascii="Calibri" w:cs="Calibri" w:eastAsia="Calibri" w:hAnsi="Calibri"/>
                <w:b/>
                <w:bCs/>
                <w:color w:val="FFFFFF"/>
                <w:sz w:val="16"/>
                <w:szCs w:val="16"/>
              </w:rPr>
              <w:t xml:space="preserve">NOTES</w:t>
            </w:r>
          </w:p>
        </w:tc>
      </w:tr>
      <w:tr>
        <w:tc>
          <w:tcPr>
            <w:tcW w:type="dxa" w:w="1200"/>
            <w:shd w:val="clear" w:color="auto" w:fill="EEF2F8"/>
          </w:tcPr>
          <w:p>
            <w:pPr>
              <w:spacing w:before="40" w:after="40"/>
            </w:pPr>
            <w:r>
              <w:rPr>
                <w:rFonts w:ascii="Calibri" w:cs="Calibri" w:eastAsia="Calibri" w:hAnsi="Calibri"/>
                <w:b/>
                <w:bCs/>
                <w:color w:val="000000"/>
                <w:sz w:val="16"/>
                <w:szCs w:val="16"/>
              </w:rPr>
              <w:t xml:space="preserve">GL 126</w:t>
            </w:r>
          </w:p>
        </w:tc>
        <w:tc>
          <w:tcPr>
            <w:tcW w:type="dxa" w:w="3600"/>
            <w:shd w:val="clear" w:color="auto" w:fill="EEF2F8"/>
          </w:tcPr>
          <w:p>
            <w:pPr>
              <w:spacing w:before="40" w:after="40"/>
            </w:pPr>
            <w:r>
              <w:rPr>
                <w:rFonts w:ascii="Calibri" w:cs="Calibri" w:eastAsia="Calibri" w:hAnsi="Calibri"/>
                <w:color w:val="000000"/>
                <w:sz w:val="16"/>
                <w:szCs w:val="16"/>
              </w:rPr>
              <w:t xml:space="preserve">Wind-down of transactions involving Rosneft, Lukoil and their majority-owned subsidiaries</w:t>
            </w:r>
          </w:p>
        </w:tc>
        <w:tc>
          <w:tcPr>
            <w:tcW w:type="dxa" w:w="1400"/>
            <w:shd w:val="clear" w:color="auto" w:fill="EEF2F8"/>
          </w:tcPr>
          <w:p>
            <w:pPr>
              <w:spacing w:before="40" w:after="40"/>
            </w:pPr>
            <w:r>
              <w:rPr>
                <w:rFonts w:ascii="Calibri" w:cs="Calibri" w:eastAsia="Calibri" w:hAnsi="Calibri"/>
                <w:b/>
                <w:bCs/>
                <w:color w:val="8B0000"/>
                <w:sz w:val="16"/>
                <w:szCs w:val="16"/>
              </w:rPr>
              <w:t xml:space="preserve">ACTIVE</w:t>
            </w:r>
          </w:p>
        </w:tc>
        <w:tc>
          <w:tcPr>
            <w:tcW w:type="dxa" w:w="1800"/>
            <w:shd w:val="clear" w:color="auto" w:fill="EEF2F8"/>
          </w:tcPr>
          <w:p>
            <w:pPr>
              <w:spacing w:before="40" w:after="40"/>
            </w:pPr>
            <w:r>
              <w:rPr>
                <w:rFonts w:ascii="Calibri" w:cs="Calibri" w:eastAsia="Calibri" w:hAnsi="Calibri"/>
                <w:color w:val="000000"/>
                <w:sz w:val="16"/>
                <w:szCs w:val="16"/>
              </w:rPr>
              <w:t xml:space="preserve">Nov 21 2025</w:t>
            </w:r>
          </w:p>
        </w:tc>
        <w:tc>
          <w:tcPr>
            <w:tcW w:type="dxa" w:w="5200"/>
            <w:shd w:val="clear" w:color="auto" w:fill="EEF2F8"/>
          </w:tcPr>
          <w:p>
            <w:pPr>
              <w:spacing w:before="40" w:after="40"/>
            </w:pPr>
            <w:r>
              <w:rPr>
                <w:rFonts w:ascii="Calibri" w:cs="Calibri" w:eastAsia="Calibri" w:hAnsi="Calibri"/>
                <w:color w:val="000000"/>
                <w:sz w:val="16"/>
                <w:szCs w:val="16"/>
              </w:rPr>
              <w:t xml:space="preserve">Expired. No extension issued. Full blocking now effective. Any post-expiry transactions require specific OFAC license.</w:t>
            </w:r>
          </w:p>
        </w:tc>
      </w:tr>
      <w:tr>
        <w:tc>
          <w:tcPr>
            <w:tcW w:type="dxa" w:w="1200"/>
            <w:shd w:val="clear" w:color="auto" w:fill="FFFFFF"/>
          </w:tcPr>
          <w:p>
            <w:pPr>
              <w:spacing w:before="40" w:after="40"/>
            </w:pPr>
            <w:r>
              <w:rPr>
                <w:rFonts w:ascii="Calibri" w:cs="Calibri" w:eastAsia="Calibri" w:hAnsi="Calibri"/>
                <w:b/>
                <w:bCs/>
                <w:color w:val="000000"/>
                <w:sz w:val="16"/>
                <w:szCs w:val="16"/>
              </w:rPr>
              <w:t xml:space="preserve">GL 127</w:t>
            </w:r>
          </w:p>
        </w:tc>
        <w:tc>
          <w:tcPr>
            <w:tcW w:type="dxa" w:w="3600"/>
            <w:shd w:val="clear" w:color="auto" w:fill="FFFFFF"/>
          </w:tcPr>
          <w:p>
            <w:pPr>
              <w:spacing w:before="40" w:after="40"/>
            </w:pPr>
            <w:r>
              <w:rPr>
                <w:rFonts w:ascii="Calibri" w:cs="Calibri" w:eastAsia="Calibri" w:hAnsi="Calibri"/>
                <w:color w:val="000000"/>
                <w:sz w:val="16"/>
                <w:szCs w:val="16"/>
              </w:rPr>
              <w:t xml:space="preserve">Divestment/transfer of debt or equity issued by Rosneft, Lukoil and subsidiaries</w:t>
            </w:r>
          </w:p>
        </w:tc>
        <w:tc>
          <w:tcPr>
            <w:tcW w:type="dxa" w:w="1400"/>
            <w:shd w:val="clear" w:color="auto" w:fill="FFFFFF"/>
          </w:tcPr>
          <w:p>
            <w:pPr>
              <w:spacing w:before="40" w:after="40"/>
            </w:pPr>
            <w:r>
              <w:rPr>
                <w:rFonts w:ascii="Calibri" w:cs="Calibri" w:eastAsia="Calibri" w:hAnsi="Calibri"/>
                <w:b/>
                <w:bCs/>
                <w:color w:val="8B0000"/>
                <w:sz w:val="16"/>
                <w:szCs w:val="16"/>
              </w:rPr>
              <w:t xml:space="preserve">EXPIRED</w:t>
            </w:r>
          </w:p>
        </w:tc>
        <w:tc>
          <w:tcPr>
            <w:tcW w:type="dxa" w:w="1800"/>
            <w:shd w:val="clear" w:color="auto" w:fill="FFFFFF"/>
          </w:tcPr>
          <w:p>
            <w:pPr>
              <w:spacing w:before="40" w:after="40"/>
            </w:pPr>
            <w:r>
              <w:rPr>
                <w:rFonts w:ascii="Calibri" w:cs="Calibri" w:eastAsia="Calibri" w:hAnsi="Calibri"/>
                <w:color w:val="000000"/>
                <w:sz w:val="16"/>
                <w:szCs w:val="16"/>
              </w:rPr>
              <w:t xml:space="preserve">Nov 21 2025</w:t>
            </w:r>
          </w:p>
        </w:tc>
        <w:tc>
          <w:tcPr>
            <w:tcW w:type="dxa" w:w="5200"/>
            <w:shd w:val="clear" w:color="auto" w:fill="FFFFFF"/>
          </w:tcPr>
          <w:p>
            <w:pPr>
              <w:spacing w:before="40" w:after="40"/>
            </w:pPr>
            <w:r>
              <w:rPr>
                <w:rFonts w:ascii="Calibri" w:cs="Calibri" w:eastAsia="Calibri" w:hAnsi="Calibri"/>
                <w:color w:val="000000"/>
                <w:sz w:val="16"/>
                <w:szCs w:val="16"/>
              </w:rPr>
              <w:t xml:space="preserve">Expired Nov 21 2025. Debt/equity positions in Rosneft or Lukoil must have been unwound or transferred to blocked accounts. GL 128B issued Dec 4 2025 for Lukoil retail service stations specifically — see GL 128B row.</w:t>
            </w:r>
          </w:p>
        </w:tc>
      </w:tr>
      <w:tr>
        <w:tc>
          <w:tcPr>
            <w:tcW w:type="dxa" w:w="1200"/>
            <w:shd w:val="clear" w:color="auto" w:fill="EEF2F8"/>
          </w:tcPr>
          <w:p>
            <w:pPr>
              <w:spacing w:before="40" w:after="40"/>
            </w:pPr>
            <w:r>
              <w:rPr>
                <w:rFonts w:ascii="Calibri" w:cs="Calibri" w:eastAsia="Calibri" w:hAnsi="Calibri"/>
                <w:b/>
                <w:bCs/>
                <w:color w:val="000000"/>
                <w:sz w:val="16"/>
                <w:szCs w:val="16"/>
              </w:rPr>
              <w:t xml:space="preserve">GL 128B</w:t>
            </w:r>
          </w:p>
        </w:tc>
        <w:tc>
          <w:tcPr>
            <w:tcW w:type="dxa" w:w="3600"/>
            <w:shd w:val="clear" w:color="auto" w:fill="EEF2F8"/>
          </w:tcPr>
          <w:p>
            <w:pPr>
              <w:spacing w:before="40" w:after="40"/>
            </w:pPr>
            <w:r>
              <w:rPr>
                <w:rFonts w:ascii="Calibri" w:cs="Calibri" w:eastAsia="Calibri" w:hAnsi="Calibri"/>
                <w:color w:val="000000"/>
                <w:sz w:val="16"/>
                <w:szCs w:val="16"/>
              </w:rPr>
              <w:t xml:space="preserve">Transactions involving Lukoil Retail service stations outside Russia</w:t>
            </w:r>
          </w:p>
        </w:tc>
        <w:tc>
          <w:tcPr>
            <w:tcW w:type="dxa" w:w="1400"/>
            <w:shd w:val="clear" w:color="auto" w:fill="EEF2F8"/>
          </w:tcPr>
          <w:p>
            <w:pPr>
              <w:spacing w:before="40" w:after="40"/>
            </w:pPr>
            <w:r>
              <w:rPr>
                <w:rFonts w:ascii="Calibri" w:cs="Calibri" w:eastAsia="Calibri" w:hAnsi="Calibri"/>
                <w:b/>
                <w:bCs/>
                <w:color w:val="8B0000"/>
                <w:sz w:val="16"/>
                <w:szCs w:val="16"/>
              </w:rPr>
              <w:t xml:space="preserve">ACTIVE</w:t>
            </w:r>
          </w:p>
        </w:tc>
        <w:tc>
          <w:tcPr>
            <w:tcW w:type="dxa" w:w="1800"/>
            <w:shd w:val="clear" w:color="auto" w:fill="EEF2F8"/>
          </w:tcPr>
          <w:p>
            <w:pPr>
              <w:spacing w:before="40" w:after="40"/>
            </w:pPr>
            <w:r>
              <w:rPr>
                <w:rFonts w:ascii="Calibri" w:cs="Calibri" w:eastAsia="Calibri" w:hAnsi="Calibri"/>
                <w:color w:val="000000"/>
                <w:sz w:val="16"/>
                <w:szCs w:val="16"/>
              </w:rPr>
              <w:t xml:space="preserve">Apr 29 2026</w:t>
            </w:r>
          </w:p>
        </w:tc>
        <w:tc>
          <w:tcPr>
            <w:tcW w:type="dxa" w:w="5200"/>
            <w:shd w:val="clear" w:color="auto" w:fill="EEF2F8"/>
          </w:tcPr>
          <w:p>
            <w:pPr>
              <w:spacing w:before="40" w:after="40"/>
            </w:pPr>
            <w:r>
              <w:rPr>
                <w:rFonts w:ascii="Calibri" w:cs="Calibri" w:eastAsia="Calibri" w:hAnsi="Calibri"/>
                <w:color w:val="000000"/>
                <w:sz w:val="16"/>
                <w:szCs w:val="16"/>
              </w:rPr>
              <w:t xml:space="preserve">Active through Apr 29 2026 (GL 128B issued Dec 4 2025). Authorizes maintenance, operation, and wind-down of certain Lukoil retail service stations outside Russia. All payments must be made into blocked accounts per OFAC FAQ 1225.</w:t>
            </w:r>
          </w:p>
        </w:tc>
      </w:tr>
      <w:tr>
        <w:tc>
          <w:tcPr>
            <w:tcW w:type="dxa" w:w="1200"/>
            <w:shd w:val="clear" w:color="auto" w:fill="FFFFFF"/>
          </w:tcPr>
          <w:p>
            <w:pPr>
              <w:spacing w:before="40" w:after="40"/>
            </w:pPr>
            <w:r>
              <w:rPr>
                <w:rFonts w:ascii="Calibri" w:cs="Calibri" w:eastAsia="Calibri" w:hAnsi="Calibri"/>
                <w:b/>
                <w:bCs/>
                <w:color w:val="000000"/>
                <w:sz w:val="16"/>
                <w:szCs w:val="16"/>
              </w:rPr>
              <w:t xml:space="preserve">GL 129A</w:t>
            </w:r>
          </w:p>
        </w:tc>
        <w:tc>
          <w:tcPr>
            <w:tcW w:type="dxa" w:w="3600"/>
            <w:shd w:val="clear" w:color="auto" w:fill="FFFFFF"/>
          </w:tcPr>
          <w:p>
            <w:pPr>
              <w:spacing w:before="40" w:after="40"/>
            </w:pPr>
            <w:r>
              <w:rPr>
                <w:rFonts w:ascii="Calibri" w:cs="Calibri" w:eastAsia="Calibri" w:hAnsi="Calibri"/>
                <w:color w:val="000000"/>
                <w:sz w:val="16"/>
                <w:szCs w:val="16"/>
              </w:rPr>
              <w:t xml:space="preserve">Transactions involving Rosneft Deutschland GmbH and RN Refining &amp; Marketing GmbH</w:t>
            </w:r>
          </w:p>
        </w:tc>
        <w:tc>
          <w:tcPr>
            <w:tcW w:type="dxa" w:w="1400"/>
            <w:shd w:val="clear" w:color="auto" w:fill="FFFFFF"/>
          </w:tcPr>
          <w:p>
            <w:pPr>
              <w:spacing w:before="40" w:after="40"/>
            </w:pPr>
            <w:r>
              <w:rPr>
                <w:rFonts w:ascii="Calibri" w:cs="Calibri" w:eastAsia="Calibri" w:hAnsi="Calibri"/>
                <w:b/>
                <w:bCs/>
                <w:color w:val="006400"/>
                <w:sz w:val="16"/>
                <w:szCs w:val="16"/>
              </w:rPr>
              <w:t xml:space="preserve">ACTIVE</w:t>
            </w:r>
          </w:p>
        </w:tc>
        <w:tc>
          <w:tcPr>
            <w:tcW w:type="dxa" w:w="1800"/>
            <w:shd w:val="clear" w:color="auto" w:fill="FFFFFF"/>
          </w:tcPr>
          <w:p>
            <w:pPr>
              <w:spacing w:before="40" w:after="40"/>
            </w:pPr>
            <w:r>
              <w:rPr>
                <w:rFonts w:ascii="Calibri" w:cs="Calibri" w:eastAsia="Calibri" w:hAnsi="Calibri"/>
                <w:color w:val="000000"/>
                <w:sz w:val="16"/>
                <w:szCs w:val="16"/>
              </w:rPr>
              <w:t xml:space="preserve">Apr 29 2026</w:t>
            </w:r>
          </w:p>
        </w:tc>
        <w:tc>
          <w:tcPr>
            <w:tcW w:type="dxa" w:w="5200"/>
            <w:shd w:val="clear" w:color="auto" w:fill="FFFFFF"/>
          </w:tcPr>
          <w:p>
            <w:pPr>
              <w:spacing w:before="40" w:after="40"/>
            </w:pPr>
            <w:r>
              <w:rPr>
                <w:rFonts w:ascii="Calibri" w:cs="Calibri" w:eastAsia="Calibri" w:hAnsi="Calibri"/>
                <w:color w:val="000000"/>
                <w:sz w:val="16"/>
                <w:szCs w:val="16"/>
              </w:rPr>
              <w:t xml:space="preserve">Narrowly scoped. Authorizes transactions necessary to maintain operations of these two German subsidiaries only. Does NOT extend to other Rosneft entities.</w:t>
            </w:r>
          </w:p>
        </w:tc>
      </w:tr>
      <w:tr>
        <w:tc>
          <w:tcPr>
            <w:tcW w:type="dxa" w:w="1200"/>
            <w:shd w:val="clear" w:color="auto" w:fill="EEF2F8"/>
          </w:tcPr>
          <w:p>
            <w:pPr>
              <w:spacing w:before="40" w:after="40"/>
            </w:pPr>
            <w:r>
              <w:rPr>
                <w:rFonts w:ascii="Calibri" w:cs="Calibri" w:eastAsia="Calibri" w:hAnsi="Calibri"/>
                <w:b/>
                <w:bCs/>
                <w:color w:val="000000"/>
                <w:sz w:val="16"/>
                <w:szCs w:val="16"/>
              </w:rPr>
              <w:t xml:space="preserve">GL 124B</w:t>
            </w:r>
          </w:p>
        </w:tc>
        <w:tc>
          <w:tcPr>
            <w:tcW w:type="dxa" w:w="3600"/>
            <w:shd w:val="clear" w:color="auto" w:fill="EEF2F8"/>
          </w:tcPr>
          <w:p>
            <w:pPr>
              <w:spacing w:before="40" w:after="40"/>
            </w:pPr>
            <w:r>
              <w:rPr>
                <w:rFonts w:ascii="Calibri" w:cs="Calibri" w:eastAsia="Calibri" w:hAnsi="Calibri"/>
                <w:color w:val="000000"/>
                <w:sz w:val="16"/>
                <w:szCs w:val="16"/>
              </w:rPr>
              <w:t xml:space="preserve">Petroleum services and transactions involving Rosneft/Lukoil for Caspian Pipeline Consortium (CPC) and Tengizchevroil (TCO) projects</w:t>
            </w:r>
          </w:p>
        </w:tc>
        <w:tc>
          <w:tcPr>
            <w:tcW w:type="dxa" w:w="1400"/>
            <w:shd w:val="clear" w:color="auto" w:fill="EEF2F8"/>
          </w:tcPr>
          <w:p>
            <w:pPr>
              <w:spacing w:before="40" w:after="40"/>
            </w:pPr>
            <w:r>
              <w:rPr>
                <w:rFonts w:ascii="Calibri" w:cs="Calibri" w:eastAsia="Calibri" w:hAnsi="Calibri"/>
                <w:b/>
                <w:bCs/>
                <w:color w:val="006400"/>
                <w:sz w:val="16"/>
                <w:szCs w:val="16"/>
              </w:rPr>
              <w:t xml:space="preserve">ACTIVE</w:t>
            </w:r>
          </w:p>
        </w:tc>
        <w:tc>
          <w:tcPr>
            <w:tcW w:type="dxa" w:w="1800"/>
            <w:shd w:val="clear" w:color="auto" w:fill="EEF2F8"/>
          </w:tcPr>
          <w:p>
            <w:pPr>
              <w:spacing w:before="40" w:after="40"/>
            </w:pPr>
            <w:r>
              <w:rPr>
                <w:rFonts w:ascii="Calibri" w:cs="Calibri" w:eastAsia="Calibri" w:hAnsi="Calibri"/>
                <w:color w:val="000000"/>
                <w:sz w:val="16"/>
                <w:szCs w:val="16"/>
              </w:rPr>
              <w:t xml:space="preserve">No stated expiry</w:t>
            </w:r>
          </w:p>
        </w:tc>
        <w:tc>
          <w:tcPr>
            <w:tcW w:type="dxa" w:w="5200"/>
            <w:shd w:val="clear" w:color="auto" w:fill="EEF2F8"/>
          </w:tcPr>
          <w:p>
            <w:pPr>
              <w:spacing w:before="40" w:after="40"/>
            </w:pPr>
            <w:r>
              <w:rPr>
                <w:rFonts w:ascii="Calibri" w:cs="Calibri" w:eastAsia="Calibri" w:hAnsi="Calibri"/>
                <w:color w:val="000000"/>
                <w:sz w:val="16"/>
                <w:szCs w:val="16"/>
              </w:rPr>
              <w:t xml:space="preserve">Critical carve-out for CPC and TCO. US and allied (Chevron, Shell legacy) interests in these projects depend on this license. Monitor for amendment/expiry as Ukraine negotiations evolve.</w:t>
            </w:r>
          </w:p>
        </w:tc>
      </w:tr>
      <w:tr>
        <w:tc>
          <w:tcPr>
            <w:tcW w:type="dxa" w:w="1200"/>
            <w:shd w:val="clear" w:color="auto" w:fill="FFFFFF"/>
          </w:tcPr>
          <w:p>
            <w:pPr>
              <w:spacing w:before="40" w:after="40"/>
            </w:pPr>
            <w:r>
              <w:rPr>
                <w:rFonts w:ascii="Calibri" w:cs="Calibri" w:eastAsia="Calibri" w:hAnsi="Calibri"/>
                <w:b/>
                <w:bCs/>
                <w:color w:val="000000"/>
                <w:sz w:val="16"/>
                <w:szCs w:val="16"/>
              </w:rPr>
              <w:t xml:space="preserve">GL 8L</w:t>
            </w:r>
          </w:p>
        </w:tc>
        <w:tc>
          <w:tcPr>
            <w:tcW w:type="dxa" w:w="3600"/>
            <w:shd w:val="clear" w:color="auto" w:fill="FFFFFF"/>
          </w:tcPr>
          <w:p>
            <w:pPr>
              <w:spacing w:before="40" w:after="40"/>
            </w:pPr>
            <w:r>
              <w:rPr>
                <w:rFonts w:ascii="Calibri" w:cs="Calibri" w:eastAsia="Calibri" w:hAnsi="Calibri"/>
                <w:color w:val="000000"/>
                <w:sz w:val="16"/>
                <w:szCs w:val="16"/>
              </w:rPr>
              <w:t xml:space="preserve">Energy-related transactions with certain blocked Russian financial institutions</w:t>
            </w:r>
          </w:p>
        </w:tc>
        <w:tc>
          <w:tcPr>
            <w:tcW w:type="dxa" w:w="1400"/>
            <w:shd w:val="clear" w:color="auto" w:fill="FFFFFF"/>
          </w:tcPr>
          <w:p>
            <w:pPr>
              <w:spacing w:before="40" w:after="40"/>
            </w:pPr>
            <w:r>
              <w:rPr>
                <w:rFonts w:ascii="Calibri" w:cs="Calibri" w:eastAsia="Calibri" w:hAnsi="Calibri"/>
                <w:b/>
                <w:bCs/>
                <w:color w:val="8B0000"/>
                <w:sz w:val="16"/>
                <w:szCs w:val="16"/>
              </w:rPr>
              <w:t xml:space="preserve">EXPIRED</w:t>
            </w:r>
          </w:p>
        </w:tc>
        <w:tc>
          <w:tcPr>
            <w:tcW w:type="dxa" w:w="1800"/>
            <w:shd w:val="clear" w:color="auto" w:fill="FFFFFF"/>
          </w:tcPr>
          <w:p>
            <w:pPr>
              <w:spacing w:before="40" w:after="40"/>
            </w:pPr>
            <w:r>
              <w:rPr>
                <w:rFonts w:ascii="Calibri" w:cs="Calibri" w:eastAsia="Calibri" w:hAnsi="Calibri"/>
                <w:color w:val="000000"/>
                <w:sz w:val="16"/>
                <w:szCs w:val="16"/>
              </w:rPr>
              <w:t xml:space="preserve">Mar 12 2025</w:t>
            </w:r>
          </w:p>
        </w:tc>
        <w:tc>
          <w:tcPr>
            <w:tcW w:type="dxa" w:w="5200"/>
            <w:shd w:val="clear" w:color="auto" w:fill="FFFFFF"/>
          </w:tcPr>
          <w:p>
            <w:pPr>
              <w:spacing w:before="40" w:after="40"/>
            </w:pPr>
            <w:r>
              <w:rPr>
                <w:rFonts w:ascii="Calibri" w:cs="Calibri" w:eastAsia="Calibri" w:hAnsi="Calibri"/>
                <w:color w:val="000000"/>
                <w:sz w:val="16"/>
                <w:szCs w:val="16"/>
              </w:rPr>
              <w:t xml:space="preserve">Converted to wind-down license Jan 10 2025; expired Mar 12 2025. Any entity that relied on GL 8L for energy transactions must have fully wound down by expiry.</w:t>
            </w:r>
          </w:p>
        </w:tc>
      </w:tr>
      <w:tr>
        <w:tc>
          <w:tcPr>
            <w:tcW w:type="dxa" w:w="1200"/>
            <w:shd w:val="clear" w:color="auto" w:fill="EEF2F8"/>
          </w:tcPr>
          <w:p>
            <w:pPr>
              <w:spacing w:before="40" w:after="40"/>
            </w:pPr>
            <w:r>
              <w:rPr>
                <w:rFonts w:ascii="Calibri" w:cs="Calibri" w:eastAsia="Calibri" w:hAnsi="Calibri"/>
                <w:b/>
                <w:bCs/>
                <w:color w:val="000000"/>
                <w:sz w:val="16"/>
                <w:szCs w:val="16"/>
              </w:rPr>
              <w:t xml:space="preserve">GL 55E</w:t>
            </w:r>
          </w:p>
        </w:tc>
        <w:tc>
          <w:tcPr>
            <w:tcW w:type="dxa" w:w="3600"/>
            <w:shd w:val="clear" w:color="auto" w:fill="EEF2F8"/>
          </w:tcPr>
          <w:p>
            <w:pPr>
              <w:spacing w:before="40" w:after="40"/>
            </w:pPr>
            <w:r>
              <w:rPr>
                <w:rFonts w:ascii="Calibri" w:cs="Calibri" w:eastAsia="Calibri" w:hAnsi="Calibri"/>
                <w:color w:val="000000"/>
                <w:sz w:val="16"/>
                <w:szCs w:val="16"/>
              </w:rPr>
              <w:t xml:space="preserve">Certain services related to Sakhalin-2 LNG project</w:t>
            </w:r>
          </w:p>
        </w:tc>
        <w:tc>
          <w:tcPr>
            <w:tcW w:type="dxa" w:w="1400"/>
            <w:shd w:val="clear" w:color="auto" w:fill="EEF2F8"/>
          </w:tcPr>
          <w:p>
            <w:pPr>
              <w:spacing w:before="40" w:after="40"/>
            </w:pPr>
            <w:r>
              <w:rPr>
                <w:rFonts w:ascii="Calibri" w:cs="Calibri" w:eastAsia="Calibri" w:hAnsi="Calibri"/>
                <w:b/>
                <w:bCs/>
                <w:color w:val="006400"/>
                <w:sz w:val="16"/>
                <w:szCs w:val="16"/>
              </w:rPr>
              <w:t xml:space="preserve">ACTIVE</w:t>
            </w:r>
          </w:p>
        </w:tc>
        <w:tc>
          <w:tcPr>
            <w:tcW w:type="dxa" w:w="1800"/>
            <w:shd w:val="clear" w:color="auto" w:fill="EEF2F8"/>
          </w:tcPr>
          <w:p>
            <w:pPr>
              <w:spacing w:before="40" w:after="40"/>
            </w:pPr>
            <w:r>
              <w:rPr>
                <w:rFonts w:ascii="Calibri" w:cs="Calibri" w:eastAsia="Calibri" w:hAnsi="Calibri"/>
                <w:color w:val="000000"/>
                <w:sz w:val="16"/>
                <w:szCs w:val="16"/>
              </w:rPr>
              <w:t xml:space="preserve">Dec 17 2025 (issued); Jun 18 2026</w:t>
            </w:r>
          </w:p>
        </w:tc>
        <w:tc>
          <w:tcPr>
            <w:tcW w:type="dxa" w:w="5200"/>
            <w:shd w:val="clear" w:color="auto" w:fill="EEF2F8"/>
          </w:tcPr>
          <w:p>
            <w:pPr>
              <w:spacing w:before="40" w:after="40"/>
            </w:pPr>
            <w:r>
              <w:rPr>
                <w:rFonts w:ascii="Calibri" w:cs="Calibri" w:eastAsia="Calibri" w:hAnsi="Calibri"/>
                <w:color w:val="000000"/>
                <w:sz w:val="16"/>
                <w:szCs w:val="16"/>
              </w:rPr>
              <w:t xml:space="preserve">Extends certain Sakhalin-2 LNG authorizations until Jun 18 2026 per OFAC. Shell departed; Mitsui and Mitsubishi retained minority stakes. Review before Jun 18 2026 expiry given EU LNG ban trajectory.</w:t>
            </w:r>
          </w:p>
        </w:tc>
      </w:tr>
      <w:tr>
        <w:tc>
          <w:tcPr>
            <w:tcW w:type="dxa" w:w="1200"/>
            <w:shd w:val="clear" w:color="auto" w:fill="FFFFFF"/>
          </w:tcPr>
          <w:p>
            <w:pPr>
              <w:spacing w:before="40" w:after="40"/>
            </w:pPr>
            <w:r>
              <w:rPr>
                <w:rFonts w:ascii="Calibri" w:cs="Calibri" w:eastAsia="Calibri" w:hAnsi="Calibri"/>
                <w:b/>
                <w:bCs/>
                <w:color w:val="000000"/>
                <w:sz w:val="16"/>
                <w:szCs w:val="16"/>
              </w:rPr>
              <w:t xml:space="preserve">GL 13P</w:t>
            </w:r>
          </w:p>
        </w:tc>
        <w:tc>
          <w:tcPr>
            <w:tcW w:type="dxa" w:w="3600"/>
            <w:shd w:val="clear" w:color="auto" w:fill="FFFFFF"/>
          </w:tcPr>
          <w:p>
            <w:pPr>
              <w:spacing w:before="40" w:after="40"/>
            </w:pPr>
            <w:r>
              <w:rPr>
                <w:rFonts w:ascii="Calibri" w:cs="Calibri" w:eastAsia="Calibri" w:hAnsi="Calibri"/>
                <w:color w:val="000000"/>
                <w:sz w:val="16"/>
                <w:szCs w:val="16"/>
              </w:rPr>
              <w:t xml:space="preserve">Certain administrative transactions prohibited by Directive 4 under EO 14024</w:t>
            </w:r>
          </w:p>
        </w:tc>
        <w:tc>
          <w:tcPr>
            <w:tcW w:type="dxa" w:w="1400"/>
            <w:shd w:val="clear" w:color="auto" w:fill="FFFFFF"/>
          </w:tcPr>
          <w:p>
            <w:pPr>
              <w:spacing w:before="40" w:after="40"/>
            </w:pPr>
            <w:r>
              <w:rPr>
                <w:rFonts w:ascii="Calibri" w:cs="Calibri" w:eastAsia="Calibri" w:hAnsi="Calibri"/>
                <w:b/>
                <w:bCs/>
                <w:color w:val="006400"/>
                <w:sz w:val="16"/>
                <w:szCs w:val="16"/>
              </w:rPr>
              <w:t xml:space="preserve">ACTIVE</w:t>
            </w:r>
          </w:p>
        </w:tc>
        <w:tc>
          <w:tcPr>
            <w:tcW w:type="dxa" w:w="1800"/>
            <w:shd w:val="clear" w:color="auto" w:fill="FFFFFF"/>
          </w:tcPr>
          <w:p>
            <w:pPr>
              <w:spacing w:before="40" w:after="40"/>
            </w:pPr>
            <w:r>
              <w:rPr>
                <w:rFonts w:ascii="Calibri" w:cs="Calibri" w:eastAsia="Calibri" w:hAnsi="Calibri"/>
                <w:color w:val="000000"/>
                <w:sz w:val="16"/>
                <w:szCs w:val="16"/>
              </w:rPr>
              <w:t xml:space="preserve">Issued Jan 6 2026</w:t>
            </w:r>
          </w:p>
        </w:tc>
        <w:tc>
          <w:tcPr>
            <w:tcW w:type="dxa" w:w="5200"/>
            <w:shd w:val="clear" w:color="auto" w:fill="FFFFFF"/>
          </w:tcPr>
          <w:p>
            <w:pPr>
              <w:spacing w:before="40" w:after="40"/>
            </w:pPr>
            <w:r>
              <w:rPr>
                <w:rFonts w:ascii="Calibri" w:cs="Calibri" w:eastAsia="Calibri" w:hAnsi="Calibri"/>
                <w:color w:val="000000"/>
                <w:sz w:val="16"/>
                <w:szCs w:val="16"/>
              </w:rPr>
              <w:t xml:space="preserve">Latest revision. Covers narrow administrative carve-outs for Directive 4 blocked entities. Financial institutions: review for compliance with updated scope.</w:t>
            </w:r>
          </w:p>
        </w:tc>
      </w:tr>
      <w:tr>
        <w:tc>
          <w:tcPr>
            <w:tcW w:type="dxa" w:w="1200"/>
            <w:shd w:val="clear" w:color="auto" w:fill="EEF2F8"/>
          </w:tcPr>
          <w:p>
            <w:pPr>
              <w:spacing w:before="40" w:after="40"/>
            </w:pPr>
            <w:r>
              <w:rPr>
                <w:rFonts w:ascii="Calibri" w:cs="Calibri" w:eastAsia="Calibri" w:hAnsi="Calibri"/>
                <w:b/>
                <w:bCs/>
                <w:color w:val="000000"/>
                <w:sz w:val="16"/>
                <w:szCs w:val="16"/>
              </w:rPr>
              <w:t xml:space="preserve">EO 14114 §11</w:t>
            </w:r>
          </w:p>
        </w:tc>
        <w:tc>
          <w:tcPr>
            <w:tcW w:type="dxa" w:w="3600"/>
            <w:shd w:val="clear" w:color="auto" w:fill="EEF2F8"/>
          </w:tcPr>
          <w:p>
            <w:pPr>
              <w:spacing w:before="40" w:after="40"/>
            </w:pPr>
            <w:r>
              <w:rPr>
                <w:rFonts w:ascii="Calibri" w:cs="Calibri" w:eastAsia="Calibri" w:hAnsi="Calibri"/>
                <w:color w:val="000000"/>
                <w:sz w:val="16"/>
                <w:szCs w:val="16"/>
              </w:rPr>
              <w:t xml:space="preserve">Secondary sanctions authority for FFIs facilitating significant transactions with any EO 14024-blocked person</w:t>
            </w:r>
          </w:p>
        </w:tc>
        <w:tc>
          <w:tcPr>
            <w:tcW w:type="dxa" w:w="1400"/>
            <w:shd w:val="clear" w:color="auto" w:fill="EEF2F8"/>
          </w:tcPr>
          <w:p>
            <w:pPr>
              <w:spacing w:before="40" w:after="40"/>
            </w:pPr>
            <w:r>
              <w:rPr>
                <w:rFonts w:ascii="Calibri" w:cs="Calibri" w:eastAsia="Calibri" w:hAnsi="Calibri"/>
                <w:b/>
                <w:bCs/>
                <w:color w:val="1C2B4A"/>
                <w:sz w:val="16"/>
                <w:szCs w:val="16"/>
              </w:rPr>
              <w:t xml:space="preserve">PERMANENT</w:t>
            </w:r>
          </w:p>
        </w:tc>
        <w:tc>
          <w:tcPr>
            <w:tcW w:type="dxa" w:w="1800"/>
            <w:shd w:val="clear" w:color="auto" w:fill="EEF2F8"/>
          </w:tcPr>
          <w:p>
            <w:pPr>
              <w:spacing w:before="40" w:after="40"/>
            </w:pPr>
            <w:r>
              <w:rPr>
                <w:rFonts w:ascii="Calibri" w:cs="Calibri" w:eastAsia="Calibri" w:hAnsi="Calibri"/>
                <w:color w:val="000000"/>
                <w:sz w:val="16"/>
                <w:szCs w:val="16"/>
              </w:rPr>
              <w:t xml:space="preserve">N/A — standing authority</w:t>
            </w:r>
          </w:p>
        </w:tc>
        <w:tc>
          <w:tcPr>
            <w:tcW w:type="dxa" w:w="5200"/>
            <w:shd w:val="clear" w:color="auto" w:fill="EEF2F8"/>
          </w:tcPr>
          <w:p>
            <w:pPr>
              <w:spacing w:before="40" w:after="40"/>
            </w:pPr>
            <w:r>
              <w:rPr>
                <w:rFonts w:ascii="Calibri" w:cs="Calibri" w:eastAsia="Calibri" w:hAnsi="Calibri"/>
                <w:color w:val="000000"/>
                <w:sz w:val="16"/>
                <w:szCs w:val="16"/>
              </w:rPr>
              <w:t xml:space="preserve">Not a GL — a standing sanctions authority. Any foreign financial institution (including Chinese, Turkish, UAE, Indian banks) that conducts or facilitates significant transactions involving Rosneft, Lukoil, Gazprom Neft, or any other blocked EO 14024 person runs risk of US SDN designation. This is the primary lever for Chinese bank deterrence.</w:t>
            </w:r>
          </w:p>
        </w:tc>
      </w:tr>
    </w:tbl>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
      </w:r>
    </w:p>
    <w:p>
      <w:r>
        <w:br w:type="page"/>
      </w:r>
    </w:p>
    <w:p>
      <w:pPr>
        <w:spacing w:before="240" w:after="120"/>
        <w:rPr>
          <w:rFonts w:ascii="Calibri" w:cs="Calibri" w:eastAsia="Calibri" w:hAnsi="Calibri"/>
          <w:b/>
          <w:bCs/>
          <w:color w:val="1C2B4A"/>
          <w:sz w:val="30"/>
          <w:szCs w:val="30"/>
        </w:rPr>
      </w:pPr>
      <w:r>
        <w:rPr>
          <w:rFonts w:ascii="Calibri" w:cs="Calibri" w:eastAsia="Calibri" w:hAnsi="Calibri"/>
          <w:b/>
          <w:bCs/>
          <w:color w:val="1C2B4A"/>
          <w:sz w:val="30"/>
          <w:szCs w:val="30"/>
        </w:rPr>
        <w:t xml:space="preserve">XIX. Legal Authority Reference — Complete Statutory and Regulatory Index</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This section provides a consolidated reference index of all legal authorities cited in this document, including enacted legislation, executive orders, EU regulations, and FATF/IMO frameworks. Intended as a quick-reference for legal review, designation package preparation, and secondary sanctions analysis. Authorities are current as of March 2026.</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400"/>
        <w:gridCol w:w="6000"/>
      </w:tblGrid>
      <w:tr>
        <w:tc>
          <w:tcPr>
            <w:tcW w:type="dxa" w:w="2400"/>
            <w:shd w:val="clear" w:color="auto" w:fill="1C2B4A"/>
          </w:tcPr>
          <w:p>
            <w:pPr>
              <w:jc w:val="center"/>
            </w:pPr>
            <w:r>
              <w:rPr>
                <w:rFonts w:ascii="Calibri" w:cs="Calibri" w:eastAsia="Calibri" w:hAnsi="Calibri"/>
                <w:b/>
                <w:bCs/>
                <w:color w:val="FFFFFF"/>
                <w:sz w:val="16"/>
                <w:szCs w:val="16"/>
              </w:rPr>
              <w:t xml:space="preserve">AUTHORITY</w:t>
            </w:r>
          </w:p>
        </w:tc>
        <w:tc>
          <w:tcPr>
            <w:tcW w:type="dxa" w:w="1400"/>
            <w:shd w:val="clear" w:color="auto" w:fill="1C2B4A"/>
          </w:tcPr>
          <w:p>
            <w:pPr>
              <w:jc w:val="center"/>
            </w:pPr>
            <w:r>
              <w:rPr>
                <w:rFonts w:ascii="Calibri" w:cs="Calibri" w:eastAsia="Calibri" w:hAnsi="Calibri"/>
                <w:b/>
                <w:bCs/>
                <w:color w:val="FFFFFF"/>
                <w:sz w:val="16"/>
                <w:szCs w:val="16"/>
              </w:rPr>
              <w:t xml:space="preserve">TYPE</w:t>
            </w:r>
          </w:p>
        </w:tc>
        <w:tc>
          <w:tcPr>
            <w:tcW w:type="dxa" w:w="3400"/>
            <w:shd w:val="clear" w:color="auto" w:fill="1C2B4A"/>
          </w:tcPr>
          <w:p>
            <w:pPr>
              <w:jc w:val="center"/>
            </w:pPr>
            <w:r>
              <w:rPr>
                <w:rFonts w:ascii="Calibri" w:cs="Calibri" w:eastAsia="Calibri" w:hAnsi="Calibri"/>
                <w:b/>
                <w:bCs/>
                <w:color w:val="FFFFFF"/>
                <w:sz w:val="16"/>
                <w:szCs w:val="16"/>
              </w:rPr>
              <w:t xml:space="preserve">SCOPE</w:t>
            </w:r>
          </w:p>
        </w:tc>
        <w:tc>
          <w:tcPr>
            <w:tcW w:type="dxa" w:w="6000"/>
            <w:shd w:val="clear" w:color="auto" w:fill="1C2B4A"/>
          </w:tcPr>
          <w:p>
            <w:pPr>
              <w:jc w:val="center"/>
            </w:pPr>
            <w:r>
              <w:rPr>
                <w:rFonts w:ascii="Calibri" w:cs="Calibri" w:eastAsia="Calibri" w:hAnsi="Calibri"/>
                <w:b/>
                <w:bCs/>
                <w:color w:val="FFFFFF"/>
                <w:sz w:val="16"/>
                <w:szCs w:val="16"/>
              </w:rPr>
              <w:t xml:space="preserve">KEY PROVISIONS FOR THIS NETWORK</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EO 14024 (Apr 15 2021, as amended by EO 14114 Dec 22 2023)</w:t>
            </w:r>
          </w:p>
        </w:tc>
        <w:tc>
          <w:tcPr>
            <w:tcW w:type="dxa" w:w="1400"/>
            <w:shd w:val="clear" w:color="auto" w:fill="EEF2F8"/>
          </w:tcPr>
          <w:p>
            <w:pPr>
              <w:spacing w:before="40" w:after="40"/>
            </w:pPr>
            <w:r>
              <w:rPr>
                <w:rFonts w:ascii="Calibri" w:cs="Calibri" w:eastAsia="Calibri" w:hAnsi="Calibri"/>
                <w:color w:val="000000"/>
                <w:sz w:val="16"/>
                <w:szCs w:val="16"/>
              </w:rPr>
              <w:t xml:space="preserve">US Executive Order</w:t>
            </w:r>
          </w:p>
        </w:tc>
        <w:tc>
          <w:tcPr>
            <w:tcW w:type="dxa" w:w="3400"/>
            <w:shd w:val="clear" w:color="auto" w:fill="EEF2F8"/>
          </w:tcPr>
          <w:p>
            <w:pPr>
              <w:spacing w:before="40" w:after="40"/>
            </w:pPr>
            <w:r>
              <w:rPr>
                <w:rFonts w:ascii="Calibri" w:cs="Calibri" w:eastAsia="Calibri" w:hAnsi="Calibri"/>
                <w:color w:val="000000"/>
                <w:sz w:val="16"/>
                <w:szCs w:val="16"/>
              </w:rPr>
              <w:t xml:space="preserve">Blocking sanctions against persons engaged in harmful foreign activities of Russian Federation. Broadest Russia sanctions authority.</w:t>
            </w:r>
          </w:p>
        </w:tc>
        <w:tc>
          <w:tcPr>
            <w:tcW w:type="dxa" w:w="6000"/>
            <w:shd w:val="clear" w:color="auto" w:fill="EEF2F8"/>
          </w:tcPr>
          <w:p>
            <w:pPr>
              <w:spacing w:before="40" w:after="40"/>
            </w:pPr>
            <w:r>
              <w:rPr>
                <w:rFonts w:ascii="Calibri" w:cs="Calibri" w:eastAsia="Calibri" w:hAnsi="Calibri"/>
                <w:color w:val="000000"/>
                <w:sz w:val="16"/>
                <w:szCs w:val="16"/>
              </w:rPr>
              <w:t xml:space="preserve">§1(a)(i): operates in Russian economy sector. §1(a)(iii): materially assists/provides support to designated persons. §11 (via EO 14114): secondary sanctions on FFIs for significant transactions with any blocked person. Treasury Determination Under EO 14024 (Jan 10 2025) expanded scope to all energy activities.</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EO 14114 (Dec 22 2023)</w:t>
            </w:r>
          </w:p>
        </w:tc>
        <w:tc>
          <w:tcPr>
            <w:tcW w:type="dxa" w:w="1400"/>
            <w:shd w:val="clear" w:color="auto" w:fill="FFFFFF"/>
          </w:tcPr>
          <w:p>
            <w:pPr>
              <w:spacing w:before="40" w:after="40"/>
            </w:pPr>
            <w:r>
              <w:rPr>
                <w:rFonts w:ascii="Calibri" w:cs="Calibri" w:eastAsia="Calibri" w:hAnsi="Calibri"/>
                <w:color w:val="000000"/>
                <w:sz w:val="16"/>
                <w:szCs w:val="16"/>
              </w:rPr>
              <w:t xml:space="preserve">US Executive Order</w:t>
            </w:r>
          </w:p>
        </w:tc>
        <w:tc>
          <w:tcPr>
            <w:tcW w:type="dxa" w:w="3400"/>
            <w:shd w:val="clear" w:color="auto" w:fill="FFFFFF"/>
          </w:tcPr>
          <w:p>
            <w:pPr>
              <w:spacing w:before="40" w:after="40"/>
            </w:pPr>
            <w:r>
              <w:rPr>
                <w:rFonts w:ascii="Calibri" w:cs="Calibri" w:eastAsia="Calibri" w:hAnsi="Calibri"/>
                <w:color w:val="000000"/>
                <w:sz w:val="16"/>
                <w:szCs w:val="16"/>
              </w:rPr>
              <w:t xml:space="preserve">Amends EO 14024 to add §11 FFI secondary sanctions authority.</w:t>
            </w:r>
          </w:p>
        </w:tc>
        <w:tc>
          <w:tcPr>
            <w:tcW w:type="dxa" w:w="6000"/>
            <w:shd w:val="clear" w:color="auto" w:fill="FFFFFF"/>
          </w:tcPr>
          <w:p>
            <w:pPr>
              <w:spacing w:before="40" w:after="40"/>
            </w:pPr>
            <w:r>
              <w:rPr>
                <w:rFonts w:ascii="Calibri" w:cs="Calibri" w:eastAsia="Calibri" w:hAnsi="Calibri"/>
                <w:color w:val="000000"/>
                <w:sz w:val="16"/>
                <w:szCs w:val="16"/>
              </w:rPr>
              <w:t xml:space="preserve">Authorizes OFAC to sanction foreign financial institutions (including Chinese, Turkish, Indian, UAE banks) that conduct or facilitate significant transactions involving Russia's military-industrial base — defined broadly to include persons operating in sectors supporting Russia’s military-industrial base. This is the primary deterrence instrument for Chinese bank pressure.</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EO 13662 / Directives 1–4</w:t>
            </w:r>
          </w:p>
        </w:tc>
        <w:tc>
          <w:tcPr>
            <w:tcW w:type="dxa" w:w="1400"/>
            <w:shd w:val="clear" w:color="auto" w:fill="EEF2F8"/>
          </w:tcPr>
          <w:p>
            <w:pPr>
              <w:spacing w:before="40" w:after="40"/>
            </w:pPr>
            <w:r>
              <w:rPr>
                <w:rFonts w:ascii="Calibri" w:cs="Calibri" w:eastAsia="Calibri" w:hAnsi="Calibri"/>
                <w:color w:val="000000"/>
                <w:sz w:val="16"/>
                <w:szCs w:val="16"/>
              </w:rPr>
              <w:t xml:space="preserve">US Executive Order + Directives</w:t>
            </w:r>
          </w:p>
        </w:tc>
        <w:tc>
          <w:tcPr>
            <w:tcW w:type="dxa" w:w="3400"/>
            <w:shd w:val="clear" w:color="auto" w:fill="EEF2F8"/>
          </w:tcPr>
          <w:p>
            <w:pPr>
              <w:spacing w:before="40" w:after="40"/>
            </w:pPr>
            <w:r>
              <w:rPr>
                <w:rFonts w:ascii="Calibri" w:cs="Calibri" w:eastAsia="Calibri" w:hAnsi="Calibri"/>
                <w:color w:val="000000"/>
                <w:sz w:val="16"/>
                <w:szCs w:val="16"/>
              </w:rPr>
              <w:t xml:space="preserve">Sectoral sanctions targeting specific Russian industries. Predates EO 14024.</w:t>
            </w:r>
          </w:p>
        </w:tc>
        <w:tc>
          <w:tcPr>
            <w:tcW w:type="dxa" w:w="6000"/>
            <w:shd w:val="clear" w:color="auto" w:fill="EEF2F8"/>
          </w:tcPr>
          <w:p>
            <w:pPr>
              <w:spacing w:before="40" w:after="40"/>
            </w:pPr>
            <w:r>
              <w:rPr>
                <w:rFonts w:ascii="Calibri" w:cs="Calibri" w:eastAsia="Calibri" w:hAnsi="Calibri"/>
                <w:color w:val="000000"/>
                <w:sz w:val="16"/>
                <w:szCs w:val="16"/>
              </w:rPr>
              <w:t xml:space="preserve">Directive 2: debt/equity restrictions (now largely superseded by full blocking of Rosneft/Lukoil). Directive 4: prohibits US persons from providing goods/services/technology to deepwater, Arctic offshore, or shale projects with specific Russian entities. Rosneft Deutschland still covered by Directive 4 exception under GL 129A (GL 129 superseded Mar 5 2026).</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EO 13382 (Jun 28 2005)</w:t>
            </w:r>
          </w:p>
        </w:tc>
        <w:tc>
          <w:tcPr>
            <w:tcW w:type="dxa" w:w="1400"/>
            <w:shd w:val="clear" w:color="auto" w:fill="FFFFFF"/>
          </w:tcPr>
          <w:p>
            <w:pPr>
              <w:spacing w:before="40" w:after="40"/>
            </w:pPr>
            <w:r>
              <w:rPr>
                <w:rFonts w:ascii="Calibri" w:cs="Calibri" w:eastAsia="Calibri" w:hAnsi="Calibri"/>
                <w:color w:val="000000"/>
                <w:sz w:val="16"/>
                <w:szCs w:val="16"/>
              </w:rPr>
              <w:t xml:space="preserve">US Executive Order</w:t>
            </w:r>
          </w:p>
        </w:tc>
        <w:tc>
          <w:tcPr>
            <w:tcW w:type="dxa" w:w="3400"/>
            <w:shd w:val="clear" w:color="auto" w:fill="FFFFFF"/>
          </w:tcPr>
          <w:p>
            <w:pPr>
              <w:spacing w:before="40" w:after="40"/>
            </w:pPr>
            <w:r>
              <w:rPr>
                <w:rFonts w:ascii="Calibri" w:cs="Calibri" w:eastAsia="Calibri" w:hAnsi="Calibri"/>
                <w:color w:val="000000"/>
                <w:sz w:val="16"/>
                <w:szCs w:val="16"/>
              </w:rPr>
              <w:t xml:space="preserve">WMD proliferators and their supporters.</w:t>
            </w:r>
          </w:p>
        </w:tc>
        <w:tc>
          <w:tcPr>
            <w:tcW w:type="dxa" w:w="6000"/>
            <w:shd w:val="clear" w:color="auto" w:fill="FFFFFF"/>
          </w:tcPr>
          <w:p>
            <w:pPr>
              <w:spacing w:before="40" w:after="40"/>
            </w:pPr>
            <w:r>
              <w:rPr>
                <w:rFonts w:ascii="Calibri" w:cs="Calibri" w:eastAsia="Calibri" w:hAnsi="Calibri"/>
                <w:color w:val="000000"/>
                <w:sz w:val="16"/>
                <w:szCs w:val="16"/>
              </w:rPr>
              <w:t xml:space="preserve">Primary authority for targeting Rosatom/TVEL (nuclear fuel supply chain for Tianwan/Xudapu NPPs). Requires Designation typically involves interagency consultation with DOE/NNSA because of nuclear fuel supply implications. Independent of EO 14024 Ukraine/Russia nexus.</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EO 13694 as amended by EO 13757, EO 14144, and EO 14306 (Jun 6 2025) [EO 14306, 90 FR 24723 (June 11, 2025)]</w:t>
            </w:r>
          </w:p>
        </w:tc>
        <w:tc>
          <w:tcPr>
            <w:tcW w:type="dxa" w:w="1400"/>
            <w:shd w:val="clear" w:color="auto" w:fill="EEF2F8"/>
          </w:tcPr>
          <w:p>
            <w:pPr>
              <w:spacing w:before="40" w:after="40"/>
            </w:pPr>
            <w:r>
              <w:rPr>
                <w:rFonts w:ascii="Calibri" w:cs="Calibri" w:eastAsia="Calibri" w:hAnsi="Calibri"/>
                <w:color w:val="000000"/>
                <w:sz w:val="16"/>
                <w:szCs w:val="16"/>
              </w:rPr>
              <w:t xml:space="preserve">US Executive Order</w:t>
            </w:r>
          </w:p>
        </w:tc>
        <w:tc>
          <w:tcPr>
            <w:tcW w:type="dxa" w:w="3400"/>
            <w:shd w:val="clear" w:color="auto" w:fill="EEF2F8"/>
          </w:tcPr>
          <w:p>
            <w:pPr>
              <w:spacing w:before="40" w:after="40"/>
            </w:pPr>
            <w:r>
              <w:rPr>
                <w:rFonts w:ascii="Calibri" w:cs="Calibri" w:eastAsia="Calibri" w:hAnsi="Calibri"/>
                <w:color w:val="000000"/>
                <w:sz w:val="16"/>
                <w:szCs w:val="16"/>
              </w:rPr>
              <w:t xml:space="preserve">Cyber-enabled malicious activities sanctions authority.</w:t>
            </w:r>
          </w:p>
        </w:tc>
        <w:tc>
          <w:tcPr>
            <w:tcW w:type="dxa" w:w="6000"/>
            <w:shd w:val="clear" w:color="auto" w:fill="EEF2F8"/>
          </w:tcPr>
          <w:p>
            <w:pPr>
              <w:spacing w:before="40" w:after="40"/>
            </w:pPr>
            <w:r>
              <w:rPr>
                <w:rFonts w:ascii="Calibri" w:cs="Calibri" w:eastAsia="Calibri" w:hAnsi="Calibri"/>
                <w:color w:val="000000"/>
                <w:sz w:val="16"/>
                <w:szCs w:val="16"/>
              </w:rPr>
              <w:t xml:space="preserve">Relevant for Aeza Group / Media Land bulletproof hosting infrastructure. §1(a)(iii)(F): leaders/officials of designated cyber entities. EO 14306 (Jun 6 2025) is the current operative amendment, confirmed in the Federal Register and GovInfo.</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EO 14071 (Apr 6 2022)</w:t>
            </w:r>
          </w:p>
        </w:tc>
        <w:tc>
          <w:tcPr>
            <w:tcW w:type="dxa" w:w="1400"/>
            <w:shd w:val="clear" w:color="auto" w:fill="FFFFFF"/>
          </w:tcPr>
          <w:p>
            <w:pPr>
              <w:spacing w:before="40" w:after="40"/>
            </w:pPr>
            <w:r>
              <w:rPr>
                <w:rFonts w:ascii="Calibri" w:cs="Calibri" w:eastAsia="Calibri" w:hAnsi="Calibri"/>
                <w:color w:val="000000"/>
                <w:sz w:val="16"/>
                <w:szCs w:val="16"/>
              </w:rPr>
              <w:t xml:space="preserve">US Executive Order</w:t>
            </w:r>
          </w:p>
        </w:tc>
        <w:tc>
          <w:tcPr>
            <w:tcW w:type="dxa" w:w="3400"/>
            <w:shd w:val="clear" w:color="auto" w:fill="FFFFFF"/>
          </w:tcPr>
          <w:p>
            <w:pPr>
              <w:spacing w:before="40" w:after="40"/>
            </w:pPr>
            <w:r>
              <w:rPr>
                <w:rFonts w:ascii="Calibri" w:cs="Calibri" w:eastAsia="Calibri" w:hAnsi="Calibri"/>
                <w:color w:val="000000"/>
                <w:sz w:val="16"/>
                <w:szCs w:val="16"/>
              </w:rPr>
              <w:t xml:space="preserve">Prohibits new investment in and certain services to the Russian Federation.</w:t>
            </w:r>
          </w:p>
        </w:tc>
        <w:tc>
          <w:tcPr>
            <w:tcW w:type="dxa" w:w="6000"/>
            <w:shd w:val="clear" w:color="auto" w:fill="FFFFFF"/>
          </w:tcPr>
          <w:p>
            <w:pPr>
              <w:spacing w:before="40" w:after="40"/>
            </w:pPr>
            <w:r>
              <w:rPr>
                <w:rFonts w:ascii="Calibri" w:cs="Calibri" w:eastAsia="Calibri" w:hAnsi="Calibri"/>
                <w:color w:val="000000"/>
                <w:sz w:val="16"/>
                <w:szCs w:val="16"/>
              </w:rPr>
              <w:t xml:space="preserve">§1(a)(ii) determination (Feb 27 2025): Prohibition on Petroleum Services — US persons prohibited from providing petroleum services to persons located in Russia. Directly relevant to oilfield services, pipeline maintenance contractors. Independent petroleum services ban operating alongside EO 14024 energy sector designation.</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CAATSA §226 (Pub.L. 115-44, Aug 2 2017)</w:t>
            </w:r>
          </w:p>
        </w:tc>
        <w:tc>
          <w:tcPr>
            <w:tcW w:type="dxa" w:w="1400"/>
            <w:shd w:val="clear" w:color="auto" w:fill="EEF2F8"/>
          </w:tcPr>
          <w:p>
            <w:pPr>
              <w:spacing w:before="40" w:after="40"/>
            </w:pPr>
            <w:r>
              <w:rPr>
                <w:rFonts w:ascii="Calibri" w:cs="Calibri" w:eastAsia="Calibri" w:hAnsi="Calibri"/>
                <w:color w:val="000000"/>
                <w:sz w:val="16"/>
                <w:szCs w:val="16"/>
              </w:rPr>
              <w:t xml:space="preserve">US Statute</w:t>
            </w:r>
          </w:p>
        </w:tc>
        <w:tc>
          <w:tcPr>
            <w:tcW w:type="dxa" w:w="3400"/>
            <w:shd w:val="clear" w:color="auto" w:fill="EEF2F8"/>
          </w:tcPr>
          <w:p>
            <w:pPr>
              <w:spacing w:before="40" w:after="40"/>
            </w:pPr>
            <w:r>
              <w:rPr>
                <w:rFonts w:ascii="Calibri" w:cs="Calibri" w:eastAsia="Calibri" w:hAnsi="Calibri"/>
                <w:color w:val="000000"/>
                <w:sz w:val="16"/>
                <w:szCs w:val="16"/>
              </w:rPr>
              <w:t xml:space="preserve">Countering America's Adversaries Through Sanctions Act, §226: secondary sanctions on foreign financial institutions.</w:t>
            </w:r>
          </w:p>
        </w:tc>
        <w:tc>
          <w:tcPr>
            <w:tcW w:type="dxa" w:w="6000"/>
            <w:shd w:val="clear" w:color="auto" w:fill="EEF2F8"/>
          </w:tcPr>
          <w:p>
            <w:pPr>
              <w:spacing w:before="40" w:after="40"/>
            </w:pPr>
            <w:r>
              <w:rPr>
                <w:rFonts w:ascii="Calibri" w:cs="Calibri" w:eastAsia="Calibri" w:hAnsi="Calibri"/>
                <w:color w:val="000000"/>
                <w:sz w:val="16"/>
                <w:szCs w:val="16"/>
              </w:rPr>
              <w:t xml:space="preserve">Authorizes designation of FFIs providing significant financial services to Russian defense/intelligence sectors. Used here for: Aifory Pro UAE/Turkish correspondent banks; Grinex/Meer Kyrgyz FFI network (Keremet Bank, Capital Bank). Operates alongside IEEPA/EO 14024 for financial institution targeting.</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IEEPA (50 U.S.C. §§ 1701–1708)</w:t>
            </w:r>
          </w:p>
        </w:tc>
        <w:tc>
          <w:tcPr>
            <w:tcW w:type="dxa" w:w="1400"/>
            <w:shd w:val="clear" w:color="auto" w:fill="FFFFFF"/>
          </w:tcPr>
          <w:p>
            <w:pPr>
              <w:spacing w:before="40" w:after="40"/>
            </w:pPr>
            <w:r>
              <w:rPr>
                <w:rFonts w:ascii="Calibri" w:cs="Calibri" w:eastAsia="Calibri" w:hAnsi="Calibri"/>
                <w:color w:val="000000"/>
                <w:sz w:val="16"/>
                <w:szCs w:val="16"/>
              </w:rPr>
              <w:t xml:space="preserve">US Statute</w:t>
            </w:r>
          </w:p>
        </w:tc>
        <w:tc>
          <w:tcPr>
            <w:tcW w:type="dxa" w:w="3400"/>
            <w:shd w:val="clear" w:color="auto" w:fill="FFFFFF"/>
          </w:tcPr>
          <w:p>
            <w:pPr>
              <w:spacing w:before="40" w:after="40"/>
            </w:pPr>
            <w:r>
              <w:rPr>
                <w:rFonts w:ascii="Calibri" w:cs="Calibri" w:eastAsia="Calibri" w:hAnsi="Calibri"/>
                <w:color w:val="000000"/>
                <w:sz w:val="16"/>
                <w:szCs w:val="16"/>
              </w:rPr>
              <w:t xml:space="preserve">International Emergency Economic Powers Act — authority underlying all EOs above.</w:t>
            </w:r>
          </w:p>
        </w:tc>
        <w:tc>
          <w:tcPr>
            <w:tcW w:type="dxa" w:w="6000"/>
            <w:shd w:val="clear" w:color="auto" w:fill="FFFFFF"/>
          </w:tcPr>
          <w:p>
            <w:pPr>
              <w:spacing w:before="40" w:after="40"/>
            </w:pPr>
            <w:r>
              <w:rPr>
                <w:rFonts w:ascii="Calibri" w:cs="Calibri" w:eastAsia="Calibri" w:hAnsi="Calibri"/>
                <w:color w:val="000000"/>
                <w:sz w:val="16"/>
                <w:szCs w:val="16"/>
              </w:rPr>
              <w:t xml:space="preserve">§1702: President's broad blocking authority. Relevant for Aeza Group / Media Land de-peering orders (ISP-level sanctions, not just entity designation). IEEPA allows targeting of infrastructure-level nodes (ASNs, hosting networks) beyond individual entity designation.</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GENIUS Act (S.1582, Public Law 119-27, signed Jul 18 2025) [verify 139 Stat. 419</w:t>
            </w:r>
          </w:p>
        </w:tc>
        <w:tc>
          <w:tcPr>
            <w:tcW w:type="dxa" w:w="1400"/>
            <w:shd w:val="clear" w:color="auto" w:fill="EEF2F8"/>
          </w:tcPr>
          <w:p>
            <w:pPr>
              <w:spacing w:before="40" w:after="40"/>
            </w:pPr>
            <w:r>
              <w:rPr>
                <w:rFonts w:ascii="Calibri" w:cs="Calibri" w:eastAsia="Calibri" w:hAnsi="Calibri"/>
                <w:color w:val="000000"/>
                <w:sz w:val="16"/>
                <w:szCs w:val="16"/>
              </w:rPr>
              <w:t xml:space="preserve">US Statute</w:t>
            </w:r>
          </w:p>
        </w:tc>
        <w:tc>
          <w:tcPr>
            <w:tcW w:type="dxa" w:w="3400"/>
            <w:shd w:val="clear" w:color="auto" w:fill="EEF2F8"/>
          </w:tcPr>
          <w:p>
            <w:pPr>
              <w:spacing w:before="40" w:after="40"/>
            </w:pPr>
            <w:r>
              <w:rPr>
                <w:rFonts w:ascii="Calibri" w:cs="Calibri" w:eastAsia="Calibri" w:hAnsi="Calibri"/>
                <w:color w:val="000000"/>
                <w:sz w:val="16"/>
                <w:szCs w:val="16"/>
              </w:rPr>
              <w:t xml:space="preserve">Federal stablecoin regulatory framework.</w:t>
            </w:r>
          </w:p>
        </w:tc>
        <w:tc>
          <w:tcPr>
            <w:tcW w:type="dxa" w:w="6000"/>
            <w:shd w:val="clear" w:color="auto" w:fill="EEF2F8"/>
          </w:tcPr>
          <w:p>
            <w:pPr>
              <w:spacing w:before="40" w:after="40"/>
            </w:pPr>
            <w:r>
              <w:rPr>
                <w:rFonts w:ascii="Calibri" w:cs="Calibri" w:eastAsia="Calibri" w:hAnsi="Calibri"/>
                <w:color w:val="000000"/>
                <w:sz w:val="16"/>
                <w:szCs w:val="16"/>
              </w:rPr>
              <w:t xml:space="preserve">§4(a)(5)(A): Treats permitted payment stablecoin issuers as financial institutions under BSA — mandatory AML/CFT, sanctions screening, customer identification. §4(a)(5)(B): All issuers must maintain technical capability to seize, freeze, or burn stablecoins on lawful order. §18: Foreign issuers (including A7A5/Grinex-Meer) operating in sanctions-listed jurisdictions are prohibited. Treasury Secretary may designate non-compliant foreign issuers and bar US platforms from facilitating secondary trading of their tokens. Full implementation ~Jan 2027.</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Bank Secrecy Act (31 U.S.C. §§ 5311–5336)</w:t>
            </w:r>
          </w:p>
        </w:tc>
        <w:tc>
          <w:tcPr>
            <w:tcW w:type="dxa" w:w="1400"/>
            <w:shd w:val="clear" w:color="auto" w:fill="FFFFFF"/>
          </w:tcPr>
          <w:p>
            <w:pPr>
              <w:spacing w:before="40" w:after="40"/>
            </w:pPr>
            <w:r>
              <w:rPr>
                <w:rFonts w:ascii="Calibri" w:cs="Calibri" w:eastAsia="Calibri" w:hAnsi="Calibri"/>
                <w:color w:val="000000"/>
                <w:sz w:val="16"/>
                <w:szCs w:val="16"/>
              </w:rPr>
              <w:t xml:space="preserve">US Statute</w:t>
            </w:r>
          </w:p>
        </w:tc>
        <w:tc>
          <w:tcPr>
            <w:tcW w:type="dxa" w:w="3400"/>
            <w:shd w:val="clear" w:color="auto" w:fill="FFFFFF"/>
          </w:tcPr>
          <w:p>
            <w:pPr>
              <w:spacing w:before="40" w:after="40"/>
            </w:pPr>
            <w:r>
              <w:rPr>
                <w:rFonts w:ascii="Calibri" w:cs="Calibri" w:eastAsia="Calibri" w:hAnsi="Calibri"/>
                <w:color w:val="000000"/>
                <w:sz w:val="16"/>
                <w:szCs w:val="16"/>
              </w:rPr>
              <w:t xml:space="preserve">Anti-money laundering framework for financial institutions.</w:t>
            </w:r>
          </w:p>
        </w:tc>
        <w:tc>
          <w:tcPr>
            <w:tcW w:type="dxa" w:w="6000"/>
            <w:shd w:val="clear" w:color="auto" w:fill="FFFFFF"/>
          </w:tcPr>
          <w:p>
            <w:pPr>
              <w:spacing w:before="40" w:after="40"/>
            </w:pPr>
            <w:r>
              <w:rPr>
                <w:rFonts w:ascii="Calibri" w:cs="Calibri" w:eastAsia="Calibri" w:hAnsi="Calibri"/>
                <w:color w:val="000000"/>
                <w:sz w:val="16"/>
                <w:szCs w:val="16"/>
              </w:rPr>
              <w:t xml:space="preserve">GENIUS Act §4 treatment makes stablecoin issuers subject to full BSA obligations. FinCEN task order to Kyrgyz FIU (for Grinex/Meer) flows through bilateral AML cooperation, not BSA directly — but BSA suspicious activity reporting by US-nexus counterparties triggers FinCEN investigation authority.</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EU Regulation 833/2014 (as amended through 19th package, Oct 23 2025)</w:t>
            </w:r>
          </w:p>
        </w:tc>
        <w:tc>
          <w:tcPr>
            <w:tcW w:type="dxa" w:w="1400"/>
            <w:shd w:val="clear" w:color="auto" w:fill="EEF2F8"/>
          </w:tcPr>
          <w:p>
            <w:pPr>
              <w:spacing w:before="40" w:after="40"/>
            </w:pPr>
            <w:r>
              <w:rPr>
                <w:rFonts w:ascii="Calibri" w:cs="Calibri" w:eastAsia="Calibri" w:hAnsi="Calibri"/>
                <w:color w:val="000000"/>
                <w:sz w:val="16"/>
                <w:szCs w:val="16"/>
              </w:rPr>
              <w:t xml:space="preserve">EU Regulation</w:t>
            </w:r>
          </w:p>
        </w:tc>
        <w:tc>
          <w:tcPr>
            <w:tcW w:type="dxa" w:w="3400"/>
            <w:shd w:val="clear" w:color="auto" w:fill="EEF2F8"/>
          </w:tcPr>
          <w:p>
            <w:pPr>
              <w:spacing w:before="40" w:after="40"/>
            </w:pPr>
            <w:r>
              <w:rPr>
                <w:rFonts w:ascii="Calibri" w:cs="Calibri" w:eastAsia="Calibri" w:hAnsi="Calibri"/>
                <w:color w:val="000000"/>
                <w:sz w:val="16"/>
                <w:szCs w:val="16"/>
              </w:rPr>
              <w:t xml:space="preserve">Core EU Russia sectoral and asset-freeze sanctions regulation. Implements EU Council decisions.</w:t>
            </w:r>
          </w:p>
        </w:tc>
        <w:tc>
          <w:tcPr>
            <w:tcW w:type="dxa" w:w="6000"/>
            <w:shd w:val="clear" w:color="auto" w:fill="EEF2F8"/>
          </w:tcPr>
          <w:p>
            <w:pPr>
              <w:spacing w:before="40" w:after="40"/>
            </w:pPr>
            <w:r>
              <w:rPr>
                <w:rFonts w:ascii="Calibri" w:cs="Calibri" w:eastAsia="Calibri" w:hAnsi="Calibri"/>
                <w:color w:val="000000"/>
                <w:sz w:val="16"/>
                <w:szCs w:val="16"/>
              </w:rPr>
              <w:t xml:space="preserve">Art. 3m: LNG import ban — within six months of adoption for short-term contracts; starting Jan 1 2027 for long-term contracts (pre-June 17 2025, not materially amended). Art. 5aa: Transaction ban on Rosneft, Gazprom Neft (exemptions removed by 19th package). Art. 5ad: Crypto-asset service provider transaction ban (Annex XLV). Art. 5ae: Port infrastructure ban (now extendable to third-country ports). Art. 5af: SPFS/Mir/SBP payment messaging ban (effective Jan 25 2026). Art. 5ah: Special economic zone investment ban (Alabuga/Technopolis Moscow, effective Jan 25 2026). Annex XLII: Shadow fleet vessel list (557 vessels as of Oct 2025).</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EU Regulation 269/2014 (as amended)</w:t>
            </w:r>
          </w:p>
        </w:tc>
        <w:tc>
          <w:tcPr>
            <w:tcW w:type="dxa" w:w="1400"/>
            <w:shd w:val="clear" w:color="auto" w:fill="FFFFFF"/>
          </w:tcPr>
          <w:p>
            <w:pPr>
              <w:spacing w:before="40" w:after="40"/>
            </w:pPr>
            <w:r>
              <w:rPr>
                <w:rFonts w:ascii="Calibri" w:cs="Calibri" w:eastAsia="Calibri" w:hAnsi="Calibri"/>
                <w:color w:val="000000"/>
                <w:sz w:val="16"/>
                <w:szCs w:val="16"/>
              </w:rPr>
              <w:t xml:space="preserve">EU Regulation</w:t>
            </w:r>
          </w:p>
        </w:tc>
        <w:tc>
          <w:tcPr>
            <w:tcW w:type="dxa" w:w="3400"/>
            <w:shd w:val="clear" w:color="auto" w:fill="FFFFFF"/>
          </w:tcPr>
          <w:p>
            <w:pPr>
              <w:spacing w:before="40" w:after="40"/>
            </w:pPr>
            <w:r>
              <w:rPr>
                <w:rFonts w:ascii="Calibri" w:cs="Calibri" w:eastAsia="Calibri" w:hAnsi="Calibri"/>
                <w:color w:val="000000"/>
                <w:sz w:val="16"/>
                <w:szCs w:val="16"/>
              </w:rPr>
              <w:t xml:space="preserve">EU individual asset-freeze and travel ban sanctions — Ukraine/Russia context.</w:t>
            </w:r>
          </w:p>
        </w:tc>
        <w:tc>
          <w:tcPr>
            <w:tcW w:type="dxa" w:w="6000"/>
            <w:shd w:val="clear" w:color="auto" w:fill="FFFFFF"/>
          </w:tcPr>
          <w:p>
            <w:pPr>
              <w:spacing w:before="40" w:after="40"/>
            </w:pPr>
            <w:r>
              <w:rPr>
                <w:rFonts w:ascii="Calibri" w:cs="Calibri" w:eastAsia="Calibri" w:hAnsi="Calibri"/>
                <w:color w:val="000000"/>
                <w:sz w:val="16"/>
                <w:szCs w:val="16"/>
              </w:rPr>
              <w:t xml:space="preserve">Framework for individual designations. As of Oct 2025: 2,700+ individuals and entities listed. Relevant personal designations in this index: Timchenko, Sechin, Miller, Tokarev, Akimov (all designated). Mikhelson: NOT designated by EU as of March 2026 — gap confirmed.</w:t>
            </w:r>
          </w:p>
        </w:tc>
      </w:tr>
      <w:tr>
        <w:tc>
          <w:tcPr>
            <w:tcW w:type="dxa" w:w="2400"/>
            <w:shd w:val="clear" w:color="auto" w:fill="EEF2F8"/>
          </w:tcPr>
          <w:p>
            <w:pPr>
              <w:spacing w:before="40" w:after="40"/>
            </w:pPr>
            <w:r>
              <w:rPr>
                <w:rFonts w:ascii="Calibri" w:cs="Calibri" w:eastAsia="Calibri" w:hAnsi="Calibri"/>
                <w:b/>
                <w:bCs/>
                <w:color w:val="000000"/>
                <w:sz w:val="16"/>
                <w:szCs w:val="16"/>
              </w:rPr>
              <w:t xml:space="preserve">FATF Recommendation 16 (Wire Transfers) and R.15 (New Technologies)</w:t>
            </w:r>
          </w:p>
        </w:tc>
        <w:tc>
          <w:tcPr>
            <w:tcW w:type="dxa" w:w="1400"/>
            <w:shd w:val="clear" w:color="auto" w:fill="EEF2F8"/>
          </w:tcPr>
          <w:p>
            <w:pPr>
              <w:spacing w:before="40" w:after="40"/>
            </w:pPr>
            <w:r>
              <w:rPr>
                <w:rFonts w:ascii="Calibri" w:cs="Calibri" w:eastAsia="Calibri" w:hAnsi="Calibri"/>
                <w:color w:val="000000"/>
                <w:sz w:val="16"/>
                <w:szCs w:val="16"/>
              </w:rPr>
              <w:t xml:space="preserve">FATF Framework</w:t>
            </w:r>
          </w:p>
        </w:tc>
        <w:tc>
          <w:tcPr>
            <w:tcW w:type="dxa" w:w="3400"/>
            <w:shd w:val="clear" w:color="auto" w:fill="EEF2F8"/>
          </w:tcPr>
          <w:p>
            <w:pPr>
              <w:spacing w:before="40" w:after="40"/>
            </w:pPr>
            <w:r>
              <w:rPr>
                <w:rFonts w:ascii="Calibri" w:cs="Calibri" w:eastAsia="Calibri" w:hAnsi="Calibri"/>
                <w:color w:val="000000"/>
                <w:sz w:val="16"/>
                <w:szCs w:val="16"/>
              </w:rPr>
              <w:t xml:space="preserve">Financial Action Task Force — global AML/CFT standards.</w:t>
            </w:r>
          </w:p>
        </w:tc>
        <w:tc>
          <w:tcPr>
            <w:tcW w:type="dxa" w:w="6000"/>
            <w:shd w:val="clear" w:color="auto" w:fill="EEF2F8"/>
          </w:tcPr>
          <w:p>
            <w:pPr>
              <w:spacing w:before="40" w:after="40"/>
            </w:pPr>
            <w:r>
              <w:rPr>
                <w:rFonts w:ascii="Calibri" w:cs="Calibri" w:eastAsia="Calibri" w:hAnsi="Calibri"/>
                <w:color w:val="000000"/>
                <w:sz w:val="16"/>
                <w:szCs w:val="16"/>
              </w:rPr>
              <w:t xml:space="preserve">R.16 wire transfer transparency requirements apply to correspondent banking relationships with Russian FFIs — relevant for tracing Grinex/Meer USDT flows through Kyrgyz banks. R.15 requires VASP (Virtual Asset Service Provider) regulation — GENIUS Act implementation satisfies US R.15 obligations. FATF re-referral of Kyrgyzstan as a lever for Grinex/Meer disclosure is grounded in R.15/R.16 mutual evaluation process.</w:t>
            </w:r>
          </w:p>
        </w:tc>
      </w:tr>
      <w:tr>
        <w:tc>
          <w:tcPr>
            <w:tcW w:type="dxa" w:w="2400"/>
            <w:shd w:val="clear" w:color="auto" w:fill="FFFFFF"/>
          </w:tcPr>
          <w:p>
            <w:pPr>
              <w:spacing w:before="40" w:after="40"/>
            </w:pPr>
            <w:r>
              <w:rPr>
                <w:rFonts w:ascii="Calibri" w:cs="Calibri" w:eastAsia="Calibri" w:hAnsi="Calibri"/>
                <w:b/>
                <w:bCs/>
                <w:color w:val="000000"/>
                <w:sz w:val="16"/>
                <w:szCs w:val="16"/>
              </w:rPr>
              <w:t xml:space="preserve">IMO Resolution A.1192(33) — High-Risk Shipping Practices</w:t>
            </w:r>
          </w:p>
        </w:tc>
        <w:tc>
          <w:tcPr>
            <w:tcW w:type="dxa" w:w="1400"/>
            <w:shd w:val="clear" w:color="auto" w:fill="FFFFFF"/>
          </w:tcPr>
          <w:p>
            <w:pPr>
              <w:spacing w:before="40" w:after="40"/>
            </w:pPr>
            <w:r>
              <w:rPr>
                <w:rFonts w:ascii="Calibri" w:cs="Calibri" w:eastAsia="Calibri" w:hAnsi="Calibri"/>
                <w:color w:val="000000"/>
                <w:sz w:val="16"/>
                <w:szCs w:val="16"/>
              </w:rPr>
              <w:t xml:space="preserve">IMO Framework</w:t>
            </w:r>
          </w:p>
        </w:tc>
        <w:tc>
          <w:tcPr>
            <w:tcW w:type="dxa" w:w="3400"/>
            <w:shd w:val="clear" w:color="auto" w:fill="FFFFFF"/>
          </w:tcPr>
          <w:p>
            <w:pPr>
              <w:spacing w:before="40" w:after="40"/>
            </w:pPr>
            <w:r>
              <w:rPr>
                <w:rFonts w:ascii="Calibri" w:cs="Calibri" w:eastAsia="Calibri" w:hAnsi="Calibri"/>
                <w:color w:val="000000"/>
                <w:sz w:val="16"/>
                <w:szCs w:val="16"/>
              </w:rPr>
              <w:t xml:space="preserve">International Maritime Organization General Assembly resolution on irregular/high-risk shipping.</w:t>
            </w:r>
          </w:p>
        </w:tc>
        <w:tc>
          <w:tcPr>
            <w:tcW w:type="dxa" w:w="6000"/>
            <w:shd w:val="clear" w:color="auto" w:fill="FFFFFF"/>
          </w:tcPr>
          <w:p>
            <w:pPr>
              <w:spacing w:before="40" w:after="40"/>
            </w:pPr>
            <w:r>
              <w:rPr>
                <w:rFonts w:ascii="Calibri" w:cs="Calibri" w:eastAsia="Calibri" w:hAnsi="Calibri"/>
                <w:color w:val="000000"/>
                <w:sz w:val="16"/>
                <w:szCs w:val="16"/>
              </w:rPr>
              <w:t xml:space="preserve">EU 19th package codified this resolution as a shadow fleet designation criterion: vessels transporting Russian mineral products using practices listed in A.1192(33) (AIS manipulation, dark voyages, flag-hopping, ship-to-ship transfers in restricted areas) are now eligible for EU port ban and services ban. Applies to Arctic Metagas, Mires, Lynx, and newly flagged vessels.</w:t>
            </w:r>
          </w:p>
        </w:tc>
      </w:tr>
    </w:tbl>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Sections XVI–XIX added March 2026 to reflect: (1) Rosneft/Lukoil full designation (Oct 22 2025); (2) EU 19th sanctions package (Oct 23 2025) including LNG ban and 557-vessel shadow fleet list; (3) GENIUS Act enactment (S.1582, Jul 18 2025) and full stablecoin BSA framework; (4) EO 14114 FFI secondary sanctions standing authority; (5) GL wind-down and amended-license status through Apr 2026 (including GL 129A superseding GL 129 on Mar 5 2026); (6) EU SPFS/Mir/SBP ban effective Jan 25 2026; (7) IMO A.1192(33) shadow fleet designation criterion.</w:t>
      </w:r>
    </w:p>
    <w:p>
      <w:r>
        <w:br w:type="page"/>
      </w:r>
    </w:p>
    <w:p>
      <w:pPr>
        <w:spacing w:before="240" w:after="120"/>
        <w:rPr>
          <w:rFonts w:ascii="Calibri" w:cs="Calibri" w:eastAsia="Calibri" w:hAnsi="Calibri"/>
          <w:b/>
          <w:bCs/>
          <w:color w:val="1C2B4A"/>
          <w:sz w:val="30"/>
          <w:szCs w:val="30"/>
        </w:rPr>
      </w:pPr>
      <w:r>
        <w:rPr>
          <w:rFonts w:ascii="Calibri" w:cs="Calibri" w:eastAsia="Calibri" w:hAnsi="Calibri"/>
          <w:b/>
          <w:bCs/>
          <w:color w:val="1C2B4A"/>
          <w:sz w:val="30"/>
          <w:szCs w:val="30"/>
        </w:rPr>
        <w:t xml:space="preserve">XX. Chinese Evasion Architecture — Dollar Re-Entry Points and Enforcement Theory</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Chinese state and private actors do not passively hold OFF-LIMITS status in this network — they actively operate the primary sanctions evasion architecture. This section maps the specific mechanisms by which dollar jurisdiction and SWIFT nexus re-enter the China-Russia transaction chain, and matches each re-entry point to the most viable enforcement theory. The structural problem is that tier-1 Chinese state banks (ICBC, BOC, CCB) have largely self-segmented from dollar-clearing on Russia transactions, deliberately staying below the 'significant transaction' threshold and outside dollar jurisdiction. Enforcement therefore targets the specific nodes where dollar nexus reattaches — and those nodes are identifiable and legally reachable.</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A. USDT/Stablecoin Layer — Primary Dollar Re-Entry Point</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Every conversion of yuan or rubles to USDT — whether through Hong Kong OTC desks, Binance P2P, or direct exchange — touches a dollar-denominated instrument issued by Tether (BVI/El Salvador registration). Post-GENIUS Act (S.1582, Public Law 119-27, Jul 18 2025) [139 Stat. 419; permitted payment stablecoin issuers are subject to BSA treatment and lawful-order compliance obligations including freeze/burn/seize capability. Tether-specific enforcement authority should be assessed against the issuer's regulatory status and US jurisdictional nexus under the Act's implementation regulations. A formal OFAC demand to Tether for wallet freeze on identified sanctioned addresses is legally grounded in a way it was not before July 2025. Tether has complied with prior OFAC requests; the GENIUS Act converts that voluntary compliance into a legal mandate. The mixing layer (cross-chain bridges, Tornado Cash successors) is harder but not opaque — TRM Labs and Chainalysis heuristic cluster analysis can attribute mixing outputs with sufficient confidence for a nexus determination. Post-GENIUS Act, the BSA paper trail that enables this attribution is now formally required to exist.</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B. Hong Kong OTC Cluster — Fiat Conversion Chokepoint</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Hong Kong OTC desks are the primary ruble/yuan-to-USDT-to-fiat conversion point at scale. These desks operate under Hong Kong's SFC VATP (virtual-asset trading platform) licensing regime (effective June 1 2023) and have compliance obligations under Hong Kong law. Note: HKMA has a separate role for the fiat-referenced stablecoin issuer regime effective Aug 1 2025. Direct US primary sanctions reach is limited for HK-domiciled entities with no US nexus, but correspondent banking pressure is highly effective: HSBC, Standard Chartered, and Hang Seng — the banks servicing these desks — all carry significant US dollar clearing exposure and are acutely sensitive to OFAC secondary sanctions risk. An OFAC advisory identifying specific HK OTC desks as high-risk, combined with informal communication to those banks' compliance functions, has historically produced faster results than formal designation at this tier. Two HK-based oil trading companies were added to EU transaction bans in the 19th package (Oct 2025) — this is the correct template and should be replicated at the OFAC level with the specific desks identified through TRM Labs blockchain analytics.</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C. Crypto Index Products and Structured Exposure</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Several Hong Kong and Chinese-domiciled crypto funds offer index products with derivative exposure to Russian crypto mining output (BitRiver-adjacent) and to A7A5/USDT arbitrage strategies. These products avoid direct nexus by holding structured derivative exposure rather than sanctioned assets directly. The enforcement theory is EO 14024 §1(a)(iii): any person providing financial services that benefit a blocked person, even indirectly through structured products. OFAC applied this theory successfully against traditional finance structured products in the Venezuelan PDVSA bond cases. It has not been applied aggressively to crypto index products, but post-GENIUS Act BSA treatment creates the paper trail (mandatory transaction records, SAR obligations) that makes the nexus determination viable. Priority: identify HK-licensed fund managers with documented exposure to BitRiver compute output or A7A5 settlement flows; build EO 14024 §1(a)(iii) designation packages.</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D. Yuan-Denominated Trade Finance — Hardest Layer</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COFCO, Sinograin, and Sinochem settle Russian commodity purchases in yuan through CIPS and the BRICS Bridge architecture — no dollar nexus by design. This is the highest-volume evasion channel and the hardest to reach with existing US authorities. The enforcement theory shifts from sanctions to trade law: Section 301 tariffs on goods with Russian-origin inputs, export control denial orders on dual-use goods flowing through the same commodity traders, and secondary sanctions on specific Chinese commodity trading subsidiaries that can be shown to be enabling Russian revenue generation. The EU designated one Chinese refinery and a large Chinese state-owned company in the 19th package as facilitating Russian oil trade — that is the operative template. The secondary sanctions theory against COFCO/Sinograin grain purchases from Zabaykalsk is the most aggressive and least-tested enforcement action in this document. It has not been attempted. It is legally available under EO 14024 §1(a)(iii) if transaction-level evidence of Russian-sanctioned-entity revenue benefit can be established.</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E. FinCEN Section 311 — Underused Jurisdictional Lever</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Section 311 of the USA PATRIOT Act (31 U.S.C. §5318A) authorizes FinCEN to designate a jurisdiction, institution, or class of transactions as a 'primary money laundering concern,' triggering mandatory enhanced due diligence on all US financial institutions with correspondent relationships in that jurisdiction. A Section 311 special measure against Kyrgyz financial institutions specifically for Russian sanctions evasion facilitation (Grinex/Meer, Keremet Bank, Capital Bank) would be more immediately effective than FATF re-referral and does not require multilateral consensus. It is a unilateral US action with immediate compliance obligations on US correspondent banks. Kyrgyzstan, Kazakhstan, and Armenia have all seen dramatic increases in re-export trade with Russia since 2022 — a Section 311 designation of the Kyrgyz financial sector would create immediate pressure without the 18-24 month FATF timeline. This is the most underused authority in this document.</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XX. Chinese Evasion Architecture — Node Register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400"/>
        <w:gridCol w:w="4600"/>
      </w:tblGrid>
      <w:tr>
        <w:tc>
          <w:tcPr>
            <w:tcW w:type="dxa" w:w="2200"/>
            <w:shd w:val="clear" w:color="auto" w:fill="1C2B4A"/>
          </w:tcPr>
          <w:p>
            <w:pPr>
              <w:jc w:val="center"/>
            </w:pPr>
            <w:r>
              <w:rPr>
                <w:rFonts w:ascii="Calibri" w:cs="Calibri" w:eastAsia="Calibri" w:hAnsi="Calibri"/>
                <w:b/>
                <w:bCs/>
                <w:color w:val="FFFFFF"/>
                <w:sz w:val="16"/>
                <w:szCs w:val="16"/>
              </w:rPr>
              <w:t xml:space="preserve">NODE</w:t>
            </w:r>
          </w:p>
        </w:tc>
        <w:tc>
          <w:tcPr>
            <w:tcW w:type="dxa" w:w="2000"/>
            <w:shd w:val="clear" w:color="auto" w:fill="1C2B4A"/>
          </w:tcPr>
          <w:p>
            <w:pPr>
              <w:jc w:val="center"/>
            </w:pPr>
            <w:r>
              <w:rPr>
                <w:rFonts w:ascii="Calibri" w:cs="Calibri" w:eastAsia="Calibri" w:hAnsi="Calibri"/>
                <w:b/>
                <w:bCs/>
                <w:color w:val="FFFFFF"/>
                <w:sz w:val="16"/>
                <w:szCs w:val="16"/>
              </w:rPr>
              <w:t xml:space="preserve">LOCATION</w:t>
            </w:r>
          </w:p>
        </w:tc>
        <w:tc>
          <w:tcPr>
            <w:tcW w:type="dxa" w:w="2000"/>
            <w:shd w:val="clear" w:color="auto" w:fill="1C2B4A"/>
          </w:tcPr>
          <w:p>
            <w:pPr>
              <w:jc w:val="center"/>
            </w:pPr>
            <w:r>
              <w:rPr>
                <w:rFonts w:ascii="Calibri" w:cs="Calibri" w:eastAsia="Calibri" w:hAnsi="Calibri"/>
                <w:b/>
                <w:bCs/>
                <w:color w:val="FFFFFF"/>
                <w:sz w:val="16"/>
                <w:szCs w:val="16"/>
              </w:rPr>
              <w:t xml:space="preserve">OPERATOR / STRUCTURE</w:t>
            </w:r>
          </w:p>
        </w:tc>
        <w:tc>
          <w:tcPr>
            <w:tcW w:type="dxa" w:w="2400"/>
            <w:shd w:val="clear" w:color="auto" w:fill="1C2B4A"/>
          </w:tcPr>
          <w:p>
            <w:pPr>
              <w:jc w:val="center"/>
            </w:pPr>
            <w:r>
              <w:rPr>
                <w:rFonts w:ascii="Calibri" w:cs="Calibri" w:eastAsia="Calibri" w:hAnsi="Calibri"/>
                <w:b/>
                <w:bCs/>
                <w:color w:val="FFFFFF"/>
                <w:sz w:val="16"/>
                <w:szCs w:val="16"/>
              </w:rPr>
              <w:t xml:space="preserve">LEGAL AUTHORITY</w:t>
            </w:r>
          </w:p>
        </w:tc>
        <w:tc>
          <w:tcPr>
            <w:tcW w:type="dxa" w:w="4600"/>
            <w:shd w:val="clear" w:color="auto" w:fill="1C2B4A"/>
          </w:tcPr>
          <w:p>
            <w:pPr>
              <w:jc w:val="center"/>
            </w:pPr>
            <w:r>
              <w:rPr>
                <w:rFonts w:ascii="Calibri" w:cs="Calibri" w:eastAsia="Calibri" w:hAnsi="Calibri"/>
                <w:b/>
                <w:bCs/>
                <w:color w:val="FFFFFF"/>
                <w:sz w:val="16"/>
                <w:szCs w:val="16"/>
              </w:rPr>
              <w:t xml:space="preserve">ENFORCEMENT THEORY AND ACTION</w:t>
            </w:r>
          </w:p>
        </w:tc>
        <w:tc>
          <w:tcPr>
            <w:tcW w:type="dxa" w:w="800"/>
            <w:shd w:val="clear" w:color="auto" w:fill="1C2B4A"/>
          </w:tcPr>
          <w:p>
            <w:pPr>
              <w:jc w:val="center"/>
            </w:pPr>
            <w:r>
              <w:rPr>
                <w:rFonts w:ascii="Calibri" w:cs="Calibri" w:hAnsi="Calibri"/>
                <w:b/>
                <w:bCs/>
                <w:color w:val="FFFFFF"/>
                <w:sz w:val="16"/>
                <w:szCs w:val="16"/>
              </w:rPr>
              <w:t xml:space="preserve">STATUS</w:t>
            </w:r>
          </w:p>
        </w:tc>
      </w:tr>
      <w:tr>
        <w:tc>
          <w:tcPr>
            <w:tcW w:type="dxa" w:w="2200"/>
            <w:shd w:val="clear" w:color="auto" w:fill="EEF2F8"/>
          </w:tcPr>
          <w:p>
            <w:pPr>
              <w:spacing w:before="40" w:after="40"/>
            </w:pPr>
            <w:r>
              <w:rPr>
                <w:rFonts w:ascii="Calibri" w:cs="Calibri" w:eastAsia="Calibri" w:hAnsi="Calibri"/>
                <w:b/>
                <w:bCs/>
                <w:color w:val="1C2B4A"/>
                <w:sz w:val="16"/>
                <w:szCs w:val="16"/>
              </w:rPr>
              <w:t xml:space="preserve">Tether USDT On/Off Ramp (Russia-China corridor)</w:t>
            </w:r>
          </w:p>
        </w:tc>
        <w:tc>
          <w:tcPr>
            <w:tcW w:type="dxa" w:w="2000"/>
            <w:shd w:val="clear" w:color="auto" w:fill="EEF2F8"/>
          </w:tcPr>
          <w:p>
            <w:pPr>
              <w:spacing w:before="40" w:after="40"/>
            </w:pPr>
            <w:r>
              <w:rPr>
                <w:rFonts w:ascii="Calibri" w:cs="Calibri" w:eastAsia="Calibri" w:hAnsi="Calibri"/>
                <w:color w:val="000000"/>
                <w:sz w:val="16"/>
                <w:szCs w:val="16"/>
              </w:rPr>
              <w:t xml:space="preserve">BVI / El Salvador (global)</w:t>
            </w:r>
          </w:p>
        </w:tc>
        <w:tc>
          <w:tcPr>
            <w:tcW w:type="dxa" w:w="2000"/>
            <w:shd w:val="clear" w:color="auto" w:fill="EEF2F8"/>
          </w:tcPr>
          <w:p>
            <w:pPr>
              <w:spacing w:before="40" w:after="40"/>
            </w:pPr>
            <w:r>
              <w:rPr>
                <w:rFonts w:ascii="Calibri" w:cs="Calibri" w:eastAsia="Calibri" w:hAnsi="Calibri"/>
                <w:color w:val="000000"/>
                <w:sz w:val="16"/>
                <w:szCs w:val="16"/>
              </w:rPr>
              <w:t xml:space="preserve">Tether Operations Ltd</w:t>
            </w:r>
          </w:p>
        </w:tc>
        <w:tc>
          <w:tcPr>
            <w:tcW w:type="dxa" w:w="2400"/>
            <w:shd w:val="clear" w:color="auto" w:fill="EEF2F8"/>
          </w:tcPr>
          <w:p>
            <w:pPr>
              <w:spacing w:before="40" w:after="40"/>
            </w:pPr>
            <w:r>
              <w:rPr>
                <w:rFonts w:ascii="Calibri" w:cs="Calibri" w:eastAsia="Calibri" w:hAnsi="Calibri"/>
                <w:color w:val="000000"/>
                <w:sz w:val="16"/>
                <w:szCs w:val="16"/>
              </w:rPr>
              <w:t xml:space="preserve">GENIUS Act §4(a)(5)(A); BSA; EO 14024</w:t>
            </w:r>
          </w:p>
        </w:tc>
        <w:tc>
          <w:tcPr>
            <w:tcW w:type="dxa" w:w="4600"/>
            <w:shd w:val="clear" w:color="auto" w:fill="EEF2F8"/>
          </w:tcPr>
          <w:p>
            <w:pPr>
              <w:spacing w:before="40" w:after="40"/>
            </w:pPr>
            <w:r>
              <w:rPr>
                <w:rFonts w:ascii="Calibri" w:cs="Calibri" w:eastAsia="Calibri" w:hAnsi="Calibri"/>
                <w:color w:val="000000"/>
                <w:sz w:val="16"/>
                <w:szCs w:val="16"/>
              </w:rPr>
              <w:t xml:space="preserve">GENIUS Act mandates BSA treatment — Permitted payment stablecoin issuers under the GENIUS Act are subject to BSA treatment with mandatory sanctions screening and freeze/burn/seize capability. OFAC demand letter for identified sanctioned wallet cluster freeze is legally grounded post-Jul 2025. Priority: task TRM Labs cluster analysis to identify USDT wallets with &gt;80% transaction volume traceable to sanctioned Russian sources; submit freeze demand to Tether under GENIUS Act §4(a)(5)(B).</w:t>
            </w:r>
          </w:p>
        </w:tc>
        <w:tc>
          <w:tcPr>
            <w:tcW w:type="dxa" w:w="8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r>
      <w:tr>
        <w:tc>
          <w:tcPr>
            <w:tcW w:type="dxa" w:w="2200"/>
            <w:shd w:val="clear" w:color="auto" w:fill="FFFFFF"/>
          </w:tcPr>
          <w:p>
            <w:pPr>
              <w:spacing w:before="40" w:after="40"/>
            </w:pPr>
            <w:r>
              <w:rPr>
                <w:rFonts w:ascii="Calibri" w:cs="Calibri" w:eastAsia="Calibri" w:hAnsi="Calibri"/>
                <w:b/>
                <w:bCs/>
                <w:color w:val="1C2B4A"/>
                <w:sz w:val="16"/>
                <w:szCs w:val="16"/>
              </w:rPr>
              <w:t xml:space="preserve">Hong Kong OTC Crypto Cluster</w:t>
            </w:r>
          </w:p>
        </w:tc>
        <w:tc>
          <w:tcPr>
            <w:tcW w:type="dxa" w:w="2000"/>
            <w:shd w:val="clear" w:color="auto" w:fill="FFFFFF"/>
          </w:tcPr>
          <w:p>
            <w:pPr>
              <w:spacing w:before="40" w:after="40"/>
            </w:pPr>
            <w:r>
              <w:rPr>
                <w:rFonts w:ascii="Calibri" w:cs="Calibri" w:eastAsia="Calibri" w:hAnsi="Calibri"/>
                <w:color w:val="000000"/>
                <w:sz w:val="16"/>
                <w:szCs w:val="16"/>
              </w:rPr>
              <w:t xml:space="preserve">Hong Kong SAR, China</w:t>
            </w:r>
          </w:p>
        </w:tc>
        <w:tc>
          <w:tcPr>
            <w:tcW w:type="dxa" w:w="2000"/>
            <w:shd w:val="clear" w:color="auto" w:fill="FFFFFF"/>
          </w:tcPr>
          <w:p>
            <w:pPr>
              <w:spacing w:before="40" w:after="40"/>
            </w:pPr>
            <w:r>
              <w:rPr>
                <w:rFonts w:ascii="Calibri" w:cs="Calibri" w:eastAsia="Calibri" w:hAnsi="Calibri"/>
                <w:color w:val="000000"/>
                <w:sz w:val="16"/>
                <w:szCs w:val="16"/>
              </w:rPr>
              <w:t xml:space="preserve">Multiple SFC-licensed VATPs; shell-structured resellers</w:t>
            </w:r>
          </w:p>
        </w:tc>
        <w:tc>
          <w:tcPr>
            <w:tcW w:type="dxa" w:w="2400"/>
            <w:shd w:val="clear" w:color="auto" w:fill="FFFFFF"/>
          </w:tcPr>
          <w:p>
            <w:pPr>
              <w:spacing w:before="40" w:after="40"/>
            </w:pPr>
            <w:r>
              <w:rPr>
                <w:rFonts w:ascii="Calibri" w:cs="Calibri" w:eastAsia="Calibri" w:hAnsi="Calibri"/>
                <w:color w:val="000000"/>
                <w:sz w:val="16"/>
                <w:szCs w:val="16"/>
              </w:rPr>
              <w:t xml:space="preserve">EO 14024 §1(a)(iii); EO 13382; GENIUS Act</w:t>
            </w:r>
          </w:p>
        </w:tc>
        <w:tc>
          <w:tcPr>
            <w:tcW w:type="dxa" w:w="4600"/>
            <w:shd w:val="clear" w:color="auto" w:fill="FFFFFF"/>
          </w:tcPr>
          <w:p>
            <w:pPr>
              <w:spacing w:before="40" w:after="40"/>
            </w:pPr>
            <w:r>
              <w:rPr>
                <w:rFonts w:ascii="Calibri" w:cs="Calibri" w:eastAsia="Calibri" w:hAnsi="Calibri"/>
                <w:color w:val="000000"/>
                <w:sz w:val="16"/>
                <w:szCs w:val="16"/>
              </w:rPr>
              <w:t xml:space="preserve">Correspondent banking pressure on HSBC/StanChart/Hang Seng is the primary lever — these banks have dollar clearing exposure and cannot afford OFAC secondary sanctions designation. Parallel: OFAC advisory identifying specific OTC desks as high-risk. EU 19th package imposed transaction bans on certain third-country banks and oil traders, including operators in Hong Kong. Replicate designation approach at OFAC level. TRM Labs blockchain analytics required first to identify specific desk wallet clusters.</w:t>
            </w:r>
          </w:p>
        </w:tc>
        <w:tc>
          <w:tcPr>
            <w:tcW w:type="dxa" w:w="8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r>
      <w:tr>
        <w:tc>
          <w:tcPr>
            <w:tcW w:type="dxa" w:w="2200"/>
            <w:shd w:val="clear" w:color="auto" w:fill="EEF2F8"/>
          </w:tcPr>
          <w:p>
            <w:pPr>
              <w:spacing w:before="40" w:after="40"/>
            </w:pPr>
            <w:r>
              <w:rPr>
                <w:rFonts w:ascii="Calibri" w:cs="Calibri" w:eastAsia="Calibri" w:hAnsi="Calibri"/>
                <w:b/>
                <w:bCs/>
                <w:color w:val="1C2B4A"/>
                <w:sz w:val="16"/>
                <w:szCs w:val="16"/>
              </w:rPr>
              <w:t xml:space="preserve">Crypto Index / Structured Derivative Products</w:t>
            </w:r>
          </w:p>
        </w:tc>
        <w:tc>
          <w:tcPr>
            <w:tcW w:type="dxa" w:w="2000"/>
            <w:shd w:val="clear" w:color="auto" w:fill="EEF2F8"/>
          </w:tcPr>
          <w:p>
            <w:pPr>
              <w:spacing w:before="40" w:after="40"/>
            </w:pPr>
            <w:r>
              <w:rPr>
                <w:rFonts w:ascii="Calibri" w:cs="Calibri" w:eastAsia="Calibri" w:hAnsi="Calibri"/>
                <w:color w:val="000000"/>
                <w:sz w:val="16"/>
                <w:szCs w:val="16"/>
              </w:rPr>
              <w:t xml:space="preserve">Hong Kong / Cayman Islands</w:t>
            </w:r>
          </w:p>
        </w:tc>
        <w:tc>
          <w:tcPr>
            <w:tcW w:type="dxa" w:w="2000"/>
            <w:shd w:val="clear" w:color="auto" w:fill="EEF2F8"/>
          </w:tcPr>
          <w:p>
            <w:pPr>
              <w:spacing w:before="40" w:after="40"/>
            </w:pPr>
            <w:r>
              <w:rPr>
                <w:rFonts w:ascii="Calibri" w:cs="Calibri" w:eastAsia="Calibri" w:hAnsi="Calibri"/>
                <w:color w:val="000000"/>
                <w:sz w:val="16"/>
                <w:szCs w:val="16"/>
              </w:rPr>
              <w:t xml:space="preserve">HK-licensed fund managers (undisclosed); Cayman-registered SPVs</w:t>
            </w:r>
          </w:p>
        </w:tc>
        <w:tc>
          <w:tcPr>
            <w:tcW w:type="dxa" w:w="2400"/>
            <w:shd w:val="clear" w:color="auto" w:fill="EEF2F8"/>
          </w:tcPr>
          <w:p>
            <w:pPr>
              <w:spacing w:before="40" w:after="40"/>
            </w:pPr>
            <w:r>
              <w:rPr>
                <w:rFonts w:ascii="Calibri" w:cs="Calibri" w:eastAsia="Calibri" w:hAnsi="Calibri"/>
                <w:color w:val="000000"/>
                <w:sz w:val="16"/>
                <w:szCs w:val="16"/>
              </w:rPr>
              <w:t xml:space="preserve">EO 14024 §1(a)(iii); GENIUS Act BSA</w:t>
            </w:r>
          </w:p>
        </w:tc>
        <w:tc>
          <w:tcPr>
            <w:tcW w:type="dxa" w:w="4600"/>
            <w:shd w:val="clear" w:color="auto" w:fill="EEF2F8"/>
          </w:tcPr>
          <w:p>
            <w:pPr>
              <w:spacing w:before="40" w:after="40"/>
            </w:pPr>
            <w:r>
              <w:rPr>
                <w:rFonts w:ascii="Calibri" w:cs="Calibri" w:eastAsia="Calibri" w:hAnsi="Calibri"/>
                <w:color w:val="000000"/>
                <w:sz w:val="16"/>
                <w:szCs w:val="16"/>
              </w:rPr>
              <w:t xml:space="preserve">Post-GENIUS Act BSA paper trail enables nexus determination. Enforcement theory: §1(a)(iii) — financial services benefiting blocked person (BitRiver/A7A5) indirectly through structured products. OFAC PDVSA bond precedent applies. Action: identify HK-licensed fund managers with documented BitRiver compute or A7A5 settlement exposure; build §1(a)(iii) designation package. SEC coordination required for any US-nexus fund investors.</w:t>
            </w:r>
          </w:p>
        </w:tc>
        <w:tc>
          <w:tcPr>
            <w:tcW w:type="dxa" w:w="8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r>
      <w:tr>
        <w:tc>
          <w:tcPr>
            <w:tcW w:type="dxa" w:w="2200"/>
            <w:shd w:val="clear" w:color="auto" w:fill="FFFFFF"/>
          </w:tcPr>
          <w:p>
            <w:pPr>
              <w:spacing w:before="40" w:after="40"/>
            </w:pPr>
            <w:r>
              <w:rPr>
                <w:rFonts w:ascii="Calibri" w:cs="Calibri" w:eastAsia="Calibri" w:hAnsi="Calibri"/>
                <w:b/>
                <w:bCs/>
                <w:color w:val="8B0000"/>
                <w:sz w:val="16"/>
                <w:szCs w:val="16"/>
              </w:rPr>
              <w:t xml:space="preserve">COFCO / Sinograin Grain Purchases (Zabaykalsk)</w:t>
            </w:r>
          </w:p>
        </w:tc>
        <w:tc>
          <w:tcPr>
            <w:tcW w:type="dxa" w:w="2000"/>
            <w:shd w:val="clear" w:color="auto" w:fill="FFFFFF"/>
          </w:tcPr>
          <w:p>
            <w:pPr>
              <w:spacing w:before="40" w:after="40"/>
            </w:pPr>
            <w:r>
              <w:rPr>
                <w:rFonts w:ascii="Calibri" w:cs="Calibri" w:eastAsia="Calibri" w:hAnsi="Calibri"/>
                <w:color w:val="000000"/>
                <w:sz w:val="16"/>
                <w:szCs w:val="16"/>
              </w:rPr>
              <w:t xml:space="preserve">Shanghai / Beijing, China</w:t>
            </w:r>
          </w:p>
        </w:tc>
        <w:tc>
          <w:tcPr>
            <w:tcW w:type="dxa" w:w="2000"/>
            <w:shd w:val="clear" w:color="auto" w:fill="FFFFFF"/>
          </w:tcPr>
          <w:p>
            <w:pPr>
              <w:spacing w:before="40" w:after="40"/>
            </w:pPr>
            <w:r>
              <w:rPr>
                <w:rFonts w:ascii="Calibri" w:cs="Calibri" w:eastAsia="Calibri" w:hAnsi="Calibri"/>
                <w:color w:val="000000"/>
                <w:sz w:val="16"/>
                <w:szCs w:val="16"/>
              </w:rPr>
              <w:t xml:space="preserve">COFCO Group (Chinese state); China Grain Reserves (Sinograin)</w:t>
            </w:r>
          </w:p>
        </w:tc>
        <w:tc>
          <w:tcPr>
            <w:tcW w:type="dxa" w:w="2400"/>
            <w:shd w:val="clear" w:color="auto" w:fill="FFFFFF"/>
          </w:tcPr>
          <w:p>
            <w:pPr>
              <w:spacing w:before="40" w:after="40"/>
            </w:pPr>
            <w:r>
              <w:rPr>
                <w:rFonts w:ascii="Calibri" w:cs="Calibri" w:eastAsia="Calibri" w:hAnsi="Calibri"/>
                <w:color w:val="000000"/>
                <w:sz w:val="16"/>
                <w:szCs w:val="16"/>
              </w:rPr>
              <w:t xml:space="preserve">EO 14024 §1(a)(iii); Section 301 tariffs</w:t>
            </w:r>
          </w:p>
        </w:tc>
        <w:tc>
          <w:tcPr>
            <w:tcW w:type="dxa" w:w="4600"/>
            <w:shd w:val="clear" w:color="auto" w:fill="FFFFFF"/>
          </w:tcPr>
          <w:p>
            <w:pPr>
              <w:spacing w:before="40" w:after="40"/>
            </w:pPr>
            <w:r>
              <w:rPr>
                <w:rFonts w:ascii="Calibri" w:cs="Calibri" w:eastAsia="Calibri" w:hAnsi="Calibri"/>
                <w:color w:val="000000"/>
                <w:sz w:val="16"/>
                <w:szCs w:val="16"/>
              </w:rPr>
              <w:t xml:space="preserve">Highest-volume yuan-denominated channel. No dollar nexus by design. Enforcement theory: secondary sanctions on specific COFCO/Sinograin subsidiaries if transaction-level evidence establishes Russian sanctioned-entity revenue benefit. Not yet attempted. Requires transaction-level evidence (cargo manifests, settlement records). Section 301 tariff action on Russian-origin agricultural goods re-exported through China is the lower-threshold parallel action available now.</w:t>
            </w:r>
          </w:p>
        </w:tc>
        <w:tc>
          <w:tcPr>
            <w:tcW w:type="dxa" w:w="8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r>
      <w:tr>
        <w:tc>
          <w:tcPr>
            <w:tcW w:type="dxa" w:w="2200"/>
            <w:shd w:val="clear" w:color="auto" w:fill="EEF2F8"/>
          </w:tcPr>
          <w:p>
            <w:pPr>
              <w:spacing w:before="40" w:after="40"/>
            </w:pPr>
            <w:r>
              <w:rPr>
                <w:rFonts w:ascii="Calibri" w:cs="Calibri" w:eastAsia="Calibri" w:hAnsi="Calibri"/>
                <w:b/>
                <w:bCs/>
                <w:color w:val="8B0000"/>
                <w:sz w:val="16"/>
                <w:szCs w:val="16"/>
              </w:rPr>
              <w:t xml:space="preserve">Sinochem / PetroChina Russian Oil Offtake</w:t>
            </w:r>
          </w:p>
        </w:tc>
        <w:tc>
          <w:tcPr>
            <w:tcW w:type="dxa" w:w="2000"/>
            <w:shd w:val="clear" w:color="auto" w:fill="EEF2F8"/>
          </w:tcPr>
          <w:p>
            <w:pPr>
              <w:spacing w:before="40" w:after="40"/>
            </w:pPr>
            <w:r>
              <w:rPr>
                <w:rFonts w:ascii="Calibri" w:cs="Calibri" w:eastAsia="Calibri" w:hAnsi="Calibri"/>
                <w:color w:val="000000"/>
                <w:sz w:val="16"/>
                <w:szCs w:val="16"/>
              </w:rPr>
              <w:t xml:space="preserve">Beijing / various, China</w:t>
            </w:r>
          </w:p>
        </w:tc>
        <w:tc>
          <w:tcPr>
            <w:tcW w:type="dxa" w:w="2000"/>
            <w:shd w:val="clear" w:color="auto" w:fill="EEF2F8"/>
          </w:tcPr>
          <w:p>
            <w:pPr>
              <w:spacing w:before="40" w:after="40"/>
            </w:pPr>
            <w:r>
              <w:rPr>
                <w:rFonts w:ascii="Calibri" w:cs="Calibri" w:eastAsia="Calibri" w:hAnsi="Calibri"/>
                <w:color w:val="000000"/>
                <w:sz w:val="16"/>
                <w:szCs w:val="16"/>
              </w:rPr>
              <w:t xml:space="preserve">Sinochem Holdings; PetroChina (CNPC subsidiary)</w:t>
            </w:r>
          </w:p>
        </w:tc>
        <w:tc>
          <w:tcPr>
            <w:tcW w:type="dxa" w:w="2400"/>
            <w:shd w:val="clear" w:color="auto" w:fill="EEF2F8"/>
          </w:tcPr>
          <w:p>
            <w:pPr>
              <w:spacing w:before="40" w:after="40"/>
            </w:pPr>
            <w:r>
              <w:rPr>
                <w:rFonts w:ascii="Calibri" w:cs="Calibri" w:eastAsia="Calibri" w:hAnsi="Calibri"/>
                <w:color w:val="000000"/>
                <w:sz w:val="16"/>
                <w:szCs w:val="16"/>
              </w:rPr>
              <w:t xml:space="preserve">EO 14024 §1(a)(iii); EO 14114 §11</w:t>
            </w:r>
          </w:p>
        </w:tc>
        <w:tc>
          <w:tcPr>
            <w:tcW w:type="dxa" w:w="4600"/>
            <w:shd w:val="clear" w:color="auto" w:fill="EEF2F8"/>
          </w:tcPr>
          <w:p>
            <w:pPr>
              <w:spacing w:before="40" w:after="40"/>
            </w:pPr>
            <w:r>
              <w:rPr>
                <w:rFonts w:ascii="Calibri" w:cs="Calibri" w:eastAsia="Calibri" w:hAnsi="Calibri"/>
                <w:color w:val="000000"/>
                <w:sz w:val="16"/>
                <w:szCs w:val="16"/>
              </w:rPr>
              <w:t xml:space="preserve">PetroChina/Sinochem purchase Russian crude at volumes that directly sustain Rosneft (now fully designated) revenue. Post-Oct 2025 Rosneft designation, any entity providing material support to Rosneft is reachable under EO 14024 §1(a)(iii). EO 14114 §11 secondary sanctions apply to FFIs facilitating significant transactions with blocked Rosneft. Action: build transaction-level evidence package for PetroChina crude purchases from designated Rosneft entities; issue secondary sanctions warning; escalate to designation if purchases continue.</w:t>
            </w:r>
          </w:p>
        </w:tc>
        <w:tc>
          <w:tcPr>
            <w:tcW w:type="dxa" w:w="8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r>
      <w:tr>
        <w:tc>
          <w:tcPr>
            <w:tcW w:type="dxa" w:w="2200"/>
            <w:shd w:val="clear" w:color="auto" w:fill="FFFFFF"/>
          </w:tcPr>
          <w:p>
            <w:pPr>
              <w:spacing w:before="40" w:after="40"/>
            </w:pPr>
            <w:r>
              <w:rPr>
                <w:rFonts w:ascii="Calibri" w:cs="Calibri" w:eastAsia="Calibri" w:hAnsi="Calibri"/>
                <w:b/>
                <w:bCs/>
                <w:color w:val="1C2B4A"/>
                <w:sz w:val="16"/>
                <w:szCs w:val="16"/>
              </w:rPr>
              <w:t xml:space="preserve">Grinex/Meer A7A5 Stablecoin (Kyrgyz corridor)</w:t>
            </w:r>
          </w:p>
        </w:tc>
        <w:tc>
          <w:tcPr>
            <w:tcW w:type="dxa" w:w="2000"/>
            <w:shd w:val="clear" w:color="auto" w:fill="FFFFFF"/>
          </w:tcPr>
          <w:p>
            <w:pPr>
              <w:spacing w:before="40" w:after="40"/>
            </w:pPr>
            <w:r>
              <w:rPr>
                <w:rFonts w:ascii="Calibri" w:cs="Calibri" w:eastAsia="Calibri" w:hAnsi="Calibri"/>
                <w:color w:val="000000"/>
                <w:sz w:val="16"/>
                <w:szCs w:val="16"/>
              </w:rPr>
              <w:t xml:space="preserve">Bishkek, Kyrgyzstan</w:t>
            </w:r>
          </w:p>
        </w:tc>
        <w:tc>
          <w:tcPr>
            <w:tcW w:type="dxa" w:w="2000"/>
            <w:shd w:val="clear" w:color="auto" w:fill="FFFFFF"/>
          </w:tcPr>
          <w:p>
            <w:pPr>
              <w:spacing w:before="40" w:after="40"/>
            </w:pPr>
            <w:r>
              <w:rPr>
                <w:rFonts w:ascii="Calibri" w:cs="Calibri" w:eastAsia="Calibri" w:hAnsi="Calibri"/>
                <w:color w:val="000000"/>
                <w:sz w:val="16"/>
                <w:szCs w:val="16"/>
              </w:rPr>
              <w:t xml:space="preserve">Undisclosed Russian beneficial owners via CIS nominee structures; Keremet Bank; Capital Bank</w:t>
            </w:r>
          </w:p>
        </w:tc>
        <w:tc>
          <w:tcPr>
            <w:tcW w:type="dxa" w:w="2400"/>
            <w:shd w:val="clear" w:color="auto" w:fill="FFFFFF"/>
          </w:tcPr>
          <w:p>
            <w:pPr>
              <w:spacing w:before="40" w:after="40"/>
            </w:pPr>
            <w:r>
              <w:rPr>
                <w:rFonts w:ascii="Calibri" w:cs="Calibri" w:eastAsia="Calibri" w:hAnsi="Calibri"/>
                <w:color w:val="000000"/>
                <w:sz w:val="16"/>
                <w:szCs w:val="16"/>
              </w:rPr>
              <w:t xml:space="preserve">CAATSA §226; GENIUS Act §18; 31 U.S.C. §5318A (Section 311)</w:t>
            </w:r>
          </w:p>
        </w:tc>
        <w:tc>
          <w:tcPr>
            <w:tcW w:type="dxa" w:w="4600"/>
            <w:shd w:val="clear" w:color="auto" w:fill="FFFFFF"/>
          </w:tcPr>
          <w:p>
            <w:pPr>
              <w:spacing w:before="40" w:after="40"/>
            </w:pPr>
            <w:r>
              <w:rPr>
                <w:rFonts w:ascii="Calibri" w:cs="Calibri" w:eastAsia="Calibri" w:hAnsi="Calibri"/>
                <w:color w:val="000000"/>
                <w:sz w:val="16"/>
                <w:szCs w:val="16"/>
              </w:rPr>
              <w:t xml:space="preserve">Three-track approach: (1) FinCEN Section 311 special measure against Kyrgyz FFIs — immediate, unilateral, no multilateral consensus required. Triggers mandatory EDD on all US correspondent relationships with Kyrgyz banks. (2) GENIUS Act §18 foreign issuer designation — bars US platforms from facilitating secondary trading of A7A5. (3) CAATSA §226 designation of Keremet Bank and Capital Bank as FFIs providing significant financial services to sanctioned Russian entities. Do not rely on FATF re-referral as primary instrument — 18-24 month timeline is too slow.</w:t>
            </w:r>
          </w:p>
        </w:tc>
        <w:tc>
          <w:tcPr>
            <w:tcW w:type="dxa" w:w="8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r>
      <w:tr>
        <w:tc>
          <w:tcPr>
            <w:tcW w:type="dxa" w:w="2200"/>
            <w:shd w:val="clear" w:color="auto" w:fill="EEF2F8"/>
          </w:tcPr>
          <w:p>
            <w:pPr>
              <w:spacing w:before="40" w:after="40"/>
            </w:pPr>
            <w:r>
              <w:rPr>
                <w:rFonts w:ascii="Calibri" w:cs="Calibri" w:eastAsia="Calibri" w:hAnsi="Calibri"/>
                <w:b/>
                <w:bCs/>
                <w:color w:val="1C2B4A"/>
                <w:sz w:val="16"/>
                <w:szCs w:val="16"/>
              </w:rPr>
              <w:t xml:space="preserve">Aeza Group / Media Land ASN Infrastructure</w:t>
            </w:r>
          </w:p>
        </w:tc>
        <w:tc>
          <w:tcPr>
            <w:tcW w:type="dxa" w:w="2000"/>
            <w:shd w:val="clear" w:color="auto" w:fill="EEF2F8"/>
          </w:tcPr>
          <w:p>
            <w:pPr>
              <w:spacing w:before="40" w:after="40"/>
            </w:pPr>
            <w:r>
              <w:rPr>
                <w:rFonts w:ascii="Calibri" w:cs="Calibri" w:eastAsia="Calibri" w:hAnsi="Calibri"/>
                <w:color w:val="000000"/>
                <w:sz w:val="16"/>
                <w:szCs w:val="16"/>
              </w:rPr>
              <w:t xml:space="preserve">Netherlands/Germany ASNs; Moscow (distributed)</w:t>
            </w:r>
          </w:p>
        </w:tc>
        <w:tc>
          <w:tcPr>
            <w:tcW w:type="dxa" w:w="2000"/>
            <w:shd w:val="clear" w:color="auto" w:fill="EEF2F8"/>
          </w:tcPr>
          <w:p>
            <w:pPr>
              <w:spacing w:before="40" w:after="40"/>
            </w:pPr>
            <w:r>
              <w:rPr>
                <w:rFonts w:ascii="Calibri" w:cs="Calibri" w:eastAsia="Calibri" w:hAnsi="Calibri"/>
                <w:color w:val="000000"/>
                <w:sz w:val="16"/>
                <w:szCs w:val="16"/>
              </w:rPr>
              <w:t xml:space="preserve">Aeza Group (NL-registered, Russian-operated); Media Land LLC</w:t>
            </w:r>
          </w:p>
        </w:tc>
        <w:tc>
          <w:tcPr>
            <w:tcW w:type="dxa" w:w="2400"/>
            <w:shd w:val="clear" w:color="auto" w:fill="EEF2F8"/>
          </w:tcPr>
          <w:p>
            <w:pPr>
              <w:spacing w:before="40" w:after="40"/>
            </w:pPr>
            <w:r>
              <w:rPr>
                <w:rFonts w:ascii="Calibri" w:cs="Calibri" w:eastAsia="Calibri" w:hAnsi="Calibri"/>
                <w:color w:val="000000"/>
                <w:sz w:val="16"/>
                <w:szCs w:val="16"/>
              </w:rPr>
              <w:t xml:space="preserve">IEEPA §1702; EO 14024 §1(a)(iii); EU Reg. 833/2014</w:t>
            </w:r>
          </w:p>
        </w:tc>
        <w:tc>
          <w:tcPr>
            <w:tcW w:type="dxa" w:w="4600"/>
            <w:shd w:val="clear" w:color="auto" w:fill="EEF2F8"/>
          </w:tcPr>
          <w:p>
            <w:pPr>
              <w:spacing w:before="40" w:after="40"/>
            </w:pPr>
            <w:r>
              <w:rPr>
                <w:rFonts w:ascii="Calibri" w:cs="Calibri" w:eastAsia="Calibri" w:hAnsi="Calibri"/>
                <w:color w:val="000000"/>
                <w:sz w:val="16"/>
                <w:szCs w:val="16"/>
              </w:rPr>
              <w:t xml:space="preserve">Bulletproof hosting for ABCeX, Aifory Pro, and Russian cybercrime/evasion infrastructure. ASNs: AS210644, AS215902 (Aeza); Media Land distributed. Action: simultaneous Tier 1 ISP de-peering directive + Tether wallet freeze — NOT sequential entity designation, which replicates the Garantex failure. Netherlands registration requires EU coordination for de-peering. US can execute IEEPA §1702 ISP direction unilaterally for US-nexus routing; EU coordination required for European ASN de-peering.</w:t>
            </w:r>
          </w:p>
        </w:tc>
        <w:tc>
          <w:tcPr>
            <w:tcW w:type="dxa" w:w="8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r>
      <w:tr>
        <w:tc>
          <w:tcPr>
            <w:tcW w:type="dxa" w:w="2200"/>
            <w:shd w:val="clear" w:color="auto" w:fill="FFFFFF"/>
          </w:tcPr>
          <w:p>
            <w:pPr>
              <w:spacing w:before="40" w:after="40"/>
            </w:pPr>
            <w:r>
              <w:rPr>
                <w:rFonts w:ascii="Calibri" w:cs="Calibri" w:eastAsia="Calibri" w:hAnsi="Calibri"/>
                <w:b/>
                <w:bCs/>
                <w:color w:val="8B4500"/>
                <w:sz w:val="16"/>
                <w:szCs w:val="16"/>
              </w:rPr>
              <w:t xml:space="preserve">ICBC / BOC Trade Finance (residual exposure)</w:t>
            </w:r>
          </w:p>
        </w:tc>
        <w:tc>
          <w:tcPr>
            <w:tcW w:type="dxa" w:w="2000"/>
            <w:shd w:val="clear" w:color="auto" w:fill="FFFFFF"/>
          </w:tcPr>
          <w:p>
            <w:pPr>
              <w:spacing w:before="40" w:after="40"/>
            </w:pPr>
            <w:r>
              <w:rPr>
                <w:rFonts w:ascii="Calibri" w:cs="Calibri" w:eastAsia="Calibri" w:hAnsi="Calibri"/>
                <w:color w:val="000000"/>
                <w:sz w:val="16"/>
                <w:szCs w:val="16"/>
              </w:rPr>
              <w:t xml:space="preserve">Beijing, China</w:t>
            </w:r>
          </w:p>
        </w:tc>
        <w:tc>
          <w:tcPr>
            <w:tcW w:type="dxa" w:w="2000"/>
            <w:shd w:val="clear" w:color="auto" w:fill="FFFFFF"/>
          </w:tcPr>
          <w:p>
            <w:pPr>
              <w:spacing w:before="40" w:after="40"/>
            </w:pPr>
            <w:r>
              <w:rPr>
                <w:rFonts w:ascii="Calibri" w:cs="Calibri" w:eastAsia="Calibri" w:hAnsi="Calibri"/>
                <w:color w:val="000000"/>
                <w:sz w:val="16"/>
                <w:szCs w:val="16"/>
              </w:rPr>
              <w:t xml:space="preserve">Industrial and Commercial Bank of China; Bank of China (Chinese state)</w:t>
            </w:r>
          </w:p>
        </w:tc>
        <w:tc>
          <w:tcPr>
            <w:tcW w:type="dxa" w:w="2400"/>
            <w:shd w:val="clear" w:color="auto" w:fill="FFFFFF"/>
          </w:tcPr>
          <w:p>
            <w:pPr>
              <w:spacing w:before="40" w:after="40"/>
            </w:pPr>
            <w:r>
              <w:rPr>
                <w:rFonts w:ascii="Calibri" w:cs="Calibri" w:eastAsia="Calibri" w:hAnsi="Calibri"/>
                <w:color w:val="000000"/>
                <w:sz w:val="16"/>
                <w:szCs w:val="16"/>
              </w:rPr>
              <w:t xml:space="preserve">EO 14114 §11; CAATSA §226</w:t>
            </w:r>
          </w:p>
        </w:tc>
        <w:tc>
          <w:tcPr>
            <w:tcW w:type="dxa" w:w="4600"/>
            <w:shd w:val="clear" w:color="auto" w:fill="FFFFFF"/>
          </w:tcPr>
          <w:p>
            <w:pPr>
              <w:spacing w:before="40" w:after="40"/>
            </w:pPr>
            <w:r>
              <w:rPr>
                <w:rFonts w:ascii="Calibri" w:cs="Calibri" w:eastAsia="Calibri" w:hAnsi="Calibri"/>
                <w:color w:val="000000"/>
                <w:sz w:val="16"/>
                <w:szCs w:val="16"/>
              </w:rPr>
              <w:t xml:space="preserve">Tier-1 Chinese state banks have largely self-segmented from direct dollar-clearing on Russia transactions. Residual exposure exists through: (1) yuan-denominated trade finance with Russian commodity exporters; (2) indirect dollar clearing via third-country correspondent chains (UAE, Turkey, Kazakhstan). EO 14114 §11 secondary sanctions deterrence is the primary instrument. Action: OFAC informal communication to compliance functions at ICBC/BOC identifying specific transaction categories that would trigger secondary sanctions review — without formal designation, this has historically produced behavioral change faster than public enforcement.</w:t>
            </w:r>
          </w:p>
        </w:tc>
        <w:tc>
          <w:tcPr>
            <w:tcW w:type="dxa" w:w="8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r>
    </w:tbl>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
      </w:r>
    </w:p>
    <w:p>
      <w:r>
        <w:br w:type="page"/>
      </w:r>
    </w:p>
    <w:p>
      <w:pPr>
        <w:spacing w:before="240" w:after="120"/>
        <w:rPr>
          <w:rFonts w:ascii="Calibri" w:cs="Calibri" w:eastAsia="Calibri" w:hAnsi="Calibri"/>
          <w:b/>
          <w:bCs/>
          <w:color w:val="1C2B4A"/>
          <w:sz w:val="30"/>
          <w:szCs w:val="30"/>
        </w:rPr>
      </w:pPr>
      <w:r>
        <w:rPr>
          <w:rFonts w:ascii="Calibri" w:cs="Calibri" w:eastAsia="Calibri" w:hAnsi="Calibri"/>
          <w:b/>
          <w:bCs/>
          <w:color w:val="1C2B4A"/>
          <w:sz w:val="30"/>
          <w:szCs w:val="30"/>
        </w:rPr>
        <w:t xml:space="preserve">XXI. Indian and UAE Transshipment Layer — Price Cap Workarounds</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India has become the primary destination for Russian crude displaced from Western markets since 2022. Combined with the UAE's role as a re-export, financial services, and shadow fleet management hub, the India-UAE corridor constitutes the most significant active workaround for the G7 price cap mechanism and the most analytically underrepresented evasion channel in public sanctions literature. This section maps the primary nodes, beneficial ownership structures, and enforcement theories for this corridor. It is analytically distinct from the Chinese evasion architecture (Section XX) — the Indian and UAE channels involve different legal structures, different dollar-nexus profiles, and different enforcement leverage points.</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A. Nayara Energy — The Primary Indian Structural Exposure</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Nayara Energy (formerly Essar Oil) is 49.13% owned by Rosneft through a Singapore holding structure, with the remainder held by Trafigura and UCP (United Capital Partners, Russian-linked private equity). Nayara operates the Vadinar refinery in Gujarat — India's second-largest private refinery, 20 MTPA capacity — and a 6,500-outlet retail fuel network. Since Rosneft's full SDN designation (Oct 22 2025), Nayara's Rosneft ownership stake creates a direct 50% rule analysis issue: Rosneft owns 49.13% — just below the automatic 50% blocking rule — but OFAC's 'ownership and control' standard under EO 14024 extends to entities controlled by a blocked person even below 50% if effective control can be demonstrated. The enforcement question is whether Rosneft exercises effective control over Nayara despite the sub-50% stake. Board composition, operational direction, and crude supply dependency (Nayara sources approximately 80%+ of crude from Russia) are the evidentiary basis for a control determination. This is the single most consequential unresolved designation question in the post-Oct 2025 Rosneft blocking environment.</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B. INR-RUB Settlement Architecture</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India and Russia established a rupee-ruble settlement mechanism in 2022 to circumvent SWIFT/dollar restrictions. The mechanism routes through Vostro accounts held by Indian banks (primarily UCO Bank, Yes Bank, and IndusInd Bank) at Russian correspondent banks. The structural problem for Russia is that rupee accumulation has outpaced the ability to deploy rupees into Indian goods — Russia has accumulated an estimated $40B+ rupee surplus with limited repatriation options. This creates an enforcement opportunity: the rupee surplus must eventually be converted to a harder currency or deployed into Indian assets, and both pathways create dollar nexus. The Vostro account structure itself is technically reachable under CAATSA §226 if the Indian banks operating them can be shown to be providing significant financial services to sanctioned Russian entities. RBI has resisted US pressure on this mechanism; the enforcement lever is secondary sanctions threat on the specific Indian banks operating the largest Vostro balances.</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C. UAE as Re-Export, Shadow Fleet Management, and Financial Hub</w:t>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The UAE — primarily Dubai and Abu Dhabi — functions as the primary Western-adjacent node in the Russia sanctions evasion architecture. Three distinct functions: (1) Shadow fleet ship management (Dreamer Shipmanagement, Litasco Middle East DMCC — the latter designated in EU 19th package); (2) Commodity trading re-export (Russian crude purchased at below-cap prices, rebranded as UAE-origin or blended, resold at market prices into Western-adjacent markets); (3) Financial services hub for sanctioned Russian oligarchs and entities (real estate, private banking, shell company formation). The UAE's FATF grey-listing removal (Feb 2024) created pressure for improved compliance but enforcement remains inconsistent. The primary enforcement lever is the UAE's dependence on US dollar clearing and its desire to maintain FATF white-list status — both create structural leverage for informal pressure that has historically been more effective than formal designation of UAE-domiciled entities.</w:t>
      </w:r>
    </w:p>
    <w:p>
      <w:pPr>
        <w:spacing w:before="160" w:after="80"/>
        <w:rPr>
          <w:rFonts w:ascii="Calibri" w:cs="Calibri" w:eastAsia="Calibri" w:hAnsi="Calibri"/>
          <w:b/>
          <w:bCs/>
          <w:color w:val="2E5090"/>
          <w:sz w:val="22"/>
          <w:szCs w:val="22"/>
        </w:rPr>
      </w:pPr>
      <w:r>
        <w:rPr>
          <w:rFonts w:ascii="Calibri" w:cs="Calibri" w:eastAsia="Calibri" w:hAnsi="Calibri"/>
          <w:b/>
          <w:bCs/>
          <w:color w:val="2E5090"/>
          <w:sz w:val="22"/>
          <w:szCs w:val="22"/>
        </w:rPr>
        <w:t xml:space="preserve">XXI. Indian and UAE Transshipment — Node Register</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400"/>
        <w:gridCol w:w="4600"/>
      </w:tblGrid>
      <w:tr>
        <w:tc>
          <w:tcPr>
            <w:tcW w:type="dxa" w:w="2200"/>
            <w:shd w:val="clear" w:color="auto" w:fill="1C2B4A"/>
          </w:tcPr>
          <w:p>
            <w:pPr>
              <w:jc w:val="center"/>
            </w:pPr>
            <w:r>
              <w:rPr>
                <w:rFonts w:ascii="Calibri" w:cs="Calibri" w:eastAsia="Calibri" w:hAnsi="Calibri"/>
                <w:b/>
                <w:bCs/>
                <w:color w:val="FFFFFF"/>
                <w:sz w:val="16"/>
                <w:szCs w:val="16"/>
              </w:rPr>
              <w:t xml:space="preserve">NODE / ENTITY</w:t>
            </w:r>
          </w:p>
        </w:tc>
        <w:tc>
          <w:tcPr>
            <w:tcW w:type="dxa" w:w="1800"/>
            <w:shd w:val="clear" w:color="auto" w:fill="1C2B4A"/>
          </w:tcPr>
          <w:p>
            <w:pPr>
              <w:jc w:val="center"/>
            </w:pPr>
            <w:r>
              <w:rPr>
                <w:rFonts w:ascii="Calibri" w:cs="Calibri" w:eastAsia="Calibri" w:hAnsi="Calibri"/>
                <w:b/>
                <w:bCs/>
                <w:color w:val="FFFFFF"/>
                <w:sz w:val="16"/>
                <w:szCs w:val="16"/>
              </w:rPr>
              <w:t xml:space="preserve">LOCATION</w:t>
            </w:r>
          </w:p>
        </w:tc>
        <w:tc>
          <w:tcPr>
            <w:tcW w:type="dxa" w:w="2200"/>
            <w:shd w:val="clear" w:color="auto" w:fill="1C2B4A"/>
          </w:tcPr>
          <w:p>
            <w:pPr>
              <w:jc w:val="center"/>
            </w:pPr>
            <w:r>
              <w:rPr>
                <w:rFonts w:ascii="Calibri" w:cs="Calibri" w:eastAsia="Calibri" w:hAnsi="Calibri"/>
                <w:b/>
                <w:bCs/>
                <w:color w:val="FFFFFF"/>
                <w:sz w:val="16"/>
                <w:szCs w:val="16"/>
              </w:rPr>
              <w:t xml:space="preserve">OPERATOR / STRUCTURE</w:t>
            </w:r>
          </w:p>
        </w:tc>
        <w:tc>
          <w:tcPr>
            <w:tcW w:type="dxa" w:w="2400"/>
            <w:shd w:val="clear" w:color="auto" w:fill="1C2B4A"/>
          </w:tcPr>
          <w:p>
            <w:pPr>
              <w:jc w:val="center"/>
            </w:pPr>
            <w:r>
              <w:rPr>
                <w:rFonts w:ascii="Calibri" w:cs="Calibri" w:eastAsia="Calibri" w:hAnsi="Calibri"/>
                <w:b/>
                <w:bCs/>
                <w:color w:val="FFFFFF"/>
                <w:sz w:val="16"/>
                <w:szCs w:val="16"/>
              </w:rPr>
              <w:t xml:space="preserve">LEGAL AUTHORITY</w:t>
            </w:r>
          </w:p>
        </w:tc>
        <w:tc>
          <w:tcPr>
            <w:tcW w:type="dxa" w:w="4600"/>
            <w:shd w:val="clear" w:color="auto" w:fill="1C2B4A"/>
          </w:tcPr>
          <w:p>
            <w:pPr>
              <w:jc w:val="center"/>
            </w:pPr>
            <w:r>
              <w:rPr>
                <w:rFonts w:ascii="Calibri" w:cs="Calibri" w:eastAsia="Calibri" w:hAnsi="Calibri"/>
                <w:b/>
                <w:bCs/>
                <w:color w:val="FFFFFF"/>
                <w:sz w:val="16"/>
                <w:szCs w:val="16"/>
              </w:rPr>
              <w:t xml:space="preserve">ENFORCEMENT THEORY AND ACTION</w:t>
            </w:r>
          </w:p>
        </w:tc>
      </w:tr>
      <w:tr>
        <w:tc>
          <w:tcPr>
            <w:tcW w:type="dxa" w:w="2200"/>
            <w:shd w:val="clear" w:color="auto" w:fill="EEF2F8"/>
          </w:tcPr>
          <w:p>
            <w:pPr>
              <w:spacing w:before="40" w:after="40"/>
            </w:pPr>
            <w:r>
              <w:rPr>
                <w:rFonts w:ascii="Calibri" w:cs="Calibri" w:eastAsia="Calibri" w:hAnsi="Calibri"/>
                <w:b/>
                <w:bCs/>
                <w:color w:val="8B0000"/>
                <w:sz w:val="16"/>
                <w:szCs w:val="16"/>
              </w:rPr>
              <w:t xml:space="preserve">Nayara Energy (Vadinar Refinery)</w:t>
            </w:r>
          </w:p>
        </w:tc>
        <w:tc>
          <w:tcPr>
            <w:tcW w:type="dxa" w:w="1800"/>
            <w:shd w:val="clear" w:color="auto" w:fill="EEF2F8"/>
          </w:tcPr>
          <w:p>
            <w:pPr>
              <w:spacing w:before="40" w:after="40"/>
            </w:pPr>
            <w:r>
              <w:rPr>
                <w:rFonts w:ascii="Calibri" w:cs="Calibri" w:eastAsia="Calibri" w:hAnsi="Calibri"/>
                <w:color w:val="000000"/>
                <w:sz w:val="16"/>
                <w:szCs w:val="16"/>
              </w:rPr>
              <w:t xml:space="preserve">Vadinar, Gujarat, India</w:t>
            </w:r>
          </w:p>
        </w:tc>
        <w:tc>
          <w:tcPr>
            <w:tcW w:type="dxa" w:w="2200"/>
            <w:shd w:val="clear" w:color="auto" w:fill="EEF2F8"/>
          </w:tcPr>
          <w:p>
            <w:pPr>
              <w:spacing w:before="40" w:after="40"/>
            </w:pPr>
            <w:r>
              <w:rPr>
                <w:rFonts w:ascii="Calibri" w:cs="Calibri" w:eastAsia="Calibri" w:hAnsi="Calibri"/>
                <w:color w:val="000000"/>
                <w:sz w:val="16"/>
                <w:szCs w:val="16"/>
              </w:rPr>
              <w:t xml:space="preserve">Rosneft (49.13% via Singapore holdco); Trafigura; UCP</w:t>
            </w:r>
          </w:p>
        </w:tc>
        <w:tc>
          <w:tcPr>
            <w:tcW w:type="dxa" w:w="2400"/>
            <w:shd w:val="clear" w:color="auto" w:fill="EEF2F8"/>
          </w:tcPr>
          <w:p>
            <w:pPr>
              <w:spacing w:before="40" w:after="40"/>
            </w:pPr>
            <w:r>
              <w:rPr>
                <w:rFonts w:ascii="Calibri" w:cs="Calibri" w:eastAsia="Calibri" w:hAnsi="Calibri"/>
                <w:color w:val="000000"/>
                <w:sz w:val="16"/>
                <w:szCs w:val="16"/>
              </w:rPr>
              <w:t xml:space="preserve">EO 14024 §1(a)(i)/(iii); OFAC 50% rule / control standard</w:t>
            </w:r>
          </w:p>
        </w:tc>
        <w:tc>
          <w:tcPr>
            <w:tcW w:type="dxa" w:w="4600"/>
            <w:shd w:val="clear" w:color="auto" w:fill="EEF2F8"/>
          </w:tcPr>
          <w:p>
            <w:pPr>
              <w:spacing w:before="40" w:after="40"/>
            </w:pPr>
            <w:r>
              <w:rPr>
                <w:rFonts w:ascii="Calibri" w:cs="Calibri" w:eastAsia="Calibri" w:hAnsi="Calibri"/>
                <w:color w:val="000000"/>
                <w:sz w:val="16"/>
                <w:szCs w:val="16"/>
              </w:rPr>
              <w:t xml:space="preserve">Post-Oct 2025 Rosneft designation creates 49.13% ownership analysis. Below automatic 50% blocking threshold but OFAC control standard may apply: board composition, operational direction, and ~80%+ Russian crude dependency are evidentiary basis for control determination. This is the single most consequential unresolved designation question in the post-Rosneft blocking environment. Action: OFAC formal control determination analysis; if control established, Nayara becomes a blocked entity — 20 MTPA refinery, 6,500 retail outlets, cascading impact on Indian fuel supply. Requires diplomatic pre-coordination with New Delhi before any public action.</w:t>
            </w:r>
          </w:p>
        </w:tc>
      </w:tr>
      <w:tr>
        <w:tc>
          <w:tcPr>
            <w:tcW w:type="dxa" w:w="2200"/>
            <w:shd w:val="clear" w:color="auto" w:fill="FFFFFF"/>
          </w:tcPr>
          <w:p>
            <w:pPr>
              <w:spacing w:before="40" w:after="40"/>
            </w:pPr>
            <w:r>
              <w:rPr>
                <w:rFonts w:ascii="Calibri" w:cs="Calibri" w:eastAsia="Calibri" w:hAnsi="Calibri"/>
                <w:b/>
                <w:bCs/>
                <w:color w:val="8B4500"/>
                <w:sz w:val="16"/>
                <w:szCs w:val="16"/>
              </w:rPr>
              <w:t xml:space="preserve">Indian Oil Corporation — Russian Crude Offtake</w:t>
            </w:r>
          </w:p>
        </w:tc>
        <w:tc>
          <w:tcPr>
            <w:tcW w:type="dxa" w:w="1800"/>
            <w:shd w:val="clear" w:color="auto" w:fill="FFFFFF"/>
          </w:tcPr>
          <w:p>
            <w:pPr>
              <w:spacing w:before="40" w:after="40"/>
            </w:pPr>
            <w:r>
              <w:rPr>
                <w:rFonts w:ascii="Calibri" w:cs="Calibri" w:eastAsia="Calibri" w:hAnsi="Calibri"/>
                <w:color w:val="000000"/>
                <w:sz w:val="16"/>
                <w:szCs w:val="16"/>
              </w:rPr>
              <w:t xml:space="preserve">New Delhi, India</w:t>
            </w:r>
          </w:p>
        </w:tc>
        <w:tc>
          <w:tcPr>
            <w:tcW w:type="dxa" w:w="2200"/>
            <w:shd w:val="clear" w:color="auto" w:fill="FFFFFF"/>
          </w:tcPr>
          <w:p>
            <w:pPr>
              <w:spacing w:before="40" w:after="40"/>
            </w:pPr>
            <w:r>
              <w:rPr>
                <w:rFonts w:ascii="Calibri" w:cs="Calibri" w:eastAsia="Calibri" w:hAnsi="Calibri"/>
                <w:color w:val="000000"/>
                <w:sz w:val="16"/>
                <w:szCs w:val="16"/>
              </w:rPr>
              <w:t xml:space="preserve">Indian Oil Corporation (Indian state, 52% GoI owned)</w:t>
            </w:r>
          </w:p>
        </w:tc>
        <w:tc>
          <w:tcPr>
            <w:tcW w:type="dxa" w:w="2400"/>
            <w:shd w:val="clear" w:color="auto" w:fill="FFFFFF"/>
          </w:tcPr>
          <w:p>
            <w:pPr>
              <w:spacing w:before="40" w:after="40"/>
            </w:pPr>
            <w:r>
              <w:rPr>
                <w:rFonts w:ascii="Calibri" w:cs="Calibri" w:eastAsia="Calibri" w:hAnsi="Calibri"/>
                <w:color w:val="000000"/>
                <w:sz w:val="16"/>
                <w:szCs w:val="16"/>
              </w:rPr>
              <w:t xml:space="preserve">EO 14024 §1(a)(iii); EO 14114 §11</w:t>
            </w:r>
          </w:p>
        </w:tc>
        <w:tc>
          <w:tcPr>
            <w:tcW w:type="dxa" w:w="4600"/>
            <w:shd w:val="clear" w:color="auto" w:fill="FFFFFF"/>
          </w:tcPr>
          <w:p>
            <w:pPr>
              <w:spacing w:before="40" w:after="40"/>
            </w:pPr>
            <w:r>
              <w:rPr>
                <w:rFonts w:ascii="Calibri" w:cs="Calibri" w:eastAsia="Calibri" w:hAnsi="Calibri"/>
                <w:color w:val="000000"/>
                <w:sz w:val="16"/>
                <w:szCs w:val="16"/>
              </w:rPr>
              <w:t xml:space="preserve">IOC is the largest single purchaser of Russian crude in India, buying at significant discounts to Brent. Post-Rosneft SDN designation, IOC purchases from designated Rosneft entities are potentially reachable under EO 14024 §1(a)(iii) material support theory. EO 14114 §11 secondary sanctions deterrence applies to IOC's dollar-clearing correspondent banks. India-US strategic relationship creates high political constraint — enforcement action against IOC directly would be diplomatically damaging. Preferred approach: informal OFAC communication to IOC compliance function identifying specific transaction categories at risk; escalate if purchases from designated Rosneft entities continue after wind-down period.</w:t>
            </w:r>
          </w:p>
        </w:tc>
      </w:tr>
      <w:tr>
        <w:tc>
          <w:tcPr>
            <w:tcW w:type="dxa" w:w="2200"/>
            <w:shd w:val="clear" w:color="auto" w:fill="EEF2F8"/>
          </w:tcPr>
          <w:p>
            <w:pPr>
              <w:spacing w:before="40" w:after="40"/>
            </w:pPr>
            <w:r>
              <w:rPr>
                <w:rFonts w:ascii="Calibri" w:cs="Calibri" w:eastAsia="Calibri" w:hAnsi="Calibri"/>
                <w:b/>
                <w:bCs/>
                <w:color w:val="8B4500"/>
                <w:sz w:val="16"/>
                <w:szCs w:val="16"/>
              </w:rPr>
              <w:t xml:space="preserve">UCO Bank / Yes Bank Vostro Accounts (INR-RUB settlement)</w:t>
            </w:r>
          </w:p>
        </w:tc>
        <w:tc>
          <w:tcPr>
            <w:tcW w:type="dxa" w:w="1800"/>
            <w:shd w:val="clear" w:color="auto" w:fill="EEF2F8"/>
          </w:tcPr>
          <w:p>
            <w:pPr>
              <w:spacing w:before="40" w:after="40"/>
            </w:pPr>
            <w:r>
              <w:rPr>
                <w:rFonts w:ascii="Calibri" w:cs="Calibri" w:eastAsia="Calibri" w:hAnsi="Calibri"/>
                <w:color w:val="000000"/>
                <w:sz w:val="16"/>
                <w:szCs w:val="16"/>
              </w:rPr>
              <w:t xml:space="preserve">Kolkata / Mumbai, India</w:t>
            </w:r>
          </w:p>
        </w:tc>
        <w:tc>
          <w:tcPr>
            <w:tcW w:type="dxa" w:w="2200"/>
            <w:shd w:val="clear" w:color="auto" w:fill="EEF2F8"/>
          </w:tcPr>
          <w:p>
            <w:pPr>
              <w:spacing w:before="40" w:after="40"/>
            </w:pPr>
            <w:r>
              <w:rPr>
                <w:rFonts w:ascii="Calibri" w:cs="Calibri" w:eastAsia="Calibri" w:hAnsi="Calibri"/>
                <w:color w:val="000000"/>
                <w:sz w:val="16"/>
                <w:szCs w:val="16"/>
              </w:rPr>
              <w:t xml:space="preserve">UCO Bank (Indian state); Yes Bank (private); IndusInd Bank</w:t>
            </w:r>
          </w:p>
        </w:tc>
        <w:tc>
          <w:tcPr>
            <w:tcW w:type="dxa" w:w="2400"/>
            <w:shd w:val="clear" w:color="auto" w:fill="EEF2F8"/>
          </w:tcPr>
          <w:p>
            <w:pPr>
              <w:spacing w:before="40" w:after="40"/>
            </w:pPr>
            <w:r>
              <w:rPr>
                <w:rFonts w:ascii="Calibri" w:cs="Calibri" w:eastAsia="Calibri" w:hAnsi="Calibri"/>
                <w:color w:val="000000"/>
                <w:sz w:val="16"/>
                <w:szCs w:val="16"/>
              </w:rPr>
              <w:t xml:space="preserve">CAATSA §226; EO 14024 §1(a)(iii)</w:t>
            </w:r>
          </w:p>
        </w:tc>
        <w:tc>
          <w:tcPr>
            <w:tcW w:type="dxa" w:w="4600"/>
            <w:shd w:val="clear" w:color="auto" w:fill="EEF2F8"/>
          </w:tcPr>
          <w:p>
            <w:pPr>
              <w:spacing w:before="40" w:after="40"/>
            </w:pPr>
            <w:r>
              <w:rPr>
                <w:rFonts w:ascii="Calibri" w:cs="Calibri" w:eastAsia="Calibri" w:hAnsi="Calibri"/>
                <w:color w:val="000000"/>
                <w:sz w:val="16"/>
                <w:szCs w:val="16"/>
              </w:rPr>
              <w:t xml:space="preserve">Indian banks operating Vostro accounts for Russian correspondent banks are providing significant financial services to sanctioned Russian entities — CAATSA §226 theory. Russia has accumulated estimated $40B+ rupee surplus; conversion pathways create dollar nexus. Action: OFAC informal communication to specific Indian banks operating largest Vostro balances, identifying Vostro account operations for sanctioned Russian entities as CAATSA §226 exposure. Formal designation of Indian state banks is politically constrained but informal pressure has historically moved RBI. Target the banks with largest Vostro balances and most direct Russian sanctioned-entity relationships.</w:t>
            </w:r>
          </w:p>
        </w:tc>
      </w:tr>
      <w:tr>
        <w:tc>
          <w:tcPr>
            <w:tcW w:type="dxa" w:w="2200"/>
            <w:shd w:val="clear" w:color="auto" w:fill="FFFFFF"/>
          </w:tcPr>
          <w:p>
            <w:pPr>
              <w:spacing w:before="40" w:after="40"/>
            </w:pPr>
            <w:r>
              <w:rPr>
                <w:rFonts w:ascii="Calibri" w:cs="Calibri" w:eastAsia="Calibri" w:hAnsi="Calibri"/>
                <w:b/>
                <w:bCs/>
                <w:color w:val="1C2B4A"/>
                <w:sz w:val="16"/>
                <w:szCs w:val="16"/>
              </w:rPr>
              <w:t xml:space="preserve">Litasco Middle East DMCC (Lukoil shadow fleet enabler)</w:t>
            </w:r>
          </w:p>
        </w:tc>
        <w:tc>
          <w:tcPr>
            <w:tcW w:type="dxa" w:w="1800"/>
            <w:shd w:val="clear" w:color="auto" w:fill="FFFFFF"/>
          </w:tcPr>
          <w:p>
            <w:pPr>
              <w:spacing w:before="40" w:after="40"/>
            </w:pPr>
            <w:r>
              <w:rPr>
                <w:rFonts w:ascii="Calibri" w:cs="Calibri" w:eastAsia="Calibri" w:hAnsi="Calibri"/>
                <w:color w:val="000000"/>
                <w:sz w:val="16"/>
                <w:szCs w:val="16"/>
              </w:rPr>
              <w:t xml:space="preserve">Dubai, UAE</w:t>
            </w:r>
          </w:p>
        </w:tc>
        <w:tc>
          <w:tcPr>
            <w:tcW w:type="dxa" w:w="2200"/>
            <w:shd w:val="clear" w:color="auto" w:fill="FFFFFF"/>
          </w:tcPr>
          <w:p>
            <w:pPr>
              <w:spacing w:before="40" w:after="40"/>
            </w:pPr>
            <w:r>
              <w:rPr>
                <w:rFonts w:ascii="Calibri" w:cs="Calibri" w:eastAsia="Calibri" w:hAnsi="Calibri"/>
                <w:color w:val="000000"/>
                <w:sz w:val="16"/>
                <w:szCs w:val="16"/>
              </w:rPr>
              <w:t xml:space="preserve">Lukoil (Russian state-linked)</w:t>
            </w:r>
          </w:p>
        </w:tc>
        <w:tc>
          <w:tcPr>
            <w:tcW w:type="dxa" w:w="2400"/>
            <w:shd w:val="clear" w:color="auto" w:fill="FFFFFF"/>
          </w:tcPr>
          <w:p>
            <w:pPr>
              <w:spacing w:before="40" w:after="40"/>
            </w:pPr>
            <w:r>
              <w:rPr>
                <w:rFonts w:ascii="Calibri" w:cs="Calibri" w:eastAsia="Calibri" w:hAnsi="Calibri"/>
                <w:color w:val="000000"/>
                <w:sz w:val="16"/>
                <w:szCs w:val="16"/>
              </w:rPr>
              <w:t xml:space="preserve">EO 14024 §1(a)(iii); EU 19th package (designated)</w:t>
            </w:r>
          </w:p>
        </w:tc>
        <w:tc>
          <w:tcPr>
            <w:tcW w:type="dxa" w:w="4600"/>
            <w:shd w:val="clear" w:color="auto" w:fill="FFFFFF"/>
          </w:tcPr>
          <w:p>
            <w:pPr>
              <w:spacing w:before="40" w:after="40"/>
            </w:pPr>
            <w:r>
              <w:rPr>
                <w:rFonts w:ascii="Calibri" w:cs="Calibri" w:eastAsia="Calibri" w:hAnsi="Calibri"/>
                <w:color w:val="000000"/>
                <w:sz w:val="16"/>
                <w:szCs w:val="16"/>
              </w:rPr>
              <w:t xml:space="preserve">EU-designated in 19th package (Oct 2025) as Lukoil's primary shadow fleet enabler. Lukoil now fully SDN-designated (Oct 2025). Litasco Middle East DMCC manages shadow fleet tanker operations from Dubai. OFAC has not yet designated — gap. Action: EO 14024 §1(a)(iii) designation of Litasco Middle East DMCC as entity providing material support to designated Lukoil. EU designation is the precedent; US designation should follow immediately to close the gap and prevent US-nexus transactions.</w:t>
            </w:r>
          </w:p>
        </w:tc>
      </w:tr>
      <w:tr>
        <w:tc>
          <w:tcPr>
            <w:tcW w:type="dxa" w:w="2200"/>
            <w:shd w:val="clear" w:color="auto" w:fill="EEF2F8"/>
          </w:tcPr>
          <w:p>
            <w:pPr>
              <w:spacing w:before="40" w:after="40"/>
            </w:pPr>
            <w:r>
              <w:rPr>
                <w:rFonts w:ascii="Calibri" w:cs="Calibri" w:eastAsia="Calibri" w:hAnsi="Calibri"/>
                <w:b/>
                <w:bCs/>
                <w:color w:val="1C2B4A"/>
                <w:sz w:val="16"/>
                <w:szCs w:val="16"/>
              </w:rPr>
              <w:t xml:space="preserve">Dreamer Shipmanagement Ltd (shadow fleet manager)</w:t>
            </w:r>
          </w:p>
        </w:tc>
        <w:tc>
          <w:tcPr>
            <w:tcW w:type="dxa" w:w="1800"/>
            <w:shd w:val="clear" w:color="auto" w:fill="EEF2F8"/>
          </w:tcPr>
          <w:p>
            <w:pPr>
              <w:spacing w:before="40" w:after="40"/>
            </w:pPr>
            <w:r>
              <w:rPr>
                <w:rFonts w:ascii="Calibri" w:cs="Calibri" w:eastAsia="Calibri" w:hAnsi="Calibri"/>
                <w:color w:val="000000"/>
                <w:sz w:val="16"/>
                <w:szCs w:val="16"/>
              </w:rPr>
              <w:t xml:space="preserve">Dubai, UAE</w:t>
            </w:r>
          </w:p>
        </w:tc>
        <w:tc>
          <w:tcPr>
            <w:tcW w:type="dxa" w:w="2200"/>
            <w:shd w:val="clear" w:color="auto" w:fill="EEF2F8"/>
          </w:tcPr>
          <w:p>
            <w:pPr>
              <w:spacing w:before="40" w:after="40"/>
            </w:pPr>
            <w:r>
              <w:rPr>
                <w:rFonts w:ascii="Calibri" w:cs="Calibri" w:eastAsia="Calibri" w:hAnsi="Calibri"/>
                <w:color w:val="000000"/>
                <w:sz w:val="16"/>
                <w:szCs w:val="16"/>
              </w:rPr>
              <w:t xml:space="preserve">Undisclosed beneficial owners</w:t>
            </w:r>
          </w:p>
        </w:tc>
        <w:tc>
          <w:tcPr>
            <w:tcW w:type="dxa" w:w="2400"/>
            <w:shd w:val="clear" w:color="auto" w:fill="EEF2F8"/>
          </w:tcPr>
          <w:p>
            <w:pPr>
              <w:spacing w:before="40" w:after="40"/>
            </w:pPr>
            <w:r>
              <w:rPr>
                <w:rFonts w:ascii="Calibri" w:cs="Calibri" w:eastAsia="Calibri" w:hAnsi="Calibri"/>
                <w:color w:val="000000"/>
                <w:sz w:val="16"/>
                <w:szCs w:val="16"/>
              </w:rPr>
              <w:t xml:space="preserve">EO 14024 §1(a)(iii); CAATSA §226</w:t>
            </w:r>
          </w:p>
        </w:tc>
        <w:tc>
          <w:tcPr>
            <w:tcW w:type="dxa" w:w="4600"/>
            <w:shd w:val="clear" w:color="auto" w:fill="EEF2F8"/>
          </w:tcPr>
          <w:p>
            <w:pPr>
              <w:spacing w:before="40" w:after="40"/>
            </w:pPr>
            <w:r>
              <w:rPr>
                <w:rFonts w:ascii="Calibri" w:cs="Calibri" w:eastAsia="Calibri" w:hAnsi="Calibri"/>
                <w:color w:val="000000"/>
                <w:sz w:val="16"/>
                <w:szCs w:val="16"/>
              </w:rPr>
              <w:t xml:space="preserve">Manages Perle LNG tanker (EU-sanctioned). AIS spoofing confirmed Oct 2025 during STS transfer off Malaysia. No US designation yet. Action: EO 14024 §1(a)(iii) designation. Simultaneously apply CAATSA §226 to UAE correspondent banks servicing Dreamer accounts — specifically Emirates NBD and Mashreq Bank, which have dollar-clearing exposure and are sensitive to secondary sanctions risk. UAE FATF compliance pressure is a parallel lever.</w:t>
            </w:r>
          </w:p>
        </w:tc>
      </w:tr>
      <w:tr>
        <w:tc>
          <w:tcPr>
            <w:tcW w:type="dxa" w:w="2200"/>
            <w:shd w:val="clear" w:color="auto" w:fill="FFFFFF"/>
          </w:tcPr>
          <w:p>
            <w:pPr>
              <w:spacing w:before="40" w:after="40"/>
            </w:pPr>
            <w:r>
              <w:rPr>
                <w:rFonts w:ascii="Calibri" w:cs="Calibri" w:eastAsia="Calibri" w:hAnsi="Calibri"/>
                <w:b/>
                <w:bCs/>
                <w:color w:val="8B4500"/>
                <w:sz w:val="16"/>
                <w:szCs w:val="16"/>
              </w:rPr>
              <w:t xml:space="preserve">UAE Russian Crude Re-Export Channel</w:t>
            </w:r>
          </w:p>
        </w:tc>
        <w:tc>
          <w:tcPr>
            <w:tcW w:type="dxa" w:w="1800"/>
            <w:shd w:val="clear" w:color="auto" w:fill="FFFFFF"/>
          </w:tcPr>
          <w:p>
            <w:pPr>
              <w:spacing w:before="40" w:after="40"/>
            </w:pPr>
            <w:r>
              <w:rPr>
                <w:rFonts w:ascii="Calibri" w:cs="Calibri" w:eastAsia="Calibri" w:hAnsi="Calibri"/>
                <w:color w:val="000000"/>
                <w:sz w:val="16"/>
                <w:szCs w:val="16"/>
              </w:rPr>
              <w:t xml:space="preserve">Fujairah / Dubai, UAE</w:t>
            </w:r>
          </w:p>
        </w:tc>
        <w:tc>
          <w:tcPr>
            <w:tcW w:type="dxa" w:w="2200"/>
            <w:shd w:val="clear" w:color="auto" w:fill="FFFFFF"/>
          </w:tcPr>
          <w:p>
            <w:pPr>
              <w:spacing w:before="40" w:after="40"/>
            </w:pPr>
            <w:r>
              <w:rPr>
                <w:rFonts w:ascii="Calibri" w:cs="Calibri" w:eastAsia="Calibri" w:hAnsi="Calibri"/>
                <w:color w:val="000000"/>
                <w:sz w:val="16"/>
                <w:szCs w:val="16"/>
              </w:rPr>
              <w:t xml:space="preserve">Multiple UAE-registered commodity traders; Gunvor UAE; shadow fleet STS operations</w:t>
            </w:r>
          </w:p>
        </w:tc>
        <w:tc>
          <w:tcPr>
            <w:tcW w:type="dxa" w:w="2400"/>
            <w:shd w:val="clear" w:color="auto" w:fill="FFFFFF"/>
          </w:tcPr>
          <w:p>
            <w:pPr>
              <w:spacing w:before="40" w:after="40"/>
            </w:pPr>
            <w:r>
              <w:rPr>
                <w:rFonts w:ascii="Calibri" w:cs="Calibri" w:eastAsia="Calibri" w:hAnsi="Calibri"/>
                <w:color w:val="000000"/>
                <w:sz w:val="16"/>
                <w:szCs w:val="16"/>
              </w:rPr>
              <w:t xml:space="preserve">EO 14024 §1(a)(iii); price cap enforcement via G7 coalition</w:t>
            </w:r>
          </w:p>
        </w:tc>
        <w:tc>
          <w:tcPr>
            <w:tcW w:type="dxa" w:w="4600"/>
            <w:shd w:val="clear" w:color="auto" w:fill="FFFFFF"/>
          </w:tcPr>
          <w:p>
            <w:pPr>
              <w:spacing w:before="40" w:after="40"/>
            </w:pPr>
            <w:r>
              <w:rPr>
                <w:rFonts w:ascii="Calibri" w:cs="Calibri" w:eastAsia="Calibri" w:hAnsi="Calibri"/>
                <w:color w:val="000000"/>
                <w:sz w:val="16"/>
                <w:szCs w:val="16"/>
              </w:rPr>
              <w:t xml:space="preserve">Russian crude purchased below price cap ($60/bbl), shipped to Fujairah STS zone, blended or rebranded as UAE-origin, resold above cap into Western-adjacent markets. This is a price cap violation, not necessarily a primary sanctions violation for non-US persons. Enforcement theory: G7 price cap coalition enforcement against shipping service providers (insurers, brokers, freight forwarders) who knowingly facilitate above-cap transactions. US-nexus exists through dollar-denominated commodity contracts. Action: identify specific UAE trading firms with documented above-cap Russian crude transactions; apply EO 14024 §1(a)(iii) to entities providing commodity trading services that benefit designated Rosneft/Lukoil.</w:t>
            </w:r>
          </w:p>
        </w:tc>
      </w:tr>
      <w:tr>
        <w:tc>
          <w:tcPr>
            <w:tcW w:type="dxa" w:w="2200"/>
            <w:shd w:val="clear" w:color="auto" w:fill="EEF2F8"/>
          </w:tcPr>
          <w:p>
            <w:pPr>
              <w:spacing w:before="40" w:after="40"/>
            </w:pPr>
            <w:r>
              <w:rPr>
                <w:rFonts w:ascii="Calibri" w:cs="Calibri" w:eastAsia="Calibri" w:hAnsi="Calibri"/>
                <w:b/>
                <w:bCs/>
                <w:color w:val="8B4500"/>
                <w:sz w:val="16"/>
                <w:szCs w:val="16"/>
              </w:rPr>
              <w:t xml:space="preserve">UAE Private Banking / Real Estate (oligarch asset shelter)</w:t>
            </w:r>
          </w:p>
        </w:tc>
        <w:tc>
          <w:tcPr>
            <w:tcW w:type="dxa" w:w="1800"/>
            <w:shd w:val="clear" w:color="auto" w:fill="EEF2F8"/>
          </w:tcPr>
          <w:p>
            <w:pPr>
              <w:spacing w:before="40" w:after="40"/>
            </w:pPr>
            <w:r>
              <w:rPr>
                <w:rFonts w:ascii="Calibri" w:cs="Calibri" w:eastAsia="Calibri" w:hAnsi="Calibri"/>
                <w:color w:val="000000"/>
                <w:sz w:val="16"/>
                <w:szCs w:val="16"/>
              </w:rPr>
              <w:t xml:space="preserve">Dubai / Abu Dhabi, UAE</w:t>
            </w:r>
          </w:p>
        </w:tc>
        <w:tc>
          <w:tcPr>
            <w:tcW w:type="dxa" w:w="2200"/>
            <w:shd w:val="clear" w:color="auto" w:fill="EEF2F8"/>
          </w:tcPr>
          <w:p>
            <w:pPr>
              <w:spacing w:before="40" w:after="40"/>
            </w:pPr>
            <w:r>
              <w:rPr>
                <w:rFonts w:ascii="Calibri" w:cs="Calibri" w:eastAsia="Calibri" w:hAnsi="Calibri"/>
                <w:color w:val="000000"/>
                <w:sz w:val="16"/>
                <w:szCs w:val="16"/>
              </w:rPr>
              <w:t xml:space="preserve">Multiple UAE private banks; real estate developers; shell company formation agents</w:t>
            </w:r>
          </w:p>
        </w:tc>
        <w:tc>
          <w:tcPr>
            <w:tcW w:type="dxa" w:w="2400"/>
            <w:shd w:val="clear" w:color="auto" w:fill="EEF2F8"/>
          </w:tcPr>
          <w:p>
            <w:pPr>
              <w:spacing w:before="40" w:after="40"/>
            </w:pPr>
            <w:r>
              <w:rPr>
                <w:rFonts w:ascii="Calibri" w:cs="Calibri" w:eastAsia="Calibri" w:hAnsi="Calibri"/>
                <w:color w:val="000000"/>
                <w:sz w:val="16"/>
                <w:szCs w:val="16"/>
              </w:rPr>
              <w:t xml:space="preserve">EO 14024 (asset freeze — blocked persons); UAE FATF obligations</w:t>
            </w:r>
          </w:p>
        </w:tc>
        <w:tc>
          <w:tcPr>
            <w:tcW w:type="dxa" w:w="4600"/>
            <w:shd w:val="clear" w:color="auto" w:fill="EEF2F8"/>
          </w:tcPr>
          <w:p>
            <w:pPr>
              <w:spacing w:before="40" w:after="40"/>
            </w:pPr>
            <w:r>
              <w:rPr>
                <w:rFonts w:ascii="Calibri" w:cs="Calibri" w:eastAsia="Calibri" w:hAnsi="Calibri"/>
                <w:color w:val="000000"/>
                <w:sz w:val="16"/>
                <w:szCs w:val="16"/>
              </w:rPr>
              <w:t xml:space="preserve">UAE functions as primary Western-adjacent shelter for sanctioned Russian oligarch assets: real estate (estimated $4-7B Russian-linked property purchases since 2022), private banking, shell company formation. UAE FATF grey-listing removal (Feb 2024) created compliance pressure but enforcement is inconsistent. Enforcement leverage: UAE's dependence on dollar clearing and FATF white-list status. Action: targeted OFAC advisory to UAE financial institutions identifying Russian oligarch asset sheltering as high-risk category; follow with specific beneficial ownership requests through bilateral AML cooperation; escalate to CAATSA §226 against specific UAE banks with identified sanctioned oligarch accounts if bilateral engagement fails.</w:t>
            </w:r>
          </w:p>
        </w:tc>
      </w:tr>
      <w:tr>
        <w:tc>
          <w:tcPr>
            <w:tcW w:type="dxa" w:w="2200"/>
            <w:shd w:val="clear" w:color="auto" w:fill="FFFFFF"/>
          </w:tcPr>
          <w:p>
            <w:pPr>
              <w:spacing w:before="40" w:after="40"/>
            </w:pPr>
            <w:r>
              <w:rPr>
                <w:rFonts w:ascii="Calibri" w:cs="Calibri" w:eastAsia="Calibri" w:hAnsi="Calibri"/>
                <w:b/>
                <w:bCs/>
                <w:color w:val="8B4500"/>
                <w:sz w:val="16"/>
                <w:szCs w:val="16"/>
              </w:rPr>
              <w:t xml:space="preserve">Turkey — Financial Transit and Energy Re-Export</w:t>
            </w:r>
          </w:p>
        </w:tc>
        <w:tc>
          <w:tcPr>
            <w:tcW w:type="dxa" w:w="1800"/>
            <w:shd w:val="clear" w:color="auto" w:fill="FFFFFF"/>
          </w:tcPr>
          <w:p>
            <w:pPr>
              <w:spacing w:before="40" w:after="40"/>
            </w:pPr>
            <w:r>
              <w:rPr>
                <w:rFonts w:ascii="Calibri" w:cs="Calibri" w:eastAsia="Calibri" w:hAnsi="Calibri"/>
                <w:color w:val="000000"/>
                <w:sz w:val="16"/>
                <w:szCs w:val="16"/>
              </w:rPr>
              <w:t xml:space="preserve">Istanbul / Ankara, Turkey</w:t>
            </w:r>
          </w:p>
        </w:tc>
        <w:tc>
          <w:tcPr>
            <w:tcW w:type="dxa" w:w="2200"/>
            <w:shd w:val="clear" w:color="auto" w:fill="FFFFFF"/>
          </w:tcPr>
          <w:p>
            <w:pPr>
              <w:spacing w:before="40" w:after="40"/>
            </w:pPr>
            <w:r>
              <w:rPr>
                <w:rFonts w:ascii="Calibri" w:cs="Calibri" w:eastAsia="Calibri" w:hAnsi="Calibri"/>
                <w:color w:val="000000"/>
                <w:sz w:val="16"/>
                <w:szCs w:val="16"/>
              </w:rPr>
              <w:t xml:space="preserve">Ziraat Bank; Halkbank; BOTAS (energy); multiple commodity traders</w:t>
            </w:r>
          </w:p>
        </w:tc>
        <w:tc>
          <w:tcPr>
            <w:tcW w:type="dxa" w:w="2400"/>
            <w:shd w:val="clear" w:color="auto" w:fill="FFFFFF"/>
          </w:tcPr>
          <w:p>
            <w:pPr>
              <w:spacing w:before="40" w:after="40"/>
            </w:pPr>
            <w:r>
              <w:rPr>
                <w:rFonts w:ascii="Calibri" w:cs="Calibri" w:eastAsia="Calibri" w:hAnsi="Calibri"/>
                <w:color w:val="000000"/>
                <w:sz w:val="16"/>
                <w:szCs w:val="16"/>
              </w:rPr>
              <w:t xml:space="preserve">CAATSA §226; EO 14024 §1(a)(iii); EO 14071</w:t>
            </w:r>
          </w:p>
        </w:tc>
        <w:tc>
          <w:tcPr>
            <w:tcW w:type="dxa" w:w="4600"/>
            <w:shd w:val="clear" w:color="auto" w:fill="FFFFFF"/>
          </w:tcPr>
          <w:p>
            <w:pPr>
              <w:spacing w:before="40" w:after="40"/>
            </w:pPr>
            <w:r>
              <w:rPr>
                <w:rFonts w:ascii="Calibri" w:cs="Calibri" w:eastAsia="Calibri" w:hAnsi="Calibri"/>
                <w:color w:val="000000"/>
                <w:sz w:val="16"/>
                <w:szCs w:val="16"/>
              </w:rPr>
              <w:t xml:space="preserve">Turkey functions as a secondary UAE — financial transit hub, energy re-export node (TurkStream gas), and sanctions evasion financial services provider. Turkish state banks (Ziraat, Halkbank) have maintained Russian correspondent relationships and process significant Russian transaction volume. CAATSA §226 is the primary authority — both banks have dollar-clearing exposure. Halkbank has prior US prosecution history (Iranian sanctions evasion) making it acutely sensitive to secondary sanctions pressure. Action: CAATSA §226 informal pressure on Ziraat/Halkbank compliance functions; identify specific transaction categories (Russian energy payments, oligarch asset transfers) that trigger secondary sanctions review.</w:t>
            </w:r>
          </w:p>
        </w:tc>
      </w:tr>
    </w:tbl>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
      </w:r>
    </w:p>
    <w:p>
      <w:pPr>
        <w:spacing w:before="60" w:after="60"/>
        <w:rPr>
          <w:rFonts w:ascii="Calibri" w:cs="Calibri" w:eastAsia="Calibri" w:hAnsi="Calibri"/>
          <w:color w:val="000000"/>
          <w:sz w:val="18"/>
          <w:szCs w:val="18"/>
        </w:rPr>
      </w:pPr>
      <w:r>
        <w:rPr>
          <w:rFonts w:ascii="Calibri" w:cs="Calibri" w:eastAsia="Calibri" w:hAnsi="Calibri"/>
          <w:color w:val="000000"/>
          <w:sz w:val="18"/>
          <w:szCs w:val="18"/>
        </w:rPr>
        <w:t xml:space="preserve">Sections XX-XXI added March 2026. XX maps Chinese evasion architecture dollar re-entry points and matching enforcement theories including GENIUS Act §4 Tether freeze authority, HK OTC correspondent banking pressure, Section 311 Kyrgyz FFI special measure, and COFCO/Sinograin secondary sanctions theory. XXI maps Indian and UAE transshipment layer including Nayara Energy Rosneft control determination analysis, INR-RUB Vostro account CAATSA §226 exposure, Litasco Middle East DMCC OFAC designation gap, and UAE/Turkey financial transit enforcement theories.</w:t>
      </w:r>
    </w:p>
    <w:p>
      <w:r>
        <w:br w:type="page"/>
      </w:r>
    </w:p>
    <w:p>
      <w:pPr>
        <w:spacing w:before="240" w:after="120"/>
      </w:pPr>
      <w:r>
        <w:rPr>
          <w:rFonts w:ascii="Calibri" w:cs="Calibri" w:hAnsi="Calibri"/>
          <w:b/>
          <w:bCs/>
          <w:color w:val="1C2B4A"/>
          <w:sz w:val="30"/>
          <w:szCs w:val="30"/>
        </w:rPr>
        <w:t xml:space="preserve">XXII. Hezbollah (Hizballah) — Financial Network, West Africa Diamond Circuit, and Latin America Triangle</w:t>
      </w:r>
    </w:p>
    <w:p>
      <w:pPr>
        <w:spacing w:before="60" w:after="60"/>
      </w:pPr>
      <w:r>
        <w:rPr>
          <w:rFonts w:ascii="Calibri" w:cs="Calibri" w:hAnsi="Calibri"/>
          <w:color w:val="000000"/>
          <w:sz w:val="18"/>
          <w:szCs w:val="18"/>
        </w:rPr>
        <w:t xml:space="preserve">Hezbollah's external financing architecture survived the 2024 military degradation in Lebanon and the December 2024 collapse of the Assad regime — which had previously served as the primary Iran-to-Hezbollah financial bridge. The organization has adapted by dispersing financial responsibilities (previously centralized under Muhammad Qasir, killed October 2024) across multiple individuals, and by deepening its reliance on Lebanon's cash-based exchange house sector, West African diamond and precious gems networks, Latin American gold and narcotics infrastructure, and USDT-based stablecoin channels. Primary legal authorities: E.O. 13224 (SDGT), FTO designation (October 8 1997), Hizballah International Financing Prevention Act (HIFPA) 2015 as amended 2018 — which adds a correspondent account prohibition for FFIs that knowingly facilitate significant transactions for Hezbollah.</w:t>
      </w:r>
    </w:p>
    <w:p>
      <w:pPr>
        <w:spacing w:before="60" w:after="60"/>
      </w:pPr>
      <w:r>
        <w:rPr>
          <w:rFonts w:ascii="Calibri" w:cs="Calibri" w:hAnsi="Calibri"/>
          <w:color w:val="000000"/>
          <w:sz w:val="18"/>
          <w:szCs w:val="18"/>
        </w:rPr>
        <w:t xml:space="preserve">Critical 2025 enforcement actions: November 2025 OFAC designated Ossama Jaber, Ja'far Muhammad Qasir, and Samer Kasbar for funneling tens of millions of dollars from Iran through Lebanese exchange houses in 2025. The Iran-Lebanon Syria cash corridor was structurally degraded by Assad's fall but partially reconstituted through direct exchange house operations. September 2025 OFAC $10M reward offer for information on Hezbollah financial networks. July 2025 Irish court sentenced two Iranian nationals for a Hezbollah-organized cocaine shipment from Venezuela via the Kinahan cartel — confirming the Venezuela-Ireland narcotics corridor. The Nazem Said Ahmad diamond network (52 entities designated April 2023) across South Africa, Angola, DRC, Cote d'Ivoire, Belgium, UK, and Hong Kong remains the primary West African architecture.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400"/>
        <w:gridCol w:w="4800"/>
      </w:tblGrid>
      <w:tr>
        <w:tc>
          <w:tcPr>
            <w:tcW w:type="dxa" w:w="2000"/>
            <w:shd w:val="clear" w:color="auto" w:fill="1C2B4A"/>
          </w:tcPr>
          <w:p>
            <w:pPr>
              <w:jc w:val="center"/>
            </w:pPr>
            <w:r>
              <w:rPr>
                <w:rFonts w:ascii="Calibri" w:cs="Calibri" w:hAnsi="Calibri"/>
                <w:b/>
                <w:bCs/>
                <w:color w:val="FFFFFF"/>
                <w:sz w:val="16"/>
                <w:szCs w:val="16"/>
              </w:rPr>
              <w:t xml:space="preserve">NODE</w:t>
            </w:r>
          </w:p>
        </w:tc>
        <w:tc>
          <w:tcPr>
            <w:tcW w:type="dxa" w:w="1800"/>
            <w:shd w:val="clear" w:color="auto" w:fill="1C2B4A"/>
          </w:tcPr>
          <w:p>
            <w:pPr>
              <w:jc w:val="center"/>
            </w:pPr>
            <w:r>
              <w:rPr>
                <w:rFonts w:ascii="Calibri" w:cs="Calibri" w:hAnsi="Calibri"/>
                <w:b/>
                <w:bCs/>
                <w:color w:val="FFFFFF"/>
                <w:sz w:val="16"/>
                <w:szCs w:val="16"/>
              </w:rPr>
              <w:t xml:space="preserve">LOCATION</w:t>
            </w:r>
          </w:p>
        </w:tc>
        <w:tc>
          <w:tcPr>
            <w:tcW w:type="dxa" w:w="2200"/>
            <w:shd w:val="clear" w:color="auto" w:fill="1C2B4A"/>
          </w:tcPr>
          <w:p>
            <w:pPr>
              <w:jc w:val="center"/>
            </w:pPr>
            <w:r>
              <w:rPr>
                <w:rFonts w:ascii="Calibri" w:cs="Calibri" w:hAnsi="Calibri"/>
                <w:b/>
                <w:bCs/>
                <w:color w:val="FFFFFF"/>
                <w:sz w:val="16"/>
                <w:szCs w:val="16"/>
              </w:rPr>
              <w:t xml:space="preserve">OPERATOR / STRUCTURE</w:t>
            </w:r>
          </w:p>
        </w:tc>
        <w:tc>
          <w:tcPr>
            <w:tcW w:type="dxa" w:w="2400"/>
            <w:shd w:val="clear" w:color="auto" w:fill="1C2B4A"/>
          </w:tcPr>
          <w:p>
            <w:pPr>
              <w:jc w:val="center"/>
            </w:pPr>
            <w:r>
              <w:rPr>
                <w:rFonts w:ascii="Calibri" w:cs="Calibri" w:hAnsi="Calibri"/>
                <w:b/>
                <w:bCs/>
                <w:color w:val="FFFFFF"/>
                <w:sz w:val="16"/>
                <w:szCs w:val="16"/>
              </w:rPr>
              <w:t xml:space="preserve">LEGAL AUTHORITY</w:t>
            </w:r>
          </w:p>
        </w:tc>
        <w:tc>
          <w:tcPr>
            <w:tcW w:type="dxa" w:w="3600"/>
            <w:shd w:val="clear" w:color="auto" w:fill="1C2B4A"/>
          </w:tcPr>
          <w:p>
            <w:pPr>
              <w:jc w:val="center"/>
            </w:pPr>
            <w:r>
              <w:rPr>
                <w:rFonts w:ascii="Calibri" w:cs="Calibri" w:hAnsi="Calibri"/>
                <w:b/>
                <w:bCs/>
                <w:color w:val="FFFFFF"/>
                <w:sz w:val="16"/>
                <w:szCs w:val="16"/>
              </w:rPr>
              <w:t xml:space="preserve">ENFORCEMENT THEORY AND ACTION</w:t>
            </w:r>
          </w:p>
        </w:tc>
        <w:tc>
          <w:tcPr>
            <w:tcW w:type="dxa" w:w="1200"/>
            <w:shd w:val="clear" w:color="auto" w:fill="1C2B4A"/>
          </w:tcPr>
          <w:p>
            <w:pPr>
              <w:jc w:val="center"/>
            </w:pPr>
            <w:r>
              <w:rPr>
                <w:rFonts w:ascii="Calibri" w:cs="Calibri" w:hAnsi="Calibri"/>
                <w:b/>
                <w:bCs/>
                <w:color w:val="FFFFFF"/>
                <w:sz w:val="16"/>
                <w:szCs w:val="16"/>
              </w:rPr>
              <w:t xml:space="preserve">STATUS</w:t>
            </w:r>
          </w:p>
        </w:tc>
      </w:tr>
      <w:tr>
        <w:tc>
          <w:tcPr>
            <w:tcW w:type="dxa" w:w="2000"/>
            <w:shd w:val="clear" w:color="auto" w:fill="EEF2F8"/>
          </w:tcPr>
          <w:p>
            <w:pPr>
              <w:spacing w:before="40" w:after="40"/>
            </w:pPr>
            <w:r>
              <w:rPr>
                <w:rFonts w:ascii="Calibri" w:cs="Calibri" w:hAnsi="Calibri"/>
                <w:b/>
                <w:bCs/>
                <w:color w:val="1C2B4A"/>
                <w:sz w:val="16"/>
                <w:szCs w:val="16"/>
              </w:rPr>
              <w:t xml:space="preserve">Lebanese Exchange House Network (Hezbollah finance team)</w:t>
            </w:r>
          </w:p>
        </w:tc>
        <w:tc>
          <w:tcPr>
            <w:tcW w:type="dxa" w:w="1800"/>
            <w:shd w:val="clear" w:color="auto" w:fill="EEF2F8"/>
          </w:tcPr>
          <w:p>
            <w:pPr>
              <w:spacing w:before="40" w:after="40"/>
            </w:pPr>
            <w:r>
              <w:rPr>
                <w:rFonts w:ascii="Calibri" w:cs="Calibri" w:hAnsi="Calibri"/>
                <w:color w:val="000000"/>
                <w:sz w:val="16"/>
                <w:szCs w:val="16"/>
              </w:rPr>
              <w:t xml:space="preserve">Beirut, Lebanon</w:t>
            </w:r>
          </w:p>
        </w:tc>
        <w:tc>
          <w:tcPr>
            <w:tcW w:type="dxa" w:w="2200"/>
            <w:shd w:val="clear" w:color="auto" w:fill="EEF2F8"/>
          </w:tcPr>
          <w:p>
            <w:pPr>
              <w:spacing w:before="40" w:after="40"/>
            </w:pPr>
            <w:r>
              <w:rPr>
                <w:rFonts w:ascii="Calibri" w:cs="Calibri" w:hAnsi="Calibri"/>
                <w:color w:val="000000"/>
                <w:sz w:val="16"/>
                <w:szCs w:val="16"/>
              </w:rPr>
              <w:t xml:space="preserve">Ossama Jaber; Ja'far Qasir; Samer Kasbar (all designated Nov 2025); Hokoul SAL Offshore</w:t>
            </w:r>
          </w:p>
        </w:tc>
        <w:tc>
          <w:tcPr>
            <w:tcW w:type="dxa" w:w="2400"/>
            <w:shd w:val="clear" w:color="auto" w:fill="EEF2F8"/>
          </w:tcPr>
          <w:p>
            <w:pPr>
              <w:spacing w:before="40" w:after="40"/>
            </w:pPr>
            <w:r>
              <w:rPr>
                <w:rFonts w:ascii="Calibri" w:cs="Calibri" w:hAnsi="Calibri"/>
                <w:color w:val="000000"/>
                <w:sz w:val="16"/>
                <w:szCs w:val="16"/>
              </w:rPr>
              <w:t xml:space="preserve">E.O. 13224; HIFPA 2015/2018</w:t>
            </w:r>
          </w:p>
        </w:tc>
        <w:tc>
          <w:tcPr>
            <w:tcW w:type="dxa" w:w="3600"/>
            <w:shd w:val="clear" w:color="auto" w:fill="EEF2F8"/>
          </w:tcPr>
          <w:p>
            <w:pPr>
              <w:spacing w:before="40" w:after="40"/>
            </w:pPr>
            <w:r>
              <w:rPr>
                <w:rFonts w:ascii="Calibri" w:cs="Calibri" w:hAnsi="Calibri"/>
                <w:color w:val="000000"/>
                <w:sz w:val="16"/>
                <w:szCs w:val="16"/>
              </w:rPr>
              <w:t xml:space="preserve">Primary post-Assad cash conversion layer. Between Sep 2024 and Feb 2025, Jaber collected/converted tens of millions via Lebanese money changers. Action: Designate each new exchange house as identified; apply HIFPA correspondent account prohibition to Lebanese banks servicing these exchange houses. FinCEN Section 311 against Lebanese financial institutions with documented Hezbollah exchange house exposure.</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r>
      <w:tr>
        <w:tc>
          <w:tcPr>
            <w:tcW w:type="dxa" w:w="2000"/>
            <w:shd w:val="clear" w:color="auto" w:fill="FFFFFF"/>
          </w:tcPr>
          <w:p>
            <w:pPr>
              <w:spacing w:before="40" w:after="40"/>
            </w:pPr>
            <w:r>
              <w:rPr>
                <w:rFonts w:ascii="Calibri" w:cs="Calibri" w:hAnsi="Calibri"/>
                <w:b/>
                <w:bCs/>
                <w:color w:val="1C2B4A"/>
                <w:sz w:val="16"/>
                <w:szCs w:val="16"/>
              </w:rPr>
              <w:t xml:space="preserve">Al-Qard Al-Hassan Association (AQAH)</w:t>
            </w:r>
          </w:p>
        </w:tc>
        <w:tc>
          <w:tcPr>
            <w:tcW w:type="dxa" w:w="1800"/>
            <w:shd w:val="clear" w:color="auto" w:fill="FFFFFF"/>
          </w:tcPr>
          <w:p>
            <w:pPr>
              <w:spacing w:before="40" w:after="40"/>
            </w:pPr>
            <w:r>
              <w:rPr>
                <w:rFonts w:ascii="Calibri" w:cs="Calibri" w:hAnsi="Calibri"/>
                <w:color w:val="000000"/>
                <w:sz w:val="16"/>
                <w:szCs w:val="16"/>
              </w:rPr>
              <w:t xml:space="preserve">Beirut, Lebanon (branches Nigeria, West Africa)</w:t>
            </w:r>
          </w:p>
        </w:tc>
        <w:tc>
          <w:tcPr>
            <w:tcW w:type="dxa" w:w="2200"/>
            <w:shd w:val="clear" w:color="auto" w:fill="FFFFFF"/>
          </w:tcPr>
          <w:p>
            <w:pPr>
              <w:spacing w:before="40" w:after="40"/>
            </w:pPr>
            <w:r>
              <w:rPr>
                <w:rFonts w:ascii="Calibri" w:cs="Calibri" w:hAnsi="Calibri"/>
                <w:color w:val="000000"/>
                <w:sz w:val="16"/>
                <w:szCs w:val="16"/>
              </w:rPr>
              <w:t xml:space="preserve">Hezbollah-controlled microfinance/charity front; OFAC-designated 2007</w:t>
            </w:r>
          </w:p>
        </w:tc>
        <w:tc>
          <w:tcPr>
            <w:tcW w:type="dxa" w:w="2400"/>
            <w:shd w:val="clear" w:color="auto" w:fill="FFFFFF"/>
          </w:tcPr>
          <w:p>
            <w:pPr>
              <w:spacing w:before="40" w:after="40"/>
            </w:pPr>
            <w:r>
              <w:rPr>
                <w:rFonts w:ascii="Calibri" w:cs="Calibri" w:hAnsi="Calibri"/>
                <w:color w:val="000000"/>
                <w:sz w:val="16"/>
                <w:szCs w:val="16"/>
              </w:rPr>
              <w:t xml:space="preserve">E.O. 13224; HIFPA 2015/2018</w:t>
            </w:r>
          </w:p>
        </w:tc>
        <w:tc>
          <w:tcPr>
            <w:tcW w:type="dxa" w:w="3600"/>
            <w:shd w:val="clear" w:color="auto" w:fill="FFFFFF"/>
          </w:tcPr>
          <w:p>
            <w:pPr>
              <w:spacing w:before="40" w:after="40"/>
            </w:pPr>
            <w:r>
              <w:rPr>
                <w:rFonts w:ascii="Calibri" w:cs="Calibri" w:hAnsi="Calibri"/>
                <w:color w:val="000000"/>
                <w:sz w:val="16"/>
                <w:szCs w:val="16"/>
              </w:rPr>
              <w:t xml:space="preserve">Designated 2007. Still operating via digital payment services Whish Money and OMT in Lebanon (Oct 2025 reports). Instructs donors to send to private individual digital wallets — evades sanctions screening on institutional accounts. Action: Target Whish Money and OMT as FFIs under HIFPA if they knowingly process AQAH-directed transfers. GENIUS Act BSA mandate requires these platforms to screen sanctioned wallets.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EEF2F8"/>
          </w:tcPr>
          <w:p>
            <w:pPr>
              <w:spacing w:before="40" w:after="40"/>
            </w:pPr>
            <w:r>
              <w:rPr>
                <w:rFonts w:ascii="Calibri" w:cs="Calibri" w:hAnsi="Calibri"/>
                <w:b/>
                <w:bCs/>
                <w:color w:val="1C2B4A"/>
                <w:sz w:val="16"/>
                <w:szCs w:val="16"/>
              </w:rPr>
              <w:t xml:space="preserve">Nazem Said Ahmad Diamond/Gems Network</w:t>
            </w:r>
          </w:p>
        </w:tc>
        <w:tc>
          <w:tcPr>
            <w:tcW w:type="dxa" w:w="1800"/>
            <w:shd w:val="clear" w:color="auto" w:fill="EEF2F8"/>
          </w:tcPr>
          <w:p>
            <w:pPr>
              <w:spacing w:before="40" w:after="40"/>
            </w:pPr>
            <w:r>
              <w:rPr>
                <w:rFonts w:ascii="Calibri" w:cs="Calibri" w:hAnsi="Calibri"/>
                <w:color w:val="000000"/>
                <w:sz w:val="16"/>
                <w:szCs w:val="16"/>
              </w:rPr>
              <w:t xml:space="preserve">Beirut / Dubai / Johannesburg / Hong Kong</w:t>
            </w:r>
          </w:p>
        </w:tc>
        <w:tc>
          <w:tcPr>
            <w:tcW w:type="dxa" w:w="2200"/>
            <w:shd w:val="clear" w:color="auto" w:fill="EEF2F8"/>
          </w:tcPr>
          <w:p>
            <w:pPr>
              <w:spacing w:before="40" w:after="40"/>
            </w:pPr>
            <w:r>
              <w:rPr>
                <w:rFonts w:ascii="Calibri" w:cs="Calibri" w:hAnsi="Calibri"/>
                <w:color w:val="000000"/>
                <w:sz w:val="16"/>
                <w:szCs w:val="16"/>
              </w:rPr>
              <w:t xml:space="preserve">Nazem Said Ahmad (SDGT designated Dec 2019); 52 associated individuals and entities designated Apr 2023</w:t>
            </w:r>
          </w:p>
        </w:tc>
        <w:tc>
          <w:tcPr>
            <w:tcW w:type="dxa" w:w="2400"/>
            <w:shd w:val="clear" w:color="auto" w:fill="EEF2F8"/>
          </w:tcPr>
          <w:p>
            <w:pPr>
              <w:spacing w:before="40" w:after="40"/>
            </w:pPr>
            <w:r>
              <w:rPr>
                <w:rFonts w:ascii="Calibri" w:cs="Calibri" w:hAnsi="Calibri"/>
                <w:color w:val="000000"/>
                <w:sz w:val="16"/>
                <w:szCs w:val="16"/>
              </w:rPr>
              <w:t xml:space="preserve">E.O. 13224; HIFPA 2015/2018</w:t>
            </w:r>
          </w:p>
        </w:tc>
        <w:tc>
          <w:tcPr>
            <w:tcW w:type="dxa" w:w="3600"/>
            <w:shd w:val="clear" w:color="auto" w:fill="EEF2F8"/>
          </w:tcPr>
          <w:p>
            <w:pPr>
              <w:spacing w:before="40" w:after="40"/>
            </w:pPr>
            <w:r>
              <w:rPr>
                <w:rFonts w:ascii="Calibri" w:cs="Calibri" w:hAnsi="Calibri"/>
                <w:color w:val="000000"/>
                <w:sz w:val="16"/>
                <w:szCs w:val="16"/>
              </w:rPr>
              <w:t xml:space="preserve">Facilitates payment via diamonds, precious gems, and art for Hezbollah. Network spans South Africa, Angola, DRC, Cote d'Ivoire, Belgium, UK, Hong Kong. All 52 entities designated Apr 2023. Action: Monitor for reconstitution through new nominee structures. FinCEN art/luxury goods AML guidance (Feb 2022) applies — designated entities cannot be cleared through art or gem market intermediaries.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FFFFFF"/>
          </w:tcPr>
          <w:p>
            <w:pPr>
              <w:spacing w:before="40" w:after="40"/>
            </w:pPr>
            <w:r>
              <w:rPr>
                <w:rFonts w:ascii="Calibri" w:cs="Calibri" w:hAnsi="Calibri"/>
                <w:b/>
                <w:bCs/>
                <w:color w:val="8B4500"/>
                <w:sz w:val="16"/>
                <w:szCs w:val="16"/>
              </w:rPr>
              <w:t xml:space="preserve">Tri-Border Area (TBA) — Argentina/Brazil/Paraguay</w:t>
            </w:r>
          </w:p>
        </w:tc>
        <w:tc>
          <w:tcPr>
            <w:tcW w:type="dxa" w:w="1800"/>
            <w:shd w:val="clear" w:color="auto" w:fill="FFFFFF"/>
          </w:tcPr>
          <w:p>
            <w:pPr>
              <w:spacing w:before="40" w:after="40"/>
            </w:pPr>
            <w:r>
              <w:rPr>
                <w:rFonts w:ascii="Calibri" w:cs="Calibri" w:hAnsi="Calibri"/>
                <w:color w:val="000000"/>
                <w:sz w:val="16"/>
                <w:szCs w:val="16"/>
              </w:rPr>
              <w:t xml:space="preserve">Ciudad del Este (Paraguay) / Foz do Iguacu (Brazil) / Puerto Iguazu (Argentina)</w:t>
            </w:r>
          </w:p>
        </w:tc>
        <w:tc>
          <w:tcPr>
            <w:tcW w:type="dxa" w:w="2200"/>
            <w:shd w:val="clear" w:color="auto" w:fill="FFFFFF"/>
          </w:tcPr>
          <w:p>
            <w:pPr>
              <w:spacing w:before="40" w:after="40"/>
            </w:pPr>
            <w:r>
              <w:rPr>
                <w:rFonts w:ascii="Calibri" w:cs="Calibri" w:hAnsi="Calibri"/>
                <w:color w:val="000000"/>
                <w:sz w:val="16"/>
                <w:szCs w:val="16"/>
              </w:rPr>
              <w:t xml:space="preserve">Amer Akil Rada (designated); Samer Akil Rada (designated); multiple commercial enterprises</w:t>
            </w:r>
          </w:p>
        </w:tc>
        <w:tc>
          <w:tcPr>
            <w:tcW w:type="dxa" w:w="2400"/>
            <w:shd w:val="clear" w:color="auto" w:fill="FFFFFF"/>
          </w:tcPr>
          <w:p>
            <w:pPr>
              <w:spacing w:before="40" w:after="40"/>
            </w:pPr>
            <w:r>
              <w:rPr>
                <w:rFonts w:ascii="Calibri" w:cs="Calibri" w:hAnsi="Calibri"/>
                <w:color w:val="000000"/>
                <w:sz w:val="16"/>
                <w:szCs w:val="16"/>
              </w:rPr>
              <w:t xml:space="preserve">E.O. 13224; HIFPA 2015/2018; DEA NDDS</w:t>
            </w:r>
          </w:p>
        </w:tc>
        <w:tc>
          <w:tcPr>
            <w:tcW w:type="dxa" w:w="3600"/>
            <w:shd w:val="clear" w:color="auto" w:fill="FFFFFF"/>
          </w:tcPr>
          <w:p>
            <w:pPr>
              <w:spacing w:before="40" w:after="40"/>
            </w:pPr>
            <w:r>
              <w:rPr>
                <w:rFonts w:ascii="Calibri" w:cs="Calibri" w:hAnsi="Calibri"/>
                <w:color w:val="000000"/>
                <w:sz w:val="16"/>
                <w:szCs w:val="16"/>
              </w:rPr>
              <w:t xml:space="preserve">Amer Akil Rada (designated Sep 2023) ran charcoal exports from Colombia to Lebanon funneling 80% of proceeds to Hezbollah. BCI Technologies C.A. (Venezuela) designated 2023 — Hezbollah-linked crypto firm. Action: Continued DEA/OFAC coordination on TBA commercial network; target new nominee structures replacing Rada network; apply HIFPA to South American banks processing trade proceeds for designated TBA entities.</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r>
      <w:tr>
        <w:tc>
          <w:tcPr>
            <w:tcW w:type="dxa" w:w="2000"/>
            <w:shd w:val="clear" w:color="auto" w:fill="EEF2F8"/>
          </w:tcPr>
          <w:p>
            <w:pPr>
              <w:spacing w:before="40" w:after="40"/>
            </w:pPr>
            <w:r>
              <w:rPr>
                <w:rFonts w:ascii="Calibri" w:cs="Calibri" w:hAnsi="Calibri"/>
                <w:b/>
                <w:bCs/>
                <w:color w:val="8B4500"/>
                <w:sz w:val="16"/>
                <w:szCs w:val="16"/>
              </w:rPr>
              <w:t xml:space="preserve">Venezuelan Gold/Crypto Network</w:t>
            </w:r>
          </w:p>
        </w:tc>
        <w:tc>
          <w:tcPr>
            <w:tcW w:type="dxa" w:w="1800"/>
            <w:shd w:val="clear" w:color="auto" w:fill="EEF2F8"/>
          </w:tcPr>
          <w:p>
            <w:pPr>
              <w:spacing w:before="40" w:after="40"/>
            </w:pPr>
            <w:r>
              <w:rPr>
                <w:rFonts w:ascii="Calibri" w:cs="Calibri" w:hAnsi="Calibri"/>
                <w:color w:val="000000"/>
                <w:sz w:val="16"/>
                <w:szCs w:val="16"/>
              </w:rPr>
              <w:t xml:space="preserve">Caracas / Orinoco River region, Venezuela</w:t>
            </w:r>
          </w:p>
        </w:tc>
        <w:tc>
          <w:tcPr>
            <w:tcW w:type="dxa" w:w="2200"/>
            <w:shd w:val="clear" w:color="auto" w:fill="EEF2F8"/>
          </w:tcPr>
          <w:p>
            <w:pPr>
              <w:spacing w:before="40" w:after="40"/>
            </w:pPr>
            <w:r>
              <w:rPr>
                <w:rFonts w:ascii="Calibri" w:cs="Calibri" w:hAnsi="Calibri"/>
                <w:color w:val="000000"/>
                <w:sz w:val="16"/>
                <w:szCs w:val="16"/>
              </w:rPr>
              <w:t xml:space="preserve">BCI Technologies C.A. (designated 2023); Hezbollah-linked OTC brokers; Iranian intermediaries</w:t>
            </w:r>
          </w:p>
        </w:tc>
        <w:tc>
          <w:tcPr>
            <w:tcW w:type="dxa" w:w="2400"/>
            <w:shd w:val="clear" w:color="auto" w:fill="EEF2F8"/>
          </w:tcPr>
          <w:p>
            <w:pPr>
              <w:spacing w:before="40" w:after="40"/>
            </w:pPr>
            <w:r>
              <w:rPr>
                <w:rFonts w:ascii="Calibri" w:cs="Calibri" w:hAnsi="Calibri"/>
                <w:color w:val="000000"/>
                <w:sz w:val="16"/>
                <w:szCs w:val="16"/>
              </w:rPr>
              <w:t xml:space="preserve">E.O. 13224; E.O. 13850 (Venezuela); GENIUS Act §4</w:t>
            </w:r>
          </w:p>
        </w:tc>
        <w:tc>
          <w:tcPr>
            <w:tcW w:type="dxa" w:w="3600"/>
            <w:shd w:val="clear" w:color="auto" w:fill="EEF2F8"/>
          </w:tcPr>
          <w:p>
            <w:pPr>
              <w:spacing w:before="40" w:after="40"/>
            </w:pPr>
            <w:r>
              <w:rPr>
                <w:rFonts w:ascii="Calibri" w:cs="Calibri" w:hAnsi="Calibri"/>
                <w:color w:val="000000"/>
                <w:sz w:val="16"/>
                <w:szCs w:val="16"/>
              </w:rPr>
              <w:t xml:space="preserve">Hezbollah purchases Venezuelan gold through local intermediaries, resells to Iran, which resells to Turkey and Middle East buyers. Maduro capture (Jan 2026) disrupted Venezuelan government support infrastructure. BCI Technologies designated for Hezbollah-linked crypto operations. USDT-based laundering via Caracas OTC market. Action: Post-Maduro, target Venezuelan military officials who replaced CLAP/Cartel of Suns support for Hezbollah; apply GENIUS Act BSA mandate to Caracas crypto OTC desks with US-nexus transactions.</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r>
      <w:tr>
        <w:tc>
          <w:tcPr>
            <w:tcW w:type="dxa" w:w="2000"/>
            <w:shd w:val="clear" w:color="auto" w:fill="FFFFFF"/>
          </w:tcPr>
          <w:p>
            <w:pPr>
              <w:spacing w:before="40" w:after="40"/>
            </w:pPr>
            <w:r>
              <w:rPr>
                <w:rFonts w:ascii="Calibri" w:cs="Calibri" w:hAnsi="Calibri"/>
                <w:b/>
                <w:bCs/>
                <w:color w:val="1C2B4A"/>
                <w:sz w:val="16"/>
                <w:szCs w:val="16"/>
              </w:rPr>
              <w:t xml:space="preserve">Captagon Trafficking Network (Syria/Lebanon)</w:t>
            </w:r>
          </w:p>
        </w:tc>
        <w:tc>
          <w:tcPr>
            <w:tcW w:type="dxa" w:w="1800"/>
            <w:shd w:val="clear" w:color="auto" w:fill="FFFFFF"/>
          </w:tcPr>
          <w:p>
            <w:pPr>
              <w:spacing w:before="40" w:after="40"/>
            </w:pPr>
            <w:r>
              <w:rPr>
                <w:rFonts w:ascii="Calibri" w:cs="Calibri" w:hAnsi="Calibri"/>
                <w:color w:val="000000"/>
                <w:sz w:val="16"/>
                <w:szCs w:val="16"/>
              </w:rPr>
              <w:t xml:space="preserve">Syria / Lebanon (distributed)</w:t>
            </w:r>
          </w:p>
        </w:tc>
        <w:tc>
          <w:tcPr>
            <w:tcW w:type="dxa" w:w="2200"/>
            <w:shd w:val="clear" w:color="auto" w:fill="FFFFFF"/>
          </w:tcPr>
          <w:p>
            <w:pPr>
              <w:spacing w:before="40" w:after="40"/>
            </w:pPr>
            <w:r>
              <w:rPr>
                <w:rFonts w:ascii="Calibri" w:cs="Calibri" w:hAnsi="Calibri"/>
                <w:color w:val="000000"/>
                <w:sz w:val="16"/>
                <w:szCs w:val="16"/>
              </w:rPr>
              <w:t xml:space="preserve">Former Assad regime affiliates; Hezbollah production and distribution infrastructure; designated May 2025</w:t>
            </w:r>
          </w:p>
        </w:tc>
        <w:tc>
          <w:tcPr>
            <w:tcW w:type="dxa" w:w="2400"/>
            <w:shd w:val="clear" w:color="auto" w:fill="FFFFFF"/>
          </w:tcPr>
          <w:p>
            <w:pPr>
              <w:spacing w:before="40" w:after="40"/>
            </w:pPr>
            <w:r>
              <w:rPr>
                <w:rFonts w:ascii="Calibri" w:cs="Calibri" w:hAnsi="Calibri"/>
                <w:color w:val="000000"/>
                <w:sz w:val="16"/>
                <w:szCs w:val="16"/>
              </w:rPr>
              <w:t xml:space="preserve">E.O. 13224; E.O. 13382 (WMD/narcotics nexus); Caesar Syria Civilian Protection Act</w:t>
            </w:r>
          </w:p>
        </w:tc>
        <w:tc>
          <w:tcPr>
            <w:tcW w:type="dxa" w:w="3600"/>
            <w:shd w:val="clear" w:color="auto" w:fill="FFFFFF"/>
          </w:tcPr>
          <w:p>
            <w:pPr>
              <w:spacing w:before="40" w:after="40"/>
            </w:pPr>
            <w:r>
              <w:rPr>
                <w:rFonts w:ascii="Calibri" w:cs="Calibri" w:hAnsi="Calibri"/>
                <w:color w:val="000000"/>
                <w:sz w:val="16"/>
                <w:szCs w:val="16"/>
              </w:rPr>
              <w:t xml:space="preserve">Captagon (amphetamine) is a billion-dollar illicit enterprise with Hezbollah production and distribution infrastructure post-Assad. May 2025 OFAC designated three Captagon trafficking individuals alongside Hezbollah finance designations. Action: Coordinate DEA/OFAC Captagon-specific designations targeting production nodes now operating without Assad protection; apply Caesar Act authorities to Syrian entities supporting Hezbollah Captagon infrastructure.</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r>
      <w:tr>
        <w:tc>
          <w:tcPr>
            <w:tcW w:type="dxa" w:w="2000"/>
            <w:shd w:val="clear" w:color="auto" w:fill="EEF2F8"/>
          </w:tcPr>
          <w:p>
            <w:pPr>
              <w:spacing w:before="40" w:after="40"/>
            </w:pPr>
            <w:r>
              <w:rPr>
                <w:rFonts w:ascii="Calibri" w:cs="Calibri" w:hAnsi="Calibri"/>
                <w:b/>
                <w:bCs/>
                <w:color w:val="1C2B4A"/>
                <w:sz w:val="16"/>
                <w:szCs w:val="16"/>
              </w:rPr>
              <w:t xml:space="preserve">Iran IRGC-QF to Hezbollah Financial Pipeline</w:t>
            </w:r>
          </w:p>
        </w:tc>
        <w:tc>
          <w:tcPr>
            <w:tcW w:type="dxa" w:w="1800"/>
            <w:shd w:val="clear" w:color="auto" w:fill="EEF2F8"/>
          </w:tcPr>
          <w:p>
            <w:pPr>
              <w:spacing w:before="40" w:after="40"/>
            </w:pPr>
            <w:r>
              <w:rPr>
                <w:rFonts w:ascii="Calibri" w:cs="Calibri" w:hAnsi="Calibri"/>
                <w:color w:val="000000"/>
                <w:sz w:val="16"/>
                <w:szCs w:val="16"/>
              </w:rPr>
              <w:t xml:space="preserve">Tehran, Iran / Beirut, Lebanon</w:t>
            </w:r>
          </w:p>
        </w:tc>
        <w:tc>
          <w:tcPr>
            <w:tcW w:type="dxa" w:w="2200"/>
            <w:shd w:val="clear" w:color="auto" w:fill="EEF2F8"/>
          </w:tcPr>
          <w:p>
            <w:pPr>
              <w:spacing w:before="40" w:after="40"/>
            </w:pPr>
            <w:r>
              <w:rPr>
                <w:rFonts w:ascii="Calibri" w:cs="Calibri" w:hAnsi="Calibri"/>
                <w:color w:val="000000"/>
                <w:sz w:val="16"/>
                <w:szCs w:val="16"/>
              </w:rPr>
              <w:t xml:space="preserve">IRGC-QF (FTO designated); multiple designated intermediaries</w:t>
            </w:r>
          </w:p>
        </w:tc>
        <w:tc>
          <w:tcPr>
            <w:tcW w:type="dxa" w:w="2400"/>
            <w:shd w:val="clear" w:color="auto" w:fill="EEF2F8"/>
          </w:tcPr>
          <w:p>
            <w:pPr>
              <w:spacing w:before="40" w:after="40"/>
            </w:pPr>
            <w:r>
              <w:rPr>
                <w:rFonts w:ascii="Calibri" w:cs="Calibri" w:hAnsi="Calibri"/>
                <w:color w:val="000000"/>
                <w:sz w:val="16"/>
                <w:szCs w:val="16"/>
              </w:rPr>
              <w:t xml:space="preserve">E.O. 13224; E.O. 13382; IFCA; IRGC FTO designation (Apr 2019)</w:t>
            </w:r>
          </w:p>
        </w:tc>
        <w:tc>
          <w:tcPr>
            <w:tcW w:type="dxa" w:w="3600"/>
            <w:shd w:val="clear" w:color="auto" w:fill="EEF2F8"/>
          </w:tcPr>
          <w:p>
            <w:pPr>
              <w:spacing w:before="40" w:after="40"/>
            </w:pPr>
            <w:r>
              <w:rPr>
                <w:rFonts w:ascii="Calibri" w:cs="Calibri" w:hAnsi="Calibri"/>
                <w:color w:val="000000"/>
                <w:sz w:val="16"/>
                <w:szCs w:val="16"/>
              </w:rPr>
              <w:t xml:space="preserve">IRGC-QF is the primary Hezbollah funder — historically routing through Syria (now degraded). Current pipeline uses Iranian exchange networks and direct cash transfers via Lebanese intermediaries. Action: Continue targeting each new financial conduit as identified; HIFPA correspondent account prohibition on any bank processing IRGC-QF-to-Hezbollah transfers; coordinate with Israeli CTF authorities on real-time wallet identification.</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XXIII. Hamas / Palestinian Islamic Jihad (PIJ) — Investment Portfolio, Istanbul Finance Hub, and Crypto Layer</w:t>
      </w:r>
    </w:p>
    <w:p>
      <w:pPr>
        <w:spacing w:before="60" w:after="60"/>
      </w:pPr>
      <w:r>
        <w:rPr>
          <w:rFonts w:ascii="Calibri" w:cs="Calibri" w:hAnsi="Calibri"/>
          <w:color w:val="000000"/>
          <w:sz w:val="18"/>
          <w:szCs w:val="18"/>
        </w:rPr>
        <w:t xml:space="preserve">Hamas's external financing architecture rests on three pillars: (1) a secret international investment portfolio estimated at hundreds of millions of dollars, operating through front companies in Sudan, Algeria, Turkey, and UAE; (2) the Istanbul-based Jabarin portfolio (~$500M in Turkish real estate and stocks) which is operationally independent of Hamas political leadership's physical location; and (3) a Gaza-based and diaspora crypto fundraising layer using USDT and exchange houses to receive IRGC-QF transfers. Key January 2026 development: Qatar began moving toward full Hamas political leadership expulsion following Hamas leaders' refusal to condemn Iranian strikes on Qatari soil. The January 13 2026 US designation of Muslim Brotherhood entities disrupted part of the Doha-Istanbul NGO node network but the Jabarin financial portfolio remains intact. Hamas (FTO since Oct 1997), PIJ (FTO since Oct 1997), and PFLP (FTO since Oct 1997) are all designated SDGTs under E.O. 13224.</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400"/>
        <w:gridCol w:w="4800"/>
      </w:tblGrid>
      <w:tr>
        <w:tc>
          <w:tcPr>
            <w:tcW w:type="dxa" w:w="2000"/>
            <w:shd w:val="clear" w:color="auto" w:fill="1C2B4A"/>
          </w:tcPr>
          <w:p>
            <w:pPr>
              <w:jc w:val="center"/>
            </w:pPr>
            <w:r>
              <w:rPr>
                <w:rFonts w:ascii="Calibri" w:cs="Calibri" w:hAnsi="Calibri"/>
                <w:b/>
                <w:bCs/>
                <w:color w:val="FFFFFF"/>
                <w:sz w:val="16"/>
                <w:szCs w:val="16"/>
              </w:rPr>
              <w:t xml:space="preserve">NODE</w:t>
            </w:r>
          </w:p>
        </w:tc>
        <w:tc>
          <w:tcPr>
            <w:tcW w:type="dxa" w:w="1800"/>
            <w:shd w:val="clear" w:color="auto" w:fill="1C2B4A"/>
          </w:tcPr>
          <w:p>
            <w:pPr>
              <w:jc w:val="center"/>
            </w:pPr>
            <w:r>
              <w:rPr>
                <w:rFonts w:ascii="Calibri" w:cs="Calibri" w:hAnsi="Calibri"/>
                <w:b/>
                <w:bCs/>
                <w:color w:val="FFFFFF"/>
                <w:sz w:val="16"/>
                <w:szCs w:val="16"/>
              </w:rPr>
              <w:t xml:space="preserve">LOCATION</w:t>
            </w:r>
          </w:p>
        </w:tc>
        <w:tc>
          <w:tcPr>
            <w:tcW w:type="dxa" w:w="2200"/>
            <w:shd w:val="clear" w:color="auto" w:fill="1C2B4A"/>
          </w:tcPr>
          <w:p>
            <w:pPr>
              <w:jc w:val="center"/>
            </w:pPr>
            <w:r>
              <w:rPr>
                <w:rFonts w:ascii="Calibri" w:cs="Calibri" w:hAnsi="Calibri"/>
                <w:b/>
                <w:bCs/>
                <w:color w:val="FFFFFF"/>
                <w:sz w:val="16"/>
                <w:szCs w:val="16"/>
              </w:rPr>
              <w:t xml:space="preserve">OPERATOR / STRUCTURE</w:t>
            </w:r>
          </w:p>
        </w:tc>
        <w:tc>
          <w:tcPr>
            <w:tcW w:type="dxa" w:w="2400"/>
            <w:shd w:val="clear" w:color="auto" w:fill="1C2B4A"/>
          </w:tcPr>
          <w:p>
            <w:pPr>
              <w:jc w:val="center"/>
            </w:pPr>
            <w:r>
              <w:rPr>
                <w:rFonts w:ascii="Calibri" w:cs="Calibri" w:hAnsi="Calibri"/>
                <w:b/>
                <w:bCs/>
                <w:color w:val="FFFFFF"/>
                <w:sz w:val="16"/>
                <w:szCs w:val="16"/>
              </w:rPr>
              <w:t xml:space="preserve">LEGAL AUTHORITY</w:t>
            </w:r>
          </w:p>
        </w:tc>
        <w:tc>
          <w:tcPr>
            <w:tcW w:type="dxa" w:w="3600"/>
            <w:shd w:val="clear" w:color="auto" w:fill="1C2B4A"/>
          </w:tcPr>
          <w:p>
            <w:pPr>
              <w:jc w:val="center"/>
            </w:pPr>
            <w:r>
              <w:rPr>
                <w:rFonts w:ascii="Calibri" w:cs="Calibri" w:hAnsi="Calibri"/>
                <w:b/>
                <w:bCs/>
                <w:color w:val="FFFFFF"/>
                <w:sz w:val="16"/>
                <w:szCs w:val="16"/>
              </w:rPr>
              <w:t xml:space="preserve">ENFORCEMENT THEORY AND ACTION</w:t>
            </w:r>
          </w:p>
        </w:tc>
        <w:tc>
          <w:tcPr>
            <w:tcW w:type="dxa" w:w="1200"/>
            <w:shd w:val="clear" w:color="auto" w:fill="1C2B4A"/>
          </w:tcPr>
          <w:p>
            <w:pPr>
              <w:jc w:val="center"/>
            </w:pPr>
            <w:r>
              <w:rPr>
                <w:rFonts w:ascii="Calibri" w:cs="Calibri" w:hAnsi="Calibri"/>
                <w:b/>
                <w:bCs/>
                <w:color w:val="FFFFFF"/>
                <w:sz w:val="16"/>
                <w:szCs w:val="16"/>
              </w:rPr>
              <w:t xml:space="preserve">STATUS</w:t>
            </w:r>
          </w:p>
        </w:tc>
      </w:tr>
      <w:tr>
        <w:tc>
          <w:tcPr>
            <w:tcW w:type="dxa" w:w="2000"/>
            <w:shd w:val="clear" w:color="auto" w:fill="EEF2F8"/>
          </w:tcPr>
          <w:p>
            <w:pPr>
              <w:spacing w:before="40" w:after="40"/>
            </w:pPr>
            <w:r>
              <w:rPr>
                <w:rFonts w:ascii="Calibri" w:cs="Calibri" w:hAnsi="Calibri"/>
                <w:b/>
                <w:bCs/>
                <w:color w:val="1C2B4A"/>
                <w:sz w:val="16"/>
                <w:szCs w:val="16"/>
              </w:rPr>
              <w:t xml:space="preserve">Hamas Istanbul Investment Portfolio (Jabarin network)</w:t>
            </w:r>
          </w:p>
        </w:tc>
        <w:tc>
          <w:tcPr>
            <w:tcW w:type="dxa" w:w="1800"/>
            <w:shd w:val="clear" w:color="auto" w:fill="EEF2F8"/>
          </w:tcPr>
          <w:p>
            <w:pPr>
              <w:spacing w:before="40" w:after="40"/>
            </w:pPr>
            <w:r>
              <w:rPr>
                <w:rFonts w:ascii="Calibri" w:cs="Calibri" w:hAnsi="Calibri"/>
                <w:color w:val="000000"/>
                <w:sz w:val="16"/>
                <w:szCs w:val="16"/>
              </w:rPr>
              <w:t xml:space="preserve">Istanbul, Turkey</w:t>
            </w:r>
          </w:p>
        </w:tc>
        <w:tc>
          <w:tcPr>
            <w:tcW w:type="dxa" w:w="2200"/>
            <w:shd w:val="clear" w:color="auto" w:fill="EEF2F8"/>
          </w:tcPr>
          <w:p>
            <w:pPr>
              <w:spacing w:before="40" w:after="40"/>
            </w:pPr>
            <w:r>
              <w:rPr>
                <w:rFonts w:ascii="Calibri" w:cs="Calibri" w:hAnsi="Calibri"/>
                <w:color w:val="000000"/>
                <w:sz w:val="16"/>
                <w:szCs w:val="16"/>
              </w:rPr>
              <w:t xml:space="preserve">Zaher Jabarin (Hamas finance director, designated); Trend GYO (real estate, designated); multiple portfolio companies</w:t>
            </w:r>
          </w:p>
        </w:tc>
        <w:tc>
          <w:tcPr>
            <w:tcW w:type="dxa" w:w="2400"/>
            <w:shd w:val="clear" w:color="auto" w:fill="EEF2F8"/>
          </w:tcPr>
          <w:p>
            <w:pPr>
              <w:spacing w:before="40" w:after="40"/>
            </w:pPr>
            <w:r>
              <w:rPr>
                <w:rFonts w:ascii="Calibri" w:cs="Calibri" w:hAnsi="Calibri"/>
                <w:color w:val="000000"/>
                <w:sz w:val="16"/>
                <w:szCs w:val="16"/>
              </w:rPr>
              <w:t xml:space="preserve">E.O. 13224; CAATSA §226 (Turkish FFIs)</w:t>
            </w:r>
          </w:p>
        </w:tc>
        <w:tc>
          <w:tcPr>
            <w:tcW w:type="dxa" w:w="3600"/>
            <w:shd w:val="clear" w:color="auto" w:fill="EEF2F8"/>
          </w:tcPr>
          <w:p>
            <w:pPr>
              <w:spacing w:before="40" w:after="40"/>
            </w:pPr>
            <w:r>
              <w:rPr>
                <w:rFonts w:ascii="Calibri" w:cs="Calibri" w:hAnsi="Calibri"/>
                <w:color w:val="000000"/>
                <w:sz w:val="16"/>
                <w:szCs w:val="16"/>
              </w:rPr>
              <w:t xml:space="preserve">Jabarin portfolio: ~$500M in Turkish real estate and stocks. Trend GYO designated, but Dudin attempted post-designation ownership transfer to obscure affiliation. Portfolio is operationally independent of Hamas political leadership location — functions regardless of Qatar expulsion. Action: Designate each successor entity as ownership transfers are identified; apply CAATSA §226 to Turkish banks (Ziraat, Halkbank, VakifBank) servicing Jabarin portfolio accounts; Turkish MASAK (financial intelligence) bilateral engagement required.</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r>
      <w:tr>
        <w:tc>
          <w:tcPr>
            <w:tcW w:type="dxa" w:w="2000"/>
            <w:shd w:val="clear" w:color="auto" w:fill="FFFFFF"/>
          </w:tcPr>
          <w:p>
            <w:pPr>
              <w:spacing w:before="40" w:after="40"/>
            </w:pPr>
            <w:r>
              <w:rPr>
                <w:rFonts w:ascii="Calibri" w:cs="Calibri" w:hAnsi="Calibri"/>
                <w:b/>
                <w:bCs/>
                <w:color w:val="8B4500"/>
                <w:sz w:val="16"/>
                <w:szCs w:val="16"/>
              </w:rPr>
              <w:t xml:space="preserve">Qatar Doha NGO Financing Network</w:t>
            </w:r>
          </w:p>
        </w:tc>
        <w:tc>
          <w:tcPr>
            <w:tcW w:type="dxa" w:w="1800"/>
            <w:shd w:val="clear" w:color="auto" w:fill="FFFFFF"/>
          </w:tcPr>
          <w:p>
            <w:pPr>
              <w:spacing w:before="40" w:after="40"/>
            </w:pPr>
            <w:r>
              <w:rPr>
                <w:rFonts w:ascii="Calibri" w:cs="Calibri" w:hAnsi="Calibri"/>
                <w:color w:val="000000"/>
                <w:sz w:val="16"/>
                <w:szCs w:val="16"/>
              </w:rPr>
              <w:t xml:space="preserve">Doha, Qatar</w:t>
            </w:r>
          </w:p>
        </w:tc>
        <w:tc>
          <w:tcPr>
            <w:tcW w:type="dxa" w:w="2200"/>
            <w:shd w:val="clear" w:color="auto" w:fill="FFFFFF"/>
          </w:tcPr>
          <w:p>
            <w:pPr>
              <w:spacing w:before="40" w:after="40"/>
            </w:pPr>
            <w:r>
              <w:rPr>
                <w:rFonts w:ascii="Calibri" w:cs="Calibri" w:hAnsi="Calibri"/>
                <w:color w:val="000000"/>
                <w:sz w:val="16"/>
                <w:szCs w:val="16"/>
              </w:rPr>
              <w:t xml:space="preserve">Multiple Qatar-registered charities and NGOs; Filistin Vakfi (designated Jun 2025); Muslim Brotherhood-linked organizations (MB International designated Jan 13 2026)</w:t>
            </w:r>
          </w:p>
        </w:tc>
        <w:tc>
          <w:tcPr>
            <w:tcW w:type="dxa" w:w="2400"/>
            <w:shd w:val="clear" w:color="auto" w:fill="FFFFFF"/>
          </w:tcPr>
          <w:p>
            <w:pPr>
              <w:spacing w:before="40" w:after="40"/>
            </w:pPr>
            <w:r>
              <w:rPr>
                <w:rFonts w:ascii="Calibri" w:cs="Calibri" w:hAnsi="Calibri"/>
                <w:color w:val="000000"/>
                <w:sz w:val="16"/>
                <w:szCs w:val="16"/>
              </w:rPr>
              <w:t xml:space="preserve">E.O. 13224; HIFPA; FATF MENAFATF mechanisms</w:t>
            </w:r>
          </w:p>
        </w:tc>
        <w:tc>
          <w:tcPr>
            <w:tcW w:type="dxa" w:w="3600"/>
            <w:shd w:val="clear" w:color="auto" w:fill="FFFFFF"/>
          </w:tcPr>
          <w:p>
            <w:pPr>
              <w:spacing w:before="40" w:after="40"/>
            </w:pPr>
            <w:r>
              <w:rPr>
                <w:rFonts w:ascii="Calibri" w:cs="Calibri" w:hAnsi="Calibri"/>
                <w:color w:val="000000"/>
                <w:sz w:val="16"/>
                <w:szCs w:val="16"/>
              </w:rPr>
              <w:t xml:space="preserve">Qatar channels funds via four parallel routes to Gaza money changers. Route 1 (Iran-Lebanon-Turkey-Gaza) degraded by Dec 2025. Routes 2-4 through Doha NGO nodes remain active. Filistin Vakfi designated Jun 2025 for raising funds for Hamas military wing. Jan 2026 MB International designation disrupted part of the network. Action: Section 311 against Qatar's charity sector for PMLC designation; bilateral US-Qatar MOU (signed Jul 2017) provides enforcement mechanism — invoke formal compliance obligations; target each Doha-registered NGO feeding Istanbul portfolio with IRGC-linked funds.</w:t>
            </w:r>
          </w:p>
        </w:tc>
        <w:tc>
          <w:tcPr>
            <w:tcW w:type="dxa" w:w="12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r>
      <w:tr>
        <w:tc>
          <w:tcPr>
            <w:tcW w:type="dxa" w:w="2000"/>
            <w:shd w:val="clear" w:color="auto" w:fill="EEF2F8"/>
          </w:tcPr>
          <w:p>
            <w:pPr>
              <w:spacing w:before="40" w:after="40"/>
            </w:pPr>
            <w:r>
              <w:rPr>
                <w:rFonts w:ascii="Calibri" w:cs="Calibri" w:hAnsi="Calibri"/>
                <w:b/>
                <w:bCs/>
                <w:color w:val="1C2B4A"/>
                <w:sz w:val="16"/>
                <w:szCs w:val="16"/>
              </w:rPr>
              <w:t xml:space="preserve">Gaza Exchange House and Crypto Layer (BuyCash / Shamlakh network)</w:t>
            </w:r>
          </w:p>
        </w:tc>
        <w:tc>
          <w:tcPr>
            <w:tcW w:type="dxa" w:w="1800"/>
            <w:shd w:val="clear" w:color="auto" w:fill="EEF2F8"/>
          </w:tcPr>
          <w:p>
            <w:pPr>
              <w:spacing w:before="40" w:after="40"/>
            </w:pPr>
            <w:r>
              <w:rPr>
                <w:rFonts w:ascii="Calibri" w:cs="Calibri" w:hAnsi="Calibri"/>
                <w:color w:val="000000"/>
                <w:sz w:val="16"/>
                <w:szCs w:val="16"/>
              </w:rPr>
              <w:t xml:space="preserve">Gaza / diaspora distributed</w:t>
            </w:r>
          </w:p>
        </w:tc>
        <w:tc>
          <w:tcPr>
            <w:tcW w:type="dxa" w:w="2200"/>
            <w:shd w:val="clear" w:color="auto" w:fill="EEF2F8"/>
          </w:tcPr>
          <w:p>
            <w:pPr>
              <w:spacing w:before="40" w:after="40"/>
            </w:pPr>
            <w:r>
              <w:rPr>
                <w:rFonts w:ascii="Calibri" w:cs="Calibri" w:hAnsi="Calibri"/>
                <w:color w:val="000000"/>
                <w:sz w:val="16"/>
                <w:szCs w:val="16"/>
              </w:rPr>
              <w:t xml:space="preserve">Shamlakh family (designated Jan 2024 — primary IRGC-QF-to-Hamas conduit); BuyCash (designated Oct 2023); Ahmed Alaqad (designated)</w:t>
            </w:r>
          </w:p>
        </w:tc>
        <w:tc>
          <w:tcPr>
            <w:tcW w:type="dxa" w:w="2400"/>
            <w:shd w:val="clear" w:color="auto" w:fill="EEF2F8"/>
          </w:tcPr>
          <w:p>
            <w:pPr>
              <w:spacing w:before="40" w:after="40"/>
            </w:pPr>
            <w:r>
              <w:rPr>
                <w:rFonts w:ascii="Calibri" w:cs="Calibri" w:hAnsi="Calibri"/>
                <w:color w:val="000000"/>
                <w:sz w:val="16"/>
                <w:szCs w:val="16"/>
              </w:rPr>
              <w:t xml:space="preserve">E.O. 13224; 18 U.S.C. §981(a)(1)(G)(i) (terrorism forfeiture)</w:t>
            </w:r>
          </w:p>
        </w:tc>
        <w:tc>
          <w:tcPr>
            <w:tcW w:type="dxa" w:w="3600"/>
            <w:shd w:val="clear" w:color="auto" w:fill="EEF2F8"/>
          </w:tcPr>
          <w:p>
            <w:pPr>
              <w:spacing w:before="40" w:after="40"/>
            </w:pPr>
            <w:r>
              <w:rPr>
                <w:rFonts w:ascii="Calibri" w:cs="Calibri" w:hAnsi="Calibri"/>
                <w:color w:val="000000"/>
                <w:sz w:val="16"/>
                <w:szCs w:val="16"/>
              </w:rPr>
              <w:t xml:space="preserve">Shamlakh family: main endpoint for IRGC-QF-to-Hamas and PIJ fund transfers in Gaza — tens of millions of dollars. BuyCash: Gaza-based crypto exchange used by Hamas, al-Qaida affiliates, and ISIS. DOJ civil forfeiture complaint (Oct 2023) traced ~150 digital asset wallets. Action: Continue wallet-level OFAC SDN additions as new Hamas exchange house addresses are identified; GENIUS Act BSA mandate requires all permitted stablecoin issuers to screen against these wallets; Chainalysis/TRM Labs tasking to trace IRGC-QF-to-Shamlakh crypto flows.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FFFFFF"/>
          </w:tcPr>
          <w:p>
            <w:pPr>
              <w:spacing w:before="40" w:after="40"/>
            </w:pPr>
            <w:r>
              <w:rPr>
                <w:rFonts w:ascii="Calibri" w:cs="Calibri" w:hAnsi="Calibri"/>
                <w:b/>
                <w:bCs/>
                <w:color w:val="8B4500"/>
                <w:sz w:val="16"/>
                <w:szCs w:val="16"/>
              </w:rPr>
              <w:t xml:space="preserve">Sudan-Based Hamas Investment Infrastructure</w:t>
            </w:r>
          </w:p>
        </w:tc>
        <w:tc>
          <w:tcPr>
            <w:tcW w:type="dxa" w:w="1800"/>
            <w:shd w:val="clear" w:color="auto" w:fill="FFFFFF"/>
          </w:tcPr>
          <w:p>
            <w:pPr>
              <w:spacing w:before="40" w:after="40"/>
            </w:pPr>
            <w:r>
              <w:rPr>
                <w:rFonts w:ascii="Calibri" w:cs="Calibri" w:hAnsi="Calibri"/>
                <w:color w:val="000000"/>
                <w:sz w:val="16"/>
                <w:szCs w:val="16"/>
              </w:rPr>
              <w:t xml:space="preserve">Khartoum, Sudan</w:t>
            </w:r>
          </w:p>
        </w:tc>
        <w:tc>
          <w:tcPr>
            <w:tcW w:type="dxa" w:w="2200"/>
            <w:shd w:val="clear" w:color="auto" w:fill="FFFFFF"/>
          </w:tcPr>
          <w:p>
            <w:pPr>
              <w:spacing w:before="40" w:after="40"/>
            </w:pPr>
            <w:r>
              <w:rPr>
                <w:rFonts w:ascii="Calibri" w:cs="Calibri" w:hAnsi="Calibri"/>
                <w:color w:val="000000"/>
                <w:sz w:val="16"/>
                <w:szCs w:val="16"/>
              </w:rPr>
              <w:t xml:space="preserve">Abdelbasit Hamza (designated Oct 2023 — transferred ~$20M to Hamas); multiple Sudanese portfolio companies</w:t>
            </w:r>
          </w:p>
        </w:tc>
        <w:tc>
          <w:tcPr>
            <w:tcW w:type="dxa" w:w="2400"/>
            <w:shd w:val="clear" w:color="auto" w:fill="FFFFFF"/>
          </w:tcPr>
          <w:p>
            <w:pPr>
              <w:spacing w:before="40" w:after="40"/>
            </w:pPr>
            <w:r>
              <w:rPr>
                <w:rFonts w:ascii="Calibri" w:cs="Calibri" w:hAnsi="Calibri"/>
                <w:color w:val="000000"/>
                <w:sz w:val="16"/>
                <w:szCs w:val="16"/>
              </w:rPr>
              <w:t xml:space="preserve">E.O. 13224; E.O. 13067 (Sudan)</w:t>
            </w:r>
          </w:p>
        </w:tc>
        <w:tc>
          <w:tcPr>
            <w:tcW w:type="dxa" w:w="3600"/>
            <w:shd w:val="clear" w:color="auto" w:fill="FFFFFF"/>
          </w:tcPr>
          <w:p>
            <w:pPr>
              <w:spacing w:before="40" w:after="40"/>
            </w:pPr>
            <w:r>
              <w:rPr>
                <w:rFonts w:ascii="Calibri" w:cs="Calibri" w:hAnsi="Calibri"/>
                <w:color w:val="000000"/>
                <w:sz w:val="16"/>
                <w:szCs w:val="16"/>
              </w:rPr>
              <w:t xml:space="preserve">Hamza managed numerous Hamas portfolio companies in Sudan. Transferred nearly $20M to Hamas including funds to senior commanders. Sudan's political instability creates enforcement gap — no functioning central government to apply bilateral AML pressure. Action: OFAC SDN designation of each identified Sudanese portfolio entity; coordinate with UAE (which has influence in Sudan) for informal enforcement pressure on Sudanese financial institutions servicing Hamas portfolio.</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r>
      <w:tr>
        <w:tc>
          <w:tcPr>
            <w:tcW w:type="dxa" w:w="2000"/>
            <w:shd w:val="clear" w:color="auto" w:fill="EEF2F8"/>
          </w:tcPr>
          <w:p>
            <w:pPr>
              <w:spacing w:before="40" w:after="40"/>
            </w:pPr>
            <w:r>
              <w:rPr>
                <w:rFonts w:ascii="Calibri" w:cs="Calibri" w:hAnsi="Calibri"/>
                <w:b/>
                <w:bCs/>
                <w:color w:val="1C2B4A"/>
                <w:sz w:val="16"/>
                <w:szCs w:val="16"/>
              </w:rPr>
              <w:t xml:space="preserve">Hamas-IRGC-QF Currency Exchange Network</w:t>
            </w:r>
          </w:p>
        </w:tc>
        <w:tc>
          <w:tcPr>
            <w:tcW w:type="dxa" w:w="1800"/>
            <w:shd w:val="clear" w:color="auto" w:fill="EEF2F8"/>
          </w:tcPr>
          <w:p>
            <w:pPr>
              <w:spacing w:before="40" w:after="40"/>
            </w:pPr>
            <w:r>
              <w:rPr>
                <w:rFonts w:ascii="Calibri" w:cs="Calibri" w:hAnsi="Calibri"/>
                <w:color w:val="000000"/>
                <w:sz w:val="16"/>
                <w:szCs w:val="16"/>
              </w:rPr>
              <w:t xml:space="preserve">Tehran, Iran / Turkey / Lebanon / Gaza</w:t>
            </w:r>
          </w:p>
        </w:tc>
        <w:tc>
          <w:tcPr>
            <w:tcW w:type="dxa" w:w="2200"/>
            <w:shd w:val="clear" w:color="auto" w:fill="EEF2F8"/>
          </w:tcPr>
          <w:p>
            <w:pPr>
              <w:spacing w:before="40" w:after="40"/>
            </w:pPr>
            <w:r>
              <w:rPr>
                <w:rFonts w:ascii="Calibri" w:cs="Calibri" w:hAnsi="Calibri"/>
                <w:color w:val="000000"/>
                <w:sz w:val="16"/>
                <w:szCs w:val="16"/>
              </w:rPr>
              <w:t xml:space="preserve">IRGC-QF (FTO); Muhammad Ahmad Abd Al-Dayim Nasrallah (Qatar-based, designated Oct 2023 — tens of millions transferred); multiple exchange intermediaries</w:t>
            </w:r>
          </w:p>
        </w:tc>
        <w:tc>
          <w:tcPr>
            <w:tcW w:type="dxa" w:w="2400"/>
            <w:shd w:val="clear" w:color="auto" w:fill="EEF2F8"/>
          </w:tcPr>
          <w:p>
            <w:pPr>
              <w:spacing w:before="40" w:after="40"/>
            </w:pPr>
            <w:r>
              <w:rPr>
                <w:rFonts w:ascii="Calibri" w:cs="Calibri" w:hAnsi="Calibri"/>
                <w:color w:val="000000"/>
                <w:sz w:val="16"/>
                <w:szCs w:val="16"/>
              </w:rPr>
              <w:t xml:space="preserve">E.O. 13224; IFCA; IRGC FTO (Apr 2019)</w:t>
            </w:r>
          </w:p>
        </w:tc>
        <w:tc>
          <w:tcPr>
            <w:tcW w:type="dxa" w:w="3600"/>
            <w:shd w:val="clear" w:color="auto" w:fill="EEF2F8"/>
          </w:tcPr>
          <w:p>
            <w:pPr>
              <w:spacing w:before="40" w:after="40"/>
            </w:pPr>
            <w:r>
              <w:rPr>
                <w:rFonts w:ascii="Calibri" w:cs="Calibri" w:hAnsi="Calibri"/>
                <w:color w:val="000000"/>
                <w:sz w:val="16"/>
                <w:szCs w:val="16"/>
              </w:rPr>
              <w:t xml:space="preserve">IRGC-QF provides significant funding to both Hamas and PIJ. Nasrallah (Qatar-based) designated for providing tens of millions to Hamas with close Iranian regime ties. Turkey-Lebanon-Gaza routing partially degraded Dec 2025. Action: Target each new currency exchange intermediary as identified; HIFPA correspondent account prohibition on Turkish and Lebanese banks processing IRGC-to-Hamas transfers; Israeli NBCTF wallet seizure coordination.</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XXIV. DPRK — Lazarus Group Crypto Heist Architecture, IT Worker Fraud, and Arms Procurement</w:t>
      </w:r>
    </w:p>
    <w:p>
      <w:pPr>
        <w:spacing w:before="60" w:after="60"/>
      </w:pPr>
      <w:r>
        <w:rPr>
          <w:rFonts w:ascii="Calibri" w:cs="Calibri" w:hAnsi="Calibri"/>
          <w:color w:val="000000"/>
          <w:sz w:val="18"/>
          <w:szCs w:val="18"/>
        </w:rPr>
        <w:t xml:space="preserve">North Korea's cyber-enabled revenue generation has become the regime's primary foreign currency income source. A June 2025 UN sanctions panel report assessed that cybercriminal activities generate approximately half of North Korea's foreign currency income, funding WMD and ballistic missile programs. The Lazarus Group (RGB-affiliated, designated SDGT Sep 2019 under E.O. 13722) stole $2.02 billion in 2025 alone — accounting for 76% of all global crypto service compromises. The February 2025 Bybit hack ($1.5B ETH) remains the largest single cryptocurrency theft in history. IT worker fraud generated nearly $800M in 2024 (OFAC Mar 12 2026 designations). DPRK also supplies ballistic missiles and troops to Russia under the June 2024 mutual defense pact — in exchange for Russian release of frozen DPRK assets and advanced weapons technology transfer.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400"/>
        <w:gridCol w:w="4800"/>
      </w:tblGrid>
      <w:tr>
        <w:tc>
          <w:tcPr>
            <w:tcW w:type="dxa" w:w="2000"/>
            <w:shd w:val="clear" w:color="auto" w:fill="1C2B4A"/>
          </w:tcPr>
          <w:p>
            <w:pPr>
              <w:jc w:val="center"/>
            </w:pPr>
            <w:r>
              <w:rPr>
                <w:rFonts w:ascii="Calibri" w:cs="Calibri" w:hAnsi="Calibri"/>
                <w:b/>
                <w:bCs/>
                <w:color w:val="FFFFFF"/>
                <w:sz w:val="16"/>
                <w:szCs w:val="16"/>
              </w:rPr>
              <w:t xml:space="preserve">NODE</w:t>
            </w:r>
          </w:p>
        </w:tc>
        <w:tc>
          <w:tcPr>
            <w:tcW w:type="dxa" w:w="1800"/>
            <w:shd w:val="clear" w:color="auto" w:fill="1C2B4A"/>
          </w:tcPr>
          <w:p>
            <w:pPr>
              <w:jc w:val="center"/>
            </w:pPr>
            <w:r>
              <w:rPr>
                <w:rFonts w:ascii="Calibri" w:cs="Calibri" w:hAnsi="Calibri"/>
                <w:b/>
                <w:bCs/>
                <w:color w:val="FFFFFF"/>
                <w:sz w:val="16"/>
                <w:szCs w:val="16"/>
              </w:rPr>
              <w:t xml:space="preserve">LOCATION</w:t>
            </w:r>
          </w:p>
        </w:tc>
        <w:tc>
          <w:tcPr>
            <w:tcW w:type="dxa" w:w="2200"/>
            <w:shd w:val="clear" w:color="auto" w:fill="1C2B4A"/>
          </w:tcPr>
          <w:p>
            <w:pPr>
              <w:jc w:val="center"/>
            </w:pPr>
            <w:r>
              <w:rPr>
                <w:rFonts w:ascii="Calibri" w:cs="Calibri" w:hAnsi="Calibri"/>
                <w:b/>
                <w:bCs/>
                <w:color w:val="FFFFFF"/>
                <w:sz w:val="16"/>
                <w:szCs w:val="16"/>
              </w:rPr>
              <w:t xml:space="preserve">OPERATOR / STRUCTURE</w:t>
            </w:r>
          </w:p>
        </w:tc>
        <w:tc>
          <w:tcPr>
            <w:tcW w:type="dxa" w:w="2400"/>
            <w:shd w:val="clear" w:color="auto" w:fill="1C2B4A"/>
          </w:tcPr>
          <w:p>
            <w:pPr>
              <w:jc w:val="center"/>
            </w:pPr>
            <w:r>
              <w:rPr>
                <w:rFonts w:ascii="Calibri" w:cs="Calibri" w:hAnsi="Calibri"/>
                <w:b/>
                <w:bCs/>
                <w:color w:val="FFFFFF"/>
                <w:sz w:val="16"/>
                <w:szCs w:val="16"/>
              </w:rPr>
              <w:t xml:space="preserve">LEGAL AUTHORITY</w:t>
            </w:r>
          </w:p>
        </w:tc>
        <w:tc>
          <w:tcPr>
            <w:tcW w:type="dxa" w:w="3600"/>
            <w:shd w:val="clear" w:color="auto" w:fill="1C2B4A"/>
          </w:tcPr>
          <w:p>
            <w:pPr>
              <w:jc w:val="center"/>
            </w:pPr>
            <w:r>
              <w:rPr>
                <w:rFonts w:ascii="Calibri" w:cs="Calibri" w:hAnsi="Calibri"/>
                <w:b/>
                <w:bCs/>
                <w:color w:val="FFFFFF"/>
                <w:sz w:val="16"/>
                <w:szCs w:val="16"/>
              </w:rPr>
              <w:t xml:space="preserve">ENFORCEMENT THEORY AND ACTION</w:t>
            </w:r>
          </w:p>
        </w:tc>
        <w:tc>
          <w:tcPr>
            <w:tcW w:type="dxa" w:w="1200"/>
            <w:shd w:val="clear" w:color="auto" w:fill="1C2B4A"/>
          </w:tcPr>
          <w:p>
            <w:pPr>
              <w:jc w:val="center"/>
            </w:pPr>
            <w:r>
              <w:rPr>
                <w:rFonts w:ascii="Calibri" w:cs="Calibri" w:hAnsi="Calibri"/>
                <w:b/>
                <w:bCs/>
                <w:color w:val="FFFFFF"/>
                <w:sz w:val="16"/>
                <w:szCs w:val="16"/>
              </w:rPr>
              <w:t xml:space="preserve">STATUS</w:t>
            </w:r>
          </w:p>
        </w:tc>
      </w:tr>
      <w:tr>
        <w:tc>
          <w:tcPr>
            <w:tcW w:type="dxa" w:w="2000"/>
            <w:shd w:val="clear" w:color="auto" w:fill="EEF2F8"/>
          </w:tcPr>
          <w:p>
            <w:pPr>
              <w:spacing w:before="40" w:after="40"/>
            </w:pPr>
            <w:r>
              <w:rPr>
                <w:rFonts w:ascii="Calibri" w:cs="Calibri" w:hAnsi="Calibri"/>
                <w:b/>
                <w:bCs/>
                <w:color w:val="8B0000"/>
                <w:sz w:val="16"/>
                <w:szCs w:val="16"/>
              </w:rPr>
              <w:t xml:space="preserve">Lazarus Group / TraderTraitor — Crypto Heist Infrastructure</w:t>
            </w:r>
          </w:p>
        </w:tc>
        <w:tc>
          <w:tcPr>
            <w:tcW w:type="dxa" w:w="1800"/>
            <w:shd w:val="clear" w:color="auto" w:fill="EEF2F8"/>
          </w:tcPr>
          <w:p>
            <w:pPr>
              <w:spacing w:before="40" w:after="40"/>
            </w:pPr>
            <w:r>
              <w:rPr>
                <w:rFonts w:ascii="Calibri" w:cs="Calibri" w:hAnsi="Calibri"/>
                <w:color w:val="000000"/>
                <w:sz w:val="16"/>
                <w:szCs w:val="16"/>
              </w:rPr>
              <w:t xml:space="preserve">Pyongyang, DPRK (global operations)</w:t>
            </w:r>
          </w:p>
        </w:tc>
        <w:tc>
          <w:tcPr>
            <w:tcW w:type="dxa" w:w="2200"/>
            <w:shd w:val="clear" w:color="auto" w:fill="EEF2F8"/>
          </w:tcPr>
          <w:p>
            <w:pPr>
              <w:spacing w:before="40" w:after="40"/>
            </w:pPr>
            <w:r>
              <w:rPr>
                <w:rFonts w:ascii="Calibri" w:cs="Calibri" w:hAnsi="Calibri"/>
                <w:color w:val="000000"/>
                <w:sz w:val="16"/>
                <w:szCs w:val="16"/>
              </w:rPr>
              <w:t xml:space="preserve">RGB 3rd Bureau / Lazarus Group (SDGT designated Sep 2019); APT38; TraderTraitor; Jade Sleet</w:t>
            </w:r>
          </w:p>
        </w:tc>
        <w:tc>
          <w:tcPr>
            <w:tcW w:type="dxa" w:w="2400"/>
            <w:shd w:val="clear" w:color="auto" w:fill="EEF2F8"/>
          </w:tcPr>
          <w:p>
            <w:pPr>
              <w:spacing w:before="40" w:after="40"/>
            </w:pPr>
            <w:r>
              <w:rPr>
                <w:rFonts w:ascii="Calibri" w:cs="Calibri" w:hAnsi="Calibri"/>
                <w:color w:val="000000"/>
                <w:sz w:val="16"/>
                <w:szCs w:val="16"/>
              </w:rPr>
              <w:t xml:space="preserve">E.O. 13722; E.O. 13687; UNSCR 1718/2094/2270; NKSPEA</w:t>
            </w:r>
          </w:p>
        </w:tc>
        <w:tc>
          <w:tcPr>
            <w:tcW w:type="dxa" w:w="3600"/>
            <w:shd w:val="clear" w:color="auto" w:fill="EEF2F8"/>
          </w:tcPr>
          <w:p>
            <w:pPr>
              <w:spacing w:before="40" w:after="40"/>
            </w:pPr>
            <w:r>
              <w:rPr>
                <w:rFonts w:ascii="Calibri" w:cs="Calibri" w:hAnsi="Calibri"/>
                <w:color w:val="000000"/>
                <w:sz w:val="16"/>
                <w:szCs w:val="16"/>
              </w:rPr>
              <w:t xml:space="preserve">Bybit hack (Feb 2025): $1.5B ETH — largest crypto theft in history. TraderTraitor methodology: compromise Safe{Wallet} multi-sig infrastructure via spearphishing. Post-theft laundering: rapid conversion to BTC, dispersal across thousands of addresses, cross-chain bridges, OTC brokers. Action: Real-time wallet SDN additions post-hack (OFAC has established this practice); coordinate with Tether for immediate USDT freeze on identified Lazarus-linked addresses under GENIUS Act §4(a)(5)(B); Chainalysis/Elliptic continuous cluster monitoring.</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FFFFFF"/>
          </w:tcPr>
          <w:p>
            <w:pPr>
              <w:spacing w:before="40" w:after="40"/>
            </w:pPr>
            <w:r>
              <w:rPr>
                <w:rFonts w:ascii="Calibri" w:cs="Calibri" w:hAnsi="Calibri"/>
                <w:b/>
                <w:bCs/>
                <w:color w:val="8B0000"/>
                <w:sz w:val="16"/>
                <w:szCs w:val="16"/>
              </w:rPr>
              <w:t xml:space="preserve">DPRK IT Worker Fraud Network (Amnokgang / RGB)</w:t>
            </w:r>
          </w:p>
        </w:tc>
        <w:tc>
          <w:tcPr>
            <w:tcW w:type="dxa" w:w="1800"/>
            <w:shd w:val="clear" w:color="auto" w:fill="FFFFFF"/>
          </w:tcPr>
          <w:p>
            <w:pPr>
              <w:spacing w:before="40" w:after="40"/>
            </w:pPr>
            <w:r>
              <w:rPr>
                <w:rFonts w:ascii="Calibri" w:cs="Calibri" w:hAnsi="Calibri"/>
                <w:color w:val="000000"/>
                <w:sz w:val="16"/>
                <w:szCs w:val="16"/>
              </w:rPr>
              <w:t xml:space="preserve">Vietnam, Laos, China, Russia (distributed)</w:t>
            </w:r>
          </w:p>
        </w:tc>
        <w:tc>
          <w:tcPr>
            <w:tcW w:type="dxa" w:w="2200"/>
            <w:shd w:val="clear" w:color="auto" w:fill="FFFFFF"/>
          </w:tcPr>
          <w:p>
            <w:pPr>
              <w:spacing w:before="40" w:after="40"/>
            </w:pPr>
            <w:r>
              <w:rPr>
                <w:rFonts w:ascii="Calibri" w:cs="Calibri" w:hAnsi="Calibri"/>
                <w:color w:val="000000"/>
                <w:sz w:val="16"/>
                <w:szCs w:val="16"/>
              </w:rPr>
              <w:t xml:space="preserve">Amnokgang Technology Development Company (designated Mar 12 2026); Nguyen Quang Viet (Vietnam, designated); Yun Song Guk (Laos, designated); 6 individuals and 2 entities (Mar 12 2026 action)</w:t>
            </w:r>
          </w:p>
        </w:tc>
        <w:tc>
          <w:tcPr>
            <w:tcW w:type="dxa" w:w="2400"/>
            <w:shd w:val="clear" w:color="auto" w:fill="FFFFFF"/>
          </w:tcPr>
          <w:p>
            <w:pPr>
              <w:spacing w:before="40" w:after="40"/>
            </w:pPr>
            <w:r>
              <w:rPr>
                <w:rFonts w:ascii="Calibri" w:cs="Calibri" w:hAnsi="Calibri"/>
                <w:color w:val="000000"/>
                <w:sz w:val="16"/>
                <w:szCs w:val="16"/>
              </w:rPr>
              <w:t xml:space="preserve">E.O. 13722; NKSPEA; 18 U.S.C. §1349 (wire fraud conspiracy)</w:t>
            </w:r>
          </w:p>
        </w:tc>
        <w:tc>
          <w:tcPr>
            <w:tcW w:type="dxa" w:w="3600"/>
            <w:shd w:val="clear" w:color="auto" w:fill="FFFFFF"/>
          </w:tcPr>
          <w:p>
            <w:pPr>
              <w:spacing w:before="40" w:after="40"/>
            </w:pPr>
            <w:r>
              <w:rPr>
                <w:rFonts w:ascii="Calibri" w:cs="Calibri" w:hAnsi="Calibri"/>
                <w:color w:val="000000"/>
                <w:sz w:val="16"/>
                <w:szCs w:val="16"/>
              </w:rPr>
              <w:t xml:space="preserve">IT workers obtain remote employment at US companies using stolen identities and deepfakes. DPRK seizes majority of salaries. Generated ~$800M in 2024. Mar 12 2026 OFAC action designated 21 crypto addresses across ETH/Tron/BTC. Recruiter pivot to Upwork/Freelancer platforms. Action: FBI/HSI employer awareness program; identity verification requirements for remote contractors; GENIUS Act BSA mandate — US employers paying remote contractors via stablecoin must screen recipient wallets against SDN list.</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EEF2F8"/>
          </w:tcPr>
          <w:p>
            <w:pPr>
              <w:spacing w:before="40" w:after="40"/>
            </w:pPr>
            <w:r>
              <w:rPr>
                <w:rFonts w:ascii="Calibri" w:cs="Calibri" w:hAnsi="Calibri"/>
                <w:b/>
                <w:bCs/>
                <w:color w:val="1C2B4A"/>
                <w:sz w:val="16"/>
                <w:szCs w:val="16"/>
              </w:rPr>
              <w:t xml:space="preserve">Huione Pay / Southeast Asian OTC Laundering Network</w:t>
            </w:r>
          </w:p>
        </w:tc>
        <w:tc>
          <w:tcPr>
            <w:tcW w:type="dxa" w:w="1800"/>
            <w:shd w:val="clear" w:color="auto" w:fill="EEF2F8"/>
          </w:tcPr>
          <w:p>
            <w:pPr>
              <w:spacing w:before="40" w:after="40"/>
            </w:pPr>
            <w:r>
              <w:rPr>
                <w:rFonts w:ascii="Calibri" w:cs="Calibri" w:hAnsi="Calibri"/>
                <w:color w:val="000000"/>
                <w:sz w:val="16"/>
                <w:szCs w:val="16"/>
              </w:rPr>
              <w:t xml:space="preserve">Cambodia / Vietnam / Southeast Asia</w:t>
            </w:r>
          </w:p>
        </w:tc>
        <w:tc>
          <w:tcPr>
            <w:tcW w:type="dxa" w:w="2200"/>
            <w:shd w:val="clear" w:color="auto" w:fill="EEF2F8"/>
          </w:tcPr>
          <w:p>
            <w:pPr>
              <w:spacing w:before="40" w:after="40"/>
            </w:pPr>
            <w:r>
              <w:rPr>
                <w:rFonts w:ascii="Calibri" w:cs="Calibri" w:hAnsi="Calibri"/>
                <w:color w:val="000000"/>
                <w:sz w:val="16"/>
                <w:szCs w:val="16"/>
              </w:rPr>
              <w:t xml:space="preserve">Huione Pay (Cambodia-based payments company); multiple SE Asian OTC brokers</w:t>
            </w:r>
          </w:p>
        </w:tc>
        <w:tc>
          <w:tcPr>
            <w:tcW w:type="dxa" w:w="2400"/>
            <w:shd w:val="clear" w:color="auto" w:fill="EEF2F8"/>
          </w:tcPr>
          <w:p>
            <w:pPr>
              <w:spacing w:before="40" w:after="40"/>
            </w:pPr>
            <w:r>
              <w:rPr>
                <w:rFonts w:ascii="Calibri" w:cs="Calibri" w:hAnsi="Calibri"/>
                <w:color w:val="000000"/>
                <w:sz w:val="16"/>
                <w:szCs w:val="16"/>
              </w:rPr>
              <w:t xml:space="preserve">E.O. 13722; 31 U.S.C. §5318A (Section 311)</w:t>
            </w:r>
          </w:p>
        </w:tc>
        <w:tc>
          <w:tcPr>
            <w:tcW w:type="dxa" w:w="3600"/>
            <w:shd w:val="clear" w:color="auto" w:fill="EEF2F8"/>
          </w:tcPr>
          <w:p>
            <w:pPr>
              <w:spacing w:before="40" w:after="40"/>
            </w:pPr>
            <w:r>
              <w:rPr>
                <w:rFonts w:ascii="Calibri" w:cs="Calibri" w:hAnsi="Calibri"/>
                <w:color w:val="000000"/>
                <w:sz w:val="16"/>
                <w:szCs w:val="16"/>
              </w:rPr>
              <w:t xml:space="preserve">Lazarus-associated wallets documented sending funds to Huione Pay accounts. US sanctions targeting Chinese and Russian OTC brokers who launder DPRK proceeds. Section 311 special measure against Cambodian financial institutions is the most direct enforcement lever — unilateral US action, no multilateral consensus required. Action: FinCEN Section 311 designation of Huione Pay as PMLC if transaction evidence meets threshold; parallel OFAC SDN designation of identified OTC broker wallet clusters.</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r>
      <w:tr>
        <w:tc>
          <w:tcPr>
            <w:tcW w:type="dxa" w:w="2000"/>
            <w:shd w:val="clear" w:color="auto" w:fill="FFFFFF"/>
          </w:tcPr>
          <w:p>
            <w:pPr>
              <w:spacing w:before="40" w:after="40"/>
            </w:pPr>
            <w:r>
              <w:rPr>
                <w:rFonts w:ascii="Calibri" w:cs="Calibri" w:hAnsi="Calibri"/>
                <w:b/>
                <w:bCs/>
                <w:color w:val="8B4500"/>
                <w:sz w:val="16"/>
                <w:szCs w:val="16"/>
              </w:rPr>
              <w:t xml:space="preserve">Chinese Front Companies — DPRK Procurement Support</w:t>
            </w:r>
          </w:p>
        </w:tc>
        <w:tc>
          <w:tcPr>
            <w:tcW w:type="dxa" w:w="1800"/>
            <w:shd w:val="clear" w:color="auto" w:fill="FFFFFF"/>
          </w:tcPr>
          <w:p>
            <w:pPr>
              <w:spacing w:before="40" w:after="40"/>
            </w:pPr>
            <w:r>
              <w:rPr>
                <w:rFonts w:ascii="Calibri" w:cs="Calibri" w:hAnsi="Calibri"/>
                <w:color w:val="000000"/>
                <w:sz w:val="16"/>
                <w:szCs w:val="16"/>
              </w:rPr>
              <w:t xml:space="preserve">Shenyang / distributed China</w:t>
            </w:r>
          </w:p>
        </w:tc>
        <w:tc>
          <w:tcPr>
            <w:tcW w:type="dxa" w:w="2200"/>
            <w:shd w:val="clear" w:color="auto" w:fill="FFFFFF"/>
          </w:tcPr>
          <w:p>
            <w:pPr>
              <w:spacing w:before="40" w:after="40"/>
            </w:pPr>
            <w:r>
              <w:rPr>
                <w:rFonts w:ascii="Calibri" w:cs="Calibri" w:hAnsi="Calibri"/>
                <w:color w:val="000000"/>
                <w:sz w:val="16"/>
                <w:szCs w:val="16"/>
              </w:rPr>
              <w:t xml:space="preserve">Shenyang Geumpungri Network Technology Co. (designated Aug 2025); Korea Sinjin Trading Corporation (designated Aug 2025); multiple undisclosed PRC front companies</w:t>
            </w:r>
          </w:p>
        </w:tc>
        <w:tc>
          <w:tcPr>
            <w:tcW w:type="dxa" w:w="2400"/>
            <w:shd w:val="clear" w:color="auto" w:fill="FFFFFF"/>
          </w:tcPr>
          <w:p>
            <w:pPr>
              <w:spacing w:before="40" w:after="40"/>
            </w:pPr>
            <w:r>
              <w:rPr>
                <w:rFonts w:ascii="Calibri" w:cs="Calibri" w:hAnsi="Calibri"/>
                <w:color w:val="000000"/>
                <w:sz w:val="16"/>
                <w:szCs w:val="16"/>
              </w:rPr>
              <w:t xml:space="preserve">E.O. 13722; NKSPEA; EAR Entity List; UNSCR 2270</w:t>
            </w:r>
          </w:p>
        </w:tc>
        <w:tc>
          <w:tcPr>
            <w:tcW w:type="dxa" w:w="3600"/>
            <w:shd w:val="clear" w:color="auto" w:fill="FFFFFF"/>
          </w:tcPr>
          <w:p>
            <w:pPr>
              <w:spacing w:before="40" w:after="40"/>
            </w:pPr>
            <w:r>
              <w:rPr>
                <w:rFonts w:ascii="Calibri" w:cs="Calibri" w:hAnsi="Calibri"/>
                <w:color w:val="000000"/>
                <w:sz w:val="16"/>
                <w:szCs w:val="16"/>
              </w:rPr>
              <w:t xml:space="preserve">PRC front companies provide critical procurement support for DPRK WMD and ballistic missile programs — electronics, dual-use materials, financial intermediation. Aug 2025 OFAC designated Shenyang Geumpungri and Korea Sinjin for facilitating IT worker schemes. MSMT (11-nation monitoring team, Feb 2025) lacks UN authority and excludes China/Russia — effectiveness limited. Action: Continue entity-by-entity EAR Entity List additions; EO 14024 §1(a)(iii) secondary sanctions theory against PRC entities providing material support to DPRK designated persons.</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r>
      <w:tr>
        <w:tc>
          <w:tcPr>
            <w:tcW w:type="dxa" w:w="2000"/>
            <w:shd w:val="clear" w:color="auto" w:fill="EEF2F8"/>
          </w:tcPr>
          <w:p>
            <w:pPr>
              <w:spacing w:before="40" w:after="40"/>
            </w:pPr>
            <w:r>
              <w:rPr>
                <w:rFonts w:ascii="Calibri" w:cs="Calibri" w:hAnsi="Calibri"/>
                <w:b/>
                <w:bCs/>
                <w:color w:val="8B4500"/>
                <w:sz w:val="16"/>
                <w:szCs w:val="16"/>
              </w:rPr>
              <w:t xml:space="preserve">DPRK-Russia Arms/Technology Exchange</w:t>
            </w:r>
          </w:p>
        </w:tc>
        <w:tc>
          <w:tcPr>
            <w:tcW w:type="dxa" w:w="1800"/>
            <w:shd w:val="clear" w:color="auto" w:fill="EEF2F8"/>
          </w:tcPr>
          <w:p>
            <w:pPr>
              <w:spacing w:before="40" w:after="40"/>
            </w:pPr>
            <w:r>
              <w:rPr>
                <w:rFonts w:ascii="Calibri" w:cs="Calibri" w:hAnsi="Calibri"/>
                <w:color w:val="000000"/>
                <w:sz w:val="16"/>
                <w:szCs w:val="16"/>
              </w:rPr>
              <w:t xml:space="preserve">Pyongyang / Moscow</w:t>
            </w:r>
          </w:p>
        </w:tc>
        <w:tc>
          <w:tcPr>
            <w:tcW w:type="dxa" w:w="2200"/>
            <w:shd w:val="clear" w:color="auto" w:fill="EEF2F8"/>
          </w:tcPr>
          <w:p>
            <w:pPr>
              <w:spacing w:before="40" w:after="40"/>
            </w:pPr>
            <w:r>
              <w:rPr>
                <w:rFonts w:ascii="Calibri" w:cs="Calibri" w:hAnsi="Calibri"/>
                <w:color w:val="000000"/>
                <w:sz w:val="16"/>
                <w:szCs w:val="16"/>
              </w:rPr>
              <w:t xml:space="preserve">DPRK Ministry of Munitions Industry; Korea Mining Development Trading Corporation (KOMID, designated); Russian MoD intermediaries</w:t>
            </w:r>
          </w:p>
        </w:tc>
        <w:tc>
          <w:tcPr>
            <w:tcW w:type="dxa" w:w="2400"/>
            <w:shd w:val="clear" w:color="auto" w:fill="EEF2F8"/>
          </w:tcPr>
          <w:p>
            <w:pPr>
              <w:spacing w:before="40" w:after="40"/>
            </w:pPr>
            <w:r>
              <w:rPr>
                <w:rFonts w:ascii="Calibri" w:cs="Calibri" w:hAnsi="Calibri"/>
                <w:color w:val="000000"/>
                <w:sz w:val="16"/>
                <w:szCs w:val="16"/>
              </w:rPr>
              <w:t xml:space="preserve">NKSPEA; E.O. 13722; UNSCR 1718/2270; E.O. 14024 (Russia nexus)</w:t>
            </w:r>
          </w:p>
        </w:tc>
        <w:tc>
          <w:tcPr>
            <w:tcW w:type="dxa" w:w="3600"/>
            <w:shd w:val="clear" w:color="auto" w:fill="EEF2F8"/>
          </w:tcPr>
          <w:p>
            <w:pPr>
              <w:spacing w:before="40" w:after="40"/>
            </w:pPr>
            <w:r>
              <w:rPr>
                <w:rFonts w:ascii="Calibri" w:cs="Calibri" w:hAnsi="Calibri"/>
                <w:color w:val="000000"/>
                <w:sz w:val="16"/>
                <w:szCs w:val="16"/>
              </w:rPr>
              <w:t xml:space="preserve">DPRK supplying ballistic missiles (documented battlefield use Ukraine) and troops to Russia under Jun 2024 mutual defense pact. Russia releasing frozen DPRK assets; advanced space/missile technology transfer in exchange. KOMID is the primary DPRK arms export entity. Action: NKSPEA §104 secondary sanctions on any entity facilitating DPRK-Russia arms transfer; EO 14024 §1(a)(iii) for Russian entities receiving DPRK arms; coordinate with MSMT partners on evidence packages for specific transactions.</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r>
      <w:tr>
        <w:tc>
          <w:tcPr>
            <w:tcW w:type="dxa" w:w="2000"/>
            <w:shd w:val="clear" w:color="auto" w:fill="FFFFFF"/>
          </w:tcPr>
          <w:p>
            <w:pPr>
              <w:spacing w:before="40" w:after="40"/>
            </w:pPr>
            <w:r>
              <w:rPr>
                <w:rFonts w:ascii="Calibri" w:cs="Calibri" w:hAnsi="Calibri"/>
                <w:b/>
                <w:bCs/>
                <w:color w:val="1C2B4A"/>
                <w:sz w:val="16"/>
                <w:szCs w:val="16"/>
              </w:rPr>
              <w:t xml:space="preserve">Tornado Cash Successor Mixers and Cross-Chain Bridges</w:t>
            </w:r>
          </w:p>
        </w:tc>
        <w:tc>
          <w:tcPr>
            <w:tcW w:type="dxa" w:w="1800"/>
            <w:shd w:val="clear" w:color="auto" w:fill="FFFFFF"/>
          </w:tcPr>
          <w:p>
            <w:pPr>
              <w:spacing w:before="40" w:after="40"/>
            </w:pPr>
            <w:r>
              <w:rPr>
                <w:rFonts w:ascii="Calibri" w:cs="Calibri" w:hAnsi="Calibri"/>
                <w:color w:val="000000"/>
                <w:sz w:val="16"/>
                <w:szCs w:val="16"/>
              </w:rPr>
              <w:t xml:space="preserve">Distributed (beyond US jurisdiction)</w:t>
            </w:r>
          </w:p>
        </w:tc>
        <w:tc>
          <w:tcPr>
            <w:tcW w:type="dxa" w:w="2200"/>
            <w:shd w:val="clear" w:color="auto" w:fill="FFFFFF"/>
          </w:tcPr>
          <w:p>
            <w:pPr>
              <w:spacing w:before="40" w:after="40"/>
            </w:pPr>
            <w:r>
              <w:rPr>
                <w:rFonts w:ascii="Calibri" w:cs="Calibri" w:hAnsi="Calibri"/>
                <w:color w:val="000000"/>
                <w:sz w:val="16"/>
                <w:szCs w:val="16"/>
              </w:rPr>
              <w:t xml:space="preserve">Multiple successor mixing services; cross-chain bridge protocols; privacy coin infrastructure</w:t>
            </w:r>
          </w:p>
        </w:tc>
        <w:tc>
          <w:tcPr>
            <w:tcW w:type="dxa" w:w="2400"/>
            <w:shd w:val="clear" w:color="auto" w:fill="FFFFFF"/>
          </w:tcPr>
          <w:p>
            <w:pPr>
              <w:spacing w:before="40" w:after="40"/>
            </w:pPr>
            <w:r>
              <w:rPr>
                <w:rFonts w:ascii="Calibri" w:cs="Calibri" w:hAnsi="Calibri"/>
                <w:color w:val="000000"/>
                <w:sz w:val="16"/>
                <w:szCs w:val="16"/>
              </w:rPr>
              <w:t xml:space="preserve">E.O. 13722; IEEPA §1702; OFAC mixer designation precedent (Sinbad Nov 2023, Tornado Cash 2022)</w:t>
            </w:r>
          </w:p>
        </w:tc>
        <w:tc>
          <w:tcPr>
            <w:tcW w:type="dxa" w:w="3600"/>
            <w:shd w:val="clear" w:color="auto" w:fill="FFFFFF"/>
          </w:tcPr>
          <w:p>
            <w:pPr>
              <w:spacing w:before="40" w:after="40"/>
            </w:pPr>
            <w:r>
              <w:rPr>
                <w:rFonts w:ascii="Calibri" w:cs="Calibri" w:hAnsi="Calibri"/>
                <w:color w:val="000000"/>
                <w:sz w:val="16"/>
                <w:szCs w:val="16"/>
              </w:rPr>
              <w:t xml:space="preserve">Tornado Cash co-founder Roman Storm convicted Aug 2025 for unlicensed money transmission and sanctions violations — establishes criminal liability for protocol developers. DPRK pivoting to alternative mixers, cross-chain bridges, Monero, and P2P emerging market transactions. Action: IEEPA §1702 designation of successor mixer protocols as identified; apply Storm prosecution theory to developer liability for knowingly facilitating DPRK flows; GENIUS Act BSA mandate requires US-nexus exchanges to block cross-chain bridge outputs from identified Lazarus cluster addresses.</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XXV. Iran IRGC-QF — Procurement Networks, Petrochemical Sanctions Evasion, and Proxy Financing</w:t>
      </w:r>
    </w:p>
    <w:p>
      <w:pPr>
        <w:spacing w:before="60" w:after="60"/>
      </w:pPr>
      <w:r>
        <w:rPr>
          <w:rFonts w:ascii="Calibri" w:cs="Calibri" w:hAnsi="Calibri"/>
          <w:color w:val="000000"/>
          <w:sz w:val="18"/>
          <w:szCs w:val="18"/>
        </w:rPr>
        <w:t xml:space="preserve">The IRGC-Quds Force (FTO designated April 2019; SDGT since Oct 2007) operates the primary Iranian external financing and procurement architecture. Post-Operation Midnight Hammer (June 2025 strikes), Iran is actively reconstituting proliferation-sensitive capabilities. UN snapback sanctions reimposed September 27 2025 following Iran's non-compliance with international commitments. OFAC issued three rounds of nonproliferation designations in October, November, and December 2025 in support of snapback. Iranian currency is in freefall despite continued oil exports to China. Maximum pressure reimposed Jan 2025 includes shadow fleet targeting and Chinese teapot refinery designations. The IRGC-QF finances Hezbollah, Hamas, PIJ, Houthi, and Iraqi PMF networks — all addressed in this index.</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400"/>
        <w:gridCol w:w="4800"/>
      </w:tblGrid>
      <w:tr>
        <w:tc>
          <w:tcPr>
            <w:tcW w:type="dxa" w:w="2000"/>
            <w:shd w:val="clear" w:color="auto" w:fill="1C2B4A"/>
          </w:tcPr>
          <w:p>
            <w:pPr>
              <w:jc w:val="center"/>
            </w:pPr>
            <w:r>
              <w:rPr>
                <w:rFonts w:ascii="Calibri" w:cs="Calibri" w:hAnsi="Calibri"/>
                <w:b/>
                <w:bCs/>
                <w:color w:val="FFFFFF"/>
                <w:sz w:val="16"/>
                <w:szCs w:val="16"/>
              </w:rPr>
              <w:t xml:space="preserve">NODE</w:t>
            </w:r>
          </w:p>
        </w:tc>
        <w:tc>
          <w:tcPr>
            <w:tcW w:type="dxa" w:w="1800"/>
            <w:shd w:val="clear" w:color="auto" w:fill="1C2B4A"/>
          </w:tcPr>
          <w:p>
            <w:pPr>
              <w:jc w:val="center"/>
            </w:pPr>
            <w:r>
              <w:rPr>
                <w:rFonts w:ascii="Calibri" w:cs="Calibri" w:hAnsi="Calibri"/>
                <w:b/>
                <w:bCs/>
                <w:color w:val="FFFFFF"/>
                <w:sz w:val="16"/>
                <w:szCs w:val="16"/>
              </w:rPr>
              <w:t xml:space="preserve">LOCATION</w:t>
            </w:r>
          </w:p>
        </w:tc>
        <w:tc>
          <w:tcPr>
            <w:tcW w:type="dxa" w:w="2200"/>
            <w:shd w:val="clear" w:color="auto" w:fill="1C2B4A"/>
          </w:tcPr>
          <w:p>
            <w:pPr>
              <w:jc w:val="center"/>
            </w:pPr>
            <w:r>
              <w:rPr>
                <w:rFonts w:ascii="Calibri" w:cs="Calibri" w:hAnsi="Calibri"/>
                <w:b/>
                <w:bCs/>
                <w:color w:val="FFFFFF"/>
                <w:sz w:val="16"/>
                <w:szCs w:val="16"/>
              </w:rPr>
              <w:t xml:space="preserve">OPERATOR / STRUCTURE</w:t>
            </w:r>
          </w:p>
        </w:tc>
        <w:tc>
          <w:tcPr>
            <w:tcW w:type="dxa" w:w="2400"/>
            <w:shd w:val="clear" w:color="auto" w:fill="1C2B4A"/>
          </w:tcPr>
          <w:p>
            <w:pPr>
              <w:jc w:val="center"/>
            </w:pPr>
            <w:r>
              <w:rPr>
                <w:rFonts w:ascii="Calibri" w:cs="Calibri" w:hAnsi="Calibri"/>
                <w:b/>
                <w:bCs/>
                <w:color w:val="FFFFFF"/>
                <w:sz w:val="16"/>
                <w:szCs w:val="16"/>
              </w:rPr>
              <w:t xml:space="preserve">LEGAL AUTHORITY</w:t>
            </w:r>
          </w:p>
        </w:tc>
        <w:tc>
          <w:tcPr>
            <w:tcW w:type="dxa" w:w="3600"/>
            <w:shd w:val="clear" w:color="auto" w:fill="1C2B4A"/>
          </w:tcPr>
          <w:p>
            <w:pPr>
              <w:jc w:val="center"/>
            </w:pPr>
            <w:r>
              <w:rPr>
                <w:rFonts w:ascii="Calibri" w:cs="Calibri" w:hAnsi="Calibri"/>
                <w:b/>
                <w:bCs/>
                <w:color w:val="FFFFFF"/>
                <w:sz w:val="16"/>
                <w:szCs w:val="16"/>
              </w:rPr>
              <w:t xml:space="preserve">ENFORCEMENT THEORY AND ACTION</w:t>
            </w:r>
          </w:p>
        </w:tc>
        <w:tc>
          <w:tcPr>
            <w:tcW w:type="dxa" w:w="1200"/>
            <w:shd w:val="clear" w:color="auto" w:fill="1C2B4A"/>
          </w:tcPr>
          <w:p>
            <w:pPr>
              <w:jc w:val="center"/>
            </w:pPr>
            <w:r>
              <w:rPr>
                <w:rFonts w:ascii="Calibri" w:cs="Calibri" w:hAnsi="Calibri"/>
                <w:b/>
                <w:bCs/>
                <w:color w:val="FFFFFF"/>
                <w:sz w:val="16"/>
                <w:szCs w:val="16"/>
              </w:rPr>
              <w:t xml:space="preserve">STATUS</w:t>
            </w:r>
          </w:p>
        </w:tc>
      </w:tr>
      <w:tr>
        <w:tc>
          <w:tcPr>
            <w:tcW w:type="dxa" w:w="2000"/>
            <w:shd w:val="clear" w:color="auto" w:fill="EEF2F8"/>
          </w:tcPr>
          <w:p>
            <w:pPr>
              <w:spacing w:before="40" w:after="40"/>
            </w:pPr>
            <w:r>
              <w:rPr>
                <w:rFonts w:ascii="Calibri" w:cs="Calibri" w:hAnsi="Calibri"/>
                <w:b/>
                <w:bCs/>
                <w:color w:val="8B0000"/>
                <w:sz w:val="16"/>
                <w:szCs w:val="16"/>
              </w:rPr>
              <w:t xml:space="preserve">MODAFL / HESA UAV and Missile Procurement Network</w:t>
            </w:r>
          </w:p>
        </w:tc>
        <w:tc>
          <w:tcPr>
            <w:tcW w:type="dxa" w:w="1800"/>
            <w:shd w:val="clear" w:color="auto" w:fill="EEF2F8"/>
          </w:tcPr>
          <w:p>
            <w:pPr>
              <w:spacing w:before="40" w:after="40"/>
            </w:pPr>
            <w:r>
              <w:rPr>
                <w:rFonts w:ascii="Calibri" w:cs="Calibri" w:hAnsi="Calibri"/>
                <w:color w:val="000000"/>
                <w:sz w:val="16"/>
                <w:szCs w:val="16"/>
              </w:rPr>
              <w:t xml:space="preserve">Tehran, Iran (global procurement nodes: UAE, Turkey, China, Germany, Hong Kong)</w:t>
            </w:r>
          </w:p>
        </w:tc>
        <w:tc>
          <w:tcPr>
            <w:tcW w:type="dxa" w:w="2200"/>
            <w:shd w:val="clear" w:color="auto" w:fill="EEF2F8"/>
          </w:tcPr>
          <w:p>
            <w:pPr>
              <w:spacing w:before="40" w:after="40"/>
            </w:pPr>
            <w:r>
              <w:rPr>
                <w:rFonts w:ascii="Calibri" w:cs="Calibri" w:hAnsi="Calibri"/>
                <w:color w:val="000000"/>
                <w:sz w:val="16"/>
                <w:szCs w:val="16"/>
              </w:rPr>
              <w:t xml:space="preserve">MODAFL (Ministry of Defense, SDGT); HESA (UAV manufacturer, designated); KIPAS (designated Oct 2021); 32 entities/individuals designated Nov 12 2025</w:t>
            </w:r>
          </w:p>
        </w:tc>
        <w:tc>
          <w:tcPr>
            <w:tcW w:type="dxa" w:w="2400"/>
            <w:shd w:val="clear" w:color="auto" w:fill="EEF2F8"/>
          </w:tcPr>
          <w:p>
            <w:pPr>
              <w:spacing w:before="40" w:after="40"/>
            </w:pPr>
            <w:r>
              <w:rPr>
                <w:rFonts w:ascii="Calibri" w:cs="Calibri" w:hAnsi="Calibri"/>
                <w:color w:val="000000"/>
                <w:sz w:val="16"/>
                <w:szCs w:val="16"/>
              </w:rPr>
              <w:t xml:space="preserve">E.O. 13382; E.O. 13224; UNSCR snapback (Sep 27 2025); NSPM-2</w:t>
            </w:r>
          </w:p>
        </w:tc>
        <w:tc>
          <w:tcPr>
            <w:tcW w:type="dxa" w:w="3600"/>
            <w:shd w:val="clear" w:color="auto" w:fill="EEF2F8"/>
          </w:tcPr>
          <w:p>
            <w:pPr>
              <w:spacing w:before="40" w:after="40"/>
            </w:pPr>
            <w:r>
              <w:rPr>
                <w:rFonts w:ascii="Calibri" w:cs="Calibri" w:hAnsi="Calibri"/>
                <w:color w:val="000000"/>
                <w:sz w:val="16"/>
                <w:szCs w:val="16"/>
              </w:rPr>
              <w:t xml:space="preserve">HESA manufactures Ababil-series UAVs deployed by IRGC and transferred to Russia (battlefield Ukraine) and Venezuela. KIPAS subsidiary PARPO produced hundreds of UAV components through early 2025. Nov 2025 OFAC designated 32 entities/individuals across Iran, UAE, Turkey, China, HK, India, Germany, Ukraine. Action: Continue entity-by-entity designation of each procurement node as identified; EAR Entity List additions for all Chinese and HK suppliers; CAATSA §231 secondary sanctions for Russian entities receiving Iranian UAVs.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FFFFFF"/>
          </w:tcPr>
          <w:p>
            <w:pPr>
              <w:spacing w:before="40" w:after="40"/>
            </w:pPr>
            <w:r>
              <w:rPr>
                <w:rFonts w:ascii="Calibri" w:cs="Calibri" w:hAnsi="Calibri"/>
                <w:b/>
                <w:bCs/>
                <w:color w:val="8B0000"/>
                <w:sz w:val="16"/>
                <w:szCs w:val="16"/>
              </w:rPr>
              <w:t xml:space="preserve">Iranian Shadow Fleet — Oil Export Evasion</w:t>
            </w:r>
          </w:p>
        </w:tc>
        <w:tc>
          <w:tcPr>
            <w:tcW w:type="dxa" w:w="1800"/>
            <w:shd w:val="clear" w:color="auto" w:fill="FFFFFF"/>
          </w:tcPr>
          <w:p>
            <w:pPr>
              <w:spacing w:before="40" w:after="40"/>
            </w:pPr>
            <w:r>
              <w:rPr>
                <w:rFonts w:ascii="Calibri" w:cs="Calibri" w:hAnsi="Calibri"/>
                <w:color w:val="000000"/>
                <w:sz w:val="16"/>
                <w:szCs w:val="16"/>
              </w:rPr>
              <w:t xml:space="preserve">Persian Gulf / Strait of Hormuz / global tanker routes</w:t>
            </w:r>
          </w:p>
        </w:tc>
        <w:tc>
          <w:tcPr>
            <w:tcW w:type="dxa" w:w="2200"/>
            <w:shd w:val="clear" w:color="auto" w:fill="FFFFFF"/>
          </w:tcPr>
          <w:p>
            <w:pPr>
              <w:spacing w:before="40" w:after="40"/>
            </w:pPr>
            <w:r>
              <w:rPr>
                <w:rFonts w:ascii="Calibri" w:cs="Calibri" w:hAnsi="Calibri"/>
                <w:color w:val="000000"/>
                <w:sz w:val="16"/>
                <w:szCs w:val="16"/>
              </w:rPr>
              <w:t xml:space="preserve">Multiple undisclosed Iranian-operated tankers; Chinese teapot refineries (several designated 2025); ship-to-ship transfer networks</w:t>
            </w:r>
          </w:p>
        </w:tc>
        <w:tc>
          <w:tcPr>
            <w:tcW w:type="dxa" w:w="2400"/>
            <w:shd w:val="clear" w:color="auto" w:fill="FFFFFF"/>
          </w:tcPr>
          <w:p>
            <w:pPr>
              <w:spacing w:before="40" w:after="40"/>
            </w:pPr>
            <w:r>
              <w:rPr>
                <w:rFonts w:ascii="Calibri" w:cs="Calibri" w:hAnsi="Calibri"/>
                <w:color w:val="000000"/>
                <w:sz w:val="16"/>
                <w:szCs w:val="16"/>
              </w:rPr>
              <w:t xml:space="preserve">E.O. 13599; IFCA; ISA; Iran Sanctions Act; CISADA</w:t>
            </w:r>
          </w:p>
        </w:tc>
        <w:tc>
          <w:tcPr>
            <w:tcW w:type="dxa" w:w="3600"/>
            <w:shd w:val="clear" w:color="auto" w:fill="FFFFFF"/>
          </w:tcPr>
          <w:p>
            <w:pPr>
              <w:spacing w:before="40" w:after="40"/>
            </w:pPr>
            <w:r>
              <w:rPr>
                <w:rFonts w:ascii="Calibri" w:cs="Calibri" w:hAnsi="Calibri"/>
                <w:color w:val="000000"/>
                <w:sz w:val="16"/>
                <w:szCs w:val="16"/>
              </w:rPr>
              <w:t xml:space="preserve">Iran exports ~1.5-2M bpd to China via shadow fleet, providing primary revenue stream despite sanctions. Chinese teapot refineries designated throughout 2025 for purchasing sanctioned Iranian crude. Apr 2025 OFAC shipping guidance on detecting Iranian oil evasion. Iran GL T (Jan 23 2026) issued for safety/offloading transactions involving newly blocked vessels. Action: Continue tanker-level SDN additions by IMO number; CISADA §104 correspondent account prohibition on Chinese banks financing teapot refinery purchases; coordinate with EU port state control for Iranian shadow fleet vessel interception.</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r>
      <w:tr>
        <w:tc>
          <w:tcPr>
            <w:tcW w:type="dxa" w:w="2000"/>
            <w:shd w:val="clear" w:color="auto" w:fill="EEF2F8"/>
          </w:tcPr>
          <w:p>
            <w:pPr>
              <w:spacing w:before="40" w:after="40"/>
            </w:pPr>
            <w:r>
              <w:rPr>
                <w:rFonts w:ascii="Calibri" w:cs="Calibri" w:hAnsi="Calibri"/>
                <w:b/>
                <w:bCs/>
                <w:color w:val="1C2B4A"/>
                <w:sz w:val="16"/>
                <w:szCs w:val="16"/>
              </w:rPr>
              <w:t xml:space="preserve">IRGC-QF Currency Exchange Network (Hezbollah/Hamas/Houthi financing)</w:t>
            </w:r>
          </w:p>
        </w:tc>
        <w:tc>
          <w:tcPr>
            <w:tcW w:type="dxa" w:w="1800"/>
            <w:shd w:val="clear" w:color="auto" w:fill="EEF2F8"/>
          </w:tcPr>
          <w:p>
            <w:pPr>
              <w:spacing w:before="40" w:after="40"/>
            </w:pPr>
            <w:r>
              <w:rPr>
                <w:rFonts w:ascii="Calibri" w:cs="Calibri" w:hAnsi="Calibri"/>
                <w:color w:val="000000"/>
                <w:sz w:val="16"/>
                <w:szCs w:val="16"/>
              </w:rPr>
              <w:t xml:space="preserve">Tehran / Beirut / Sanaa / Gaza (distributed)</w:t>
            </w:r>
          </w:p>
        </w:tc>
        <w:tc>
          <w:tcPr>
            <w:tcW w:type="dxa" w:w="2200"/>
            <w:shd w:val="clear" w:color="auto" w:fill="EEF2F8"/>
          </w:tcPr>
          <w:p>
            <w:pPr>
              <w:spacing w:before="40" w:after="40"/>
            </w:pPr>
            <w:r>
              <w:rPr>
                <w:rFonts w:ascii="Calibri" w:cs="Calibri" w:hAnsi="Calibri"/>
                <w:color w:val="000000"/>
                <w:sz w:val="16"/>
                <w:szCs w:val="16"/>
              </w:rPr>
              <w:t xml:space="preserve">Multiple OFAC-designated exchange networks; FinCEN May 2024 Advisory (FIN-2024-A001) identified typologies</w:t>
            </w:r>
          </w:p>
        </w:tc>
        <w:tc>
          <w:tcPr>
            <w:tcW w:type="dxa" w:w="2400"/>
            <w:shd w:val="clear" w:color="auto" w:fill="EEF2F8"/>
          </w:tcPr>
          <w:p>
            <w:pPr>
              <w:spacing w:before="40" w:after="40"/>
            </w:pPr>
            <w:r>
              <w:rPr>
                <w:rFonts w:ascii="Calibri" w:cs="Calibri" w:hAnsi="Calibri"/>
                <w:color w:val="000000"/>
                <w:sz w:val="16"/>
                <w:szCs w:val="16"/>
              </w:rPr>
              <w:t xml:space="preserve">E.O. 13224; E.O. 13382; IFCA; IRGC FTO designation</w:t>
            </w:r>
          </w:p>
        </w:tc>
        <w:tc>
          <w:tcPr>
            <w:tcW w:type="dxa" w:w="3600"/>
            <w:shd w:val="clear" w:color="auto" w:fill="EEF2F8"/>
          </w:tcPr>
          <w:p>
            <w:pPr>
              <w:spacing w:before="40" w:after="40"/>
            </w:pPr>
            <w:r>
              <w:rPr>
                <w:rFonts w:ascii="Calibri" w:cs="Calibri" w:hAnsi="Calibri"/>
                <w:color w:val="000000"/>
                <w:sz w:val="16"/>
                <w:szCs w:val="16"/>
              </w:rPr>
              <w:t xml:space="preserve">FinCEN FIN-2024-A001 (May 8 2024) provides detailed red flag indicators for IRGC-QF-linked transactions across Hezbollah, Hamas, Houthi networks. ~$9B shadow banking system (FinCEN Oct 23 2025 examination) using UAE/Turkey front companies to move IRGC money through US correspondent accounts. Action: HIFPA and CISADA correspondent account prohibitions on identified FFIs; GENIUS Act BSA mandate requires US-nexus platforms to screen IRGC-designated wallet clusters; FinCEN advisory mandatory review by US financial institutions.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FFFFFF"/>
          </w:tcPr>
          <w:p>
            <w:pPr>
              <w:spacing w:before="40" w:after="40"/>
            </w:pPr>
            <w:r>
              <w:rPr>
                <w:rFonts w:ascii="Calibri" w:cs="Calibri" w:hAnsi="Calibri"/>
                <w:b/>
                <w:bCs/>
                <w:color w:val="8B4500"/>
                <w:sz w:val="16"/>
                <w:szCs w:val="16"/>
              </w:rPr>
              <w:t xml:space="preserve">Iran-Venezuela UAV and Weapons Trade</w:t>
            </w:r>
          </w:p>
        </w:tc>
        <w:tc>
          <w:tcPr>
            <w:tcW w:type="dxa" w:w="1800"/>
            <w:shd w:val="clear" w:color="auto" w:fill="FFFFFF"/>
          </w:tcPr>
          <w:p>
            <w:pPr>
              <w:spacing w:before="40" w:after="40"/>
            </w:pPr>
            <w:r>
              <w:rPr>
                <w:rFonts w:ascii="Calibri" w:cs="Calibri" w:hAnsi="Calibri"/>
                <w:color w:val="000000"/>
                <w:sz w:val="16"/>
                <w:szCs w:val="16"/>
              </w:rPr>
              <w:t xml:space="preserve">Tehran, Iran / Caracas, Venezuela</w:t>
            </w:r>
          </w:p>
        </w:tc>
        <w:tc>
          <w:tcPr>
            <w:tcW w:type="dxa" w:w="2200"/>
            <w:shd w:val="clear" w:color="auto" w:fill="FFFFFF"/>
          </w:tcPr>
          <w:p>
            <w:pPr>
              <w:spacing w:before="40" w:after="40"/>
            </w:pPr>
            <w:r>
              <w:rPr>
                <w:rFonts w:ascii="Calibri" w:cs="Calibri" w:hAnsi="Calibri"/>
                <w:color w:val="000000"/>
                <w:sz w:val="16"/>
                <w:szCs w:val="16"/>
              </w:rPr>
              <w:t xml:space="preserve">Pardisan Rezvan Shargh (designated Dec 30 2025); multiple Venezuelan intermediaries; Adel el Zabayar (PSUV member, Arab federation middleman)</w:t>
            </w:r>
          </w:p>
        </w:tc>
        <w:tc>
          <w:tcPr>
            <w:tcW w:type="dxa" w:w="2400"/>
            <w:shd w:val="clear" w:color="auto" w:fill="FFFFFF"/>
          </w:tcPr>
          <w:p>
            <w:pPr>
              <w:spacing w:before="40" w:after="40"/>
            </w:pPr>
            <w:r>
              <w:rPr>
                <w:rFonts w:ascii="Calibri" w:cs="Calibri" w:hAnsi="Calibri"/>
                <w:color w:val="000000"/>
                <w:sz w:val="16"/>
                <w:szCs w:val="16"/>
              </w:rPr>
              <w:t xml:space="preserve">E.O. 13382; E.O. 13850 (Venezuela); NSPM-2</w:t>
            </w:r>
          </w:p>
        </w:tc>
        <w:tc>
          <w:tcPr>
            <w:tcW w:type="dxa" w:w="3600"/>
            <w:shd w:val="clear" w:color="auto" w:fill="FFFFFF"/>
          </w:tcPr>
          <w:p>
            <w:pPr>
              <w:spacing w:before="40" w:after="40"/>
            </w:pPr>
            <w:r>
              <w:rPr>
                <w:rFonts w:ascii="Calibri" w:cs="Calibri" w:hAnsi="Calibri"/>
                <w:color w:val="000000"/>
                <w:sz w:val="16"/>
                <w:szCs w:val="16"/>
              </w:rPr>
              <w:t xml:space="preserve">Dec 30 2025 OFAC designated Venezuela-Iran UAV procurement network — Venezuelan company acquiring Iranian-designed combat drones for Venezuelan armed forces. US characterized Iran's conventional weapons provision to Venezuela as threat to US Western Hemisphere interests. Adel el Zabayar assessed as middleman between Cartel of Suns and Middle Eastern militias (Hamas/Hezbollah weapons-for-cocaine). Action: Continue E.O. 13382 designations of each identified Venezuela-Iran arms transfer node; post-Maduro, target remaining Venezuelan military officials maintaining Iran weapons relationship.</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EEF2F8"/>
          </w:tcPr>
          <w:p>
            <w:pPr>
              <w:spacing w:before="40" w:after="40"/>
            </w:pPr>
            <w:r>
              <w:rPr>
                <w:rFonts w:ascii="Calibri" w:cs="Calibri" w:hAnsi="Calibri"/>
                <w:b/>
                <w:bCs/>
                <w:color w:val="8B4500"/>
                <w:sz w:val="16"/>
                <w:szCs w:val="16"/>
              </w:rPr>
              <w:t xml:space="preserve">IRGC-QF Petrochemical Revenue Network</w:t>
            </w:r>
          </w:p>
        </w:tc>
        <w:tc>
          <w:tcPr>
            <w:tcW w:type="dxa" w:w="1800"/>
            <w:shd w:val="clear" w:color="auto" w:fill="EEF2F8"/>
          </w:tcPr>
          <w:p>
            <w:pPr>
              <w:spacing w:before="40" w:after="40"/>
            </w:pPr>
            <w:r>
              <w:rPr>
                <w:rFonts w:ascii="Calibri" w:cs="Calibri" w:hAnsi="Calibri"/>
                <w:color w:val="000000"/>
                <w:sz w:val="16"/>
                <w:szCs w:val="16"/>
              </w:rPr>
              <w:t xml:space="preserve">Iran / UAE / Turkey / China</w:t>
            </w:r>
          </w:p>
        </w:tc>
        <w:tc>
          <w:tcPr>
            <w:tcW w:type="dxa" w:w="2200"/>
            <w:shd w:val="clear" w:color="auto" w:fill="EEF2F8"/>
          </w:tcPr>
          <w:p>
            <w:pPr>
              <w:spacing w:before="40" w:after="40"/>
            </w:pPr>
            <w:r>
              <w:rPr>
                <w:rFonts w:ascii="Calibri" w:cs="Calibri" w:hAnsi="Calibri"/>
                <w:color w:val="000000"/>
                <w:sz w:val="16"/>
                <w:szCs w:val="16"/>
              </w:rPr>
              <w:t xml:space="preserve">Multiple petrochemical front companies; UAE exchange houses; Turkish gold-for-oil intermediaries (CISADA targets)</w:t>
            </w:r>
          </w:p>
        </w:tc>
        <w:tc>
          <w:tcPr>
            <w:tcW w:type="dxa" w:w="2400"/>
            <w:shd w:val="clear" w:color="auto" w:fill="EEF2F8"/>
          </w:tcPr>
          <w:p>
            <w:pPr>
              <w:spacing w:before="40" w:after="40"/>
            </w:pPr>
            <w:r>
              <w:rPr>
                <w:rFonts w:ascii="Calibri" w:cs="Calibri" w:hAnsi="Calibri"/>
                <w:color w:val="000000"/>
                <w:sz w:val="16"/>
                <w:szCs w:val="16"/>
              </w:rPr>
              <w:t xml:space="preserve">CISADA §104; ISA §5(a); E.O. 13846; IFCA</w:t>
            </w:r>
          </w:p>
        </w:tc>
        <w:tc>
          <w:tcPr>
            <w:tcW w:type="dxa" w:w="3600"/>
            <w:shd w:val="clear" w:color="auto" w:fill="EEF2F8"/>
          </w:tcPr>
          <w:p>
            <w:pPr>
              <w:spacing w:before="40" w:after="40"/>
            </w:pPr>
            <w:r>
              <w:rPr>
                <w:rFonts w:ascii="Calibri" w:cs="Calibri" w:hAnsi="Calibri"/>
                <w:color w:val="000000"/>
                <w:sz w:val="16"/>
                <w:szCs w:val="16"/>
              </w:rPr>
              <w:t xml:space="preserve">IRGC-QF generates revenue through petrochemical exports routed via UAE exchange houses and Turkish gold-for-oil schemes. CISADA §104 provides the strongest authority — correspondent account prohibition for FFIs engaged in significant petrochemical transactions with Iran. Turkey's Halkbank prior prosecution history for Iranian sanctions evasion is the leverage point. Action: CISADA §104 informal pressure on UAE and Turkish banks identified in IRGC-QF petrochemical chains; OFAC SDN designation of each UAE exchange house identified in Oct 2025 FinCEN shadow banking examination.</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XXVI. Venezuela — Post-Maduro Transition, PDVSA Shadow Fleet, Tren de Aragua, and CLAP Corruption</w:t>
      </w:r>
    </w:p>
    <w:p>
      <w:pPr>
        <w:spacing w:before="60" w:after="60"/>
      </w:pPr>
      <w:r>
        <w:rPr>
          <w:rFonts w:ascii="Calibri" w:cs="Calibri" w:hAnsi="Calibri"/>
          <w:color w:val="000000"/>
          <w:sz w:val="18"/>
          <w:szCs w:val="18"/>
        </w:rPr>
        <w:t xml:space="preserve">The January 3 2026 US military operation capturing Nicolas Maduro represents the most significant Venezuela enforcement development since PDVSA's 2019 designation. Maduro faces charges in SDNY including cocaine trafficking conspiracy, narco-terrorism, and material support to Tren de Aragua and Sinaloa. The Delcy Rodriguez-led transitional government has passed legislation allowing private oil sector participation; the US is easing select oil sanctions in exchange (GL 50A Feb 18 2026, GL 51 Mar 6 2026). Key enforcement context: Tren de Aragua (FTO designated Feb 20 2025, E.O. 14157); Cartel of the Suns (FTO designated Nov 24 2025 — though the revised Maduro indictment characterizes it as a patronage system rather than a formal cartel organization); PDVSA (fully blocked since E.O. 13884, Aug 2019); E.O. 14373 (Jan 9 2026) on safeguarding Venezuelan oil revenue.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400"/>
        <w:gridCol w:w="4800"/>
      </w:tblGrid>
      <w:tr>
        <w:tc>
          <w:tcPr>
            <w:tcW w:type="dxa" w:w="2000"/>
            <w:shd w:val="clear" w:color="auto" w:fill="1C2B4A"/>
          </w:tcPr>
          <w:p>
            <w:pPr>
              <w:jc w:val="center"/>
            </w:pPr>
            <w:r>
              <w:rPr>
                <w:rFonts w:ascii="Calibri" w:cs="Calibri" w:hAnsi="Calibri"/>
                <w:b/>
                <w:bCs/>
                <w:color w:val="FFFFFF"/>
                <w:sz w:val="16"/>
                <w:szCs w:val="16"/>
              </w:rPr>
              <w:t xml:space="preserve">NODE</w:t>
            </w:r>
          </w:p>
        </w:tc>
        <w:tc>
          <w:tcPr>
            <w:tcW w:type="dxa" w:w="1800"/>
            <w:shd w:val="clear" w:color="auto" w:fill="1C2B4A"/>
          </w:tcPr>
          <w:p>
            <w:pPr>
              <w:jc w:val="center"/>
            </w:pPr>
            <w:r>
              <w:rPr>
                <w:rFonts w:ascii="Calibri" w:cs="Calibri" w:hAnsi="Calibri"/>
                <w:b/>
                <w:bCs/>
                <w:color w:val="FFFFFF"/>
                <w:sz w:val="16"/>
                <w:szCs w:val="16"/>
              </w:rPr>
              <w:t xml:space="preserve">LOCATION</w:t>
            </w:r>
          </w:p>
        </w:tc>
        <w:tc>
          <w:tcPr>
            <w:tcW w:type="dxa" w:w="2200"/>
            <w:shd w:val="clear" w:color="auto" w:fill="1C2B4A"/>
          </w:tcPr>
          <w:p>
            <w:pPr>
              <w:jc w:val="center"/>
            </w:pPr>
            <w:r>
              <w:rPr>
                <w:rFonts w:ascii="Calibri" w:cs="Calibri" w:hAnsi="Calibri"/>
                <w:b/>
                <w:bCs/>
                <w:color w:val="FFFFFF"/>
                <w:sz w:val="16"/>
                <w:szCs w:val="16"/>
              </w:rPr>
              <w:t xml:space="preserve">OPERATOR / STRUCTURE</w:t>
            </w:r>
          </w:p>
        </w:tc>
        <w:tc>
          <w:tcPr>
            <w:tcW w:type="dxa" w:w="2400"/>
            <w:shd w:val="clear" w:color="auto" w:fill="1C2B4A"/>
          </w:tcPr>
          <w:p>
            <w:pPr>
              <w:jc w:val="center"/>
            </w:pPr>
            <w:r>
              <w:rPr>
                <w:rFonts w:ascii="Calibri" w:cs="Calibri" w:hAnsi="Calibri"/>
                <w:b/>
                <w:bCs/>
                <w:color w:val="FFFFFF"/>
                <w:sz w:val="16"/>
                <w:szCs w:val="16"/>
              </w:rPr>
              <w:t xml:space="preserve">LEGAL AUTHORITY</w:t>
            </w:r>
          </w:p>
        </w:tc>
        <w:tc>
          <w:tcPr>
            <w:tcW w:type="dxa" w:w="3600"/>
            <w:shd w:val="clear" w:color="auto" w:fill="1C2B4A"/>
          </w:tcPr>
          <w:p>
            <w:pPr>
              <w:jc w:val="center"/>
            </w:pPr>
            <w:r>
              <w:rPr>
                <w:rFonts w:ascii="Calibri" w:cs="Calibri" w:hAnsi="Calibri"/>
                <w:b/>
                <w:bCs/>
                <w:color w:val="FFFFFF"/>
                <w:sz w:val="16"/>
                <w:szCs w:val="16"/>
              </w:rPr>
              <w:t xml:space="preserve">ENFORCEMENT THEORY AND ACTION</w:t>
            </w:r>
          </w:p>
        </w:tc>
        <w:tc>
          <w:tcPr>
            <w:tcW w:type="dxa" w:w="1200"/>
            <w:shd w:val="clear" w:color="auto" w:fill="1C2B4A"/>
          </w:tcPr>
          <w:p>
            <w:pPr>
              <w:jc w:val="center"/>
            </w:pPr>
            <w:r>
              <w:rPr>
                <w:rFonts w:ascii="Calibri" w:cs="Calibri" w:hAnsi="Calibri"/>
                <w:b/>
                <w:bCs/>
                <w:color w:val="FFFFFF"/>
                <w:sz w:val="16"/>
                <w:szCs w:val="16"/>
              </w:rPr>
              <w:t xml:space="preserve">STATUS</w:t>
            </w:r>
          </w:p>
        </w:tc>
      </w:tr>
      <w:tr>
        <w:tc>
          <w:tcPr>
            <w:tcW w:type="dxa" w:w="2000"/>
            <w:shd w:val="clear" w:color="auto" w:fill="EEF2F8"/>
          </w:tcPr>
          <w:p>
            <w:pPr>
              <w:spacing w:before="40" w:after="40"/>
            </w:pPr>
            <w:r>
              <w:rPr>
                <w:rFonts w:ascii="Calibri" w:cs="Calibri" w:hAnsi="Calibri"/>
                <w:b/>
                <w:bCs/>
                <w:color w:val="8B4500"/>
                <w:sz w:val="16"/>
                <w:szCs w:val="16"/>
              </w:rPr>
              <w:t xml:space="preserve">PDVSA Shadow Fleet — Post-Maduro Oil Evasion Residual</w:t>
            </w:r>
          </w:p>
        </w:tc>
        <w:tc>
          <w:tcPr>
            <w:tcW w:type="dxa" w:w="1800"/>
            <w:shd w:val="clear" w:color="auto" w:fill="EEF2F8"/>
          </w:tcPr>
          <w:p>
            <w:pPr>
              <w:spacing w:before="40" w:after="40"/>
            </w:pPr>
            <w:r>
              <w:rPr>
                <w:rFonts w:ascii="Calibri" w:cs="Calibri" w:hAnsi="Calibri"/>
                <w:color w:val="000000"/>
                <w:sz w:val="16"/>
                <w:szCs w:val="16"/>
              </w:rPr>
              <w:t xml:space="preserve">Caribbean / global tanker routes</w:t>
            </w:r>
          </w:p>
        </w:tc>
        <w:tc>
          <w:tcPr>
            <w:tcW w:type="dxa" w:w="2200"/>
            <w:shd w:val="clear" w:color="auto" w:fill="EEF2F8"/>
          </w:tcPr>
          <w:p>
            <w:pPr>
              <w:spacing w:before="40" w:after="40"/>
            </w:pPr>
            <w:r>
              <w:rPr>
                <w:rFonts w:ascii="Calibri" w:cs="Calibri" w:hAnsi="Calibri"/>
                <w:color w:val="000000"/>
                <w:sz w:val="16"/>
                <w:szCs w:val="16"/>
              </w:rPr>
              <w:t xml:space="preserve">PDVSA (blocked since Aug 2019); multiple shadow fleet tankers (series of Dec 2025 designations); Corniola Limited / Krape Myrtle Co LTD (designated Dec 31 2025)</w:t>
            </w:r>
          </w:p>
        </w:tc>
        <w:tc>
          <w:tcPr>
            <w:tcW w:type="dxa" w:w="2400"/>
            <w:shd w:val="clear" w:color="auto" w:fill="EEF2F8"/>
          </w:tcPr>
          <w:p>
            <w:pPr>
              <w:spacing w:before="40" w:after="40"/>
            </w:pPr>
            <w:r>
              <w:rPr>
                <w:rFonts w:ascii="Calibri" w:cs="Calibri" w:hAnsi="Calibri"/>
                <w:color w:val="000000"/>
                <w:sz w:val="16"/>
                <w:szCs w:val="16"/>
              </w:rPr>
              <w:t xml:space="preserve">E.O. 13884; E.O. 13850; E.O. 14373; maritime interdiction authority</w:t>
            </w:r>
          </w:p>
        </w:tc>
        <w:tc>
          <w:tcPr>
            <w:tcW w:type="dxa" w:w="3600"/>
            <w:shd w:val="clear" w:color="auto" w:fill="EEF2F8"/>
          </w:tcPr>
          <w:p>
            <w:pPr>
              <w:spacing w:before="40" w:after="40"/>
            </w:pPr>
            <w:r>
              <w:rPr>
                <w:rFonts w:ascii="Calibri" w:cs="Calibri" w:hAnsi="Calibri"/>
                <w:color w:val="000000"/>
                <w:sz w:val="16"/>
                <w:szCs w:val="16"/>
              </w:rPr>
              <w:t xml:space="preserve">Dec 2025: US seized tanker carrying Venezuelan oil to Iran (joint FBI/DHS/Coast Guard/Pentagon operation). Trump ordered partial blockade of sanctioned oil tankers. Dec 31 2025 OFAC designated additional PDVSA-linked shadow fleet operators. GL 50A (Feb 18 2026) now authorizes oil/gas sector operations for certain entities as post-Maduro transition accelerates. Action: Distinguish between legacy Maduro-era shadow fleet enforcement and post-transition licensed operations under GL 50A; continue SDN additions for shadow fleet operators not covered by new licenses.</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r>
      <w:tr>
        <w:tc>
          <w:tcPr>
            <w:tcW w:type="dxa" w:w="2000"/>
            <w:shd w:val="clear" w:color="auto" w:fill="FFFFFF"/>
          </w:tcPr>
          <w:p>
            <w:pPr>
              <w:spacing w:before="40" w:after="40"/>
            </w:pPr>
            <w:r>
              <w:rPr>
                <w:rFonts w:ascii="Calibri" w:cs="Calibri" w:hAnsi="Calibri"/>
                <w:b/>
                <w:bCs/>
                <w:color w:val="8B0000"/>
                <w:sz w:val="16"/>
                <w:szCs w:val="16"/>
              </w:rPr>
              <w:t xml:space="preserve">Tren de Aragua (TdA) Financial Network</w:t>
            </w:r>
          </w:p>
        </w:tc>
        <w:tc>
          <w:tcPr>
            <w:tcW w:type="dxa" w:w="1800"/>
            <w:shd w:val="clear" w:color="auto" w:fill="FFFFFF"/>
          </w:tcPr>
          <w:p>
            <w:pPr>
              <w:spacing w:before="40" w:after="40"/>
            </w:pPr>
            <w:r>
              <w:rPr>
                <w:rFonts w:ascii="Calibri" w:cs="Calibri" w:hAnsi="Calibri"/>
                <w:color w:val="000000"/>
                <w:sz w:val="16"/>
                <w:szCs w:val="16"/>
              </w:rPr>
              <w:t xml:space="preserve">Venezuela / Colombia / US (distributed)</w:t>
            </w:r>
          </w:p>
        </w:tc>
        <w:tc>
          <w:tcPr>
            <w:tcW w:type="dxa" w:w="2200"/>
            <w:shd w:val="clear" w:color="auto" w:fill="FFFFFF"/>
          </w:tcPr>
          <w:p>
            <w:pPr>
              <w:spacing w:before="40" w:after="40"/>
            </w:pPr>
            <w:r>
              <w:rPr>
                <w:rFonts w:ascii="Calibri" w:cs="Calibri" w:hAnsi="Calibri"/>
                <w:color w:val="000000"/>
                <w:sz w:val="16"/>
                <w:szCs w:val="16"/>
              </w:rPr>
              <w:t xml:space="preserve">FTO/SDGT (designated Feb 20 2025); 7 leaders designated Jun-Jul 2025; support network (Jimena Navarro et al., designated Dec 2025)</w:t>
            </w:r>
          </w:p>
        </w:tc>
        <w:tc>
          <w:tcPr>
            <w:tcW w:type="dxa" w:w="2400"/>
            <w:shd w:val="clear" w:color="auto" w:fill="FFFFFF"/>
          </w:tcPr>
          <w:p>
            <w:pPr>
              <w:spacing w:before="40" w:after="40"/>
            </w:pPr>
            <w:r>
              <w:rPr>
                <w:rFonts w:ascii="Calibri" w:cs="Calibri" w:hAnsi="Calibri"/>
                <w:color w:val="000000"/>
                <w:sz w:val="16"/>
                <w:szCs w:val="16"/>
              </w:rPr>
              <w:t xml:space="preserve">E.O. 14157; E.O. 13224 (post-FTO designation); 18 U.S.C. §2339B (material support)</w:t>
            </w:r>
          </w:p>
        </w:tc>
        <w:tc>
          <w:tcPr>
            <w:tcW w:type="dxa" w:w="3600"/>
            <w:shd w:val="clear" w:color="auto" w:fill="FFFFFF"/>
          </w:tcPr>
          <w:p>
            <w:pPr>
              <w:spacing w:before="40" w:after="40"/>
            </w:pPr>
            <w:r>
              <w:rPr>
                <w:rFonts w:ascii="Calibri" w:cs="Calibri" w:hAnsi="Calibri"/>
                <w:color w:val="000000"/>
                <w:sz w:val="16"/>
                <w:szCs w:val="16"/>
              </w:rPr>
              <w:t xml:space="preserve">FTO designation (Feb 2025) created §2339B material support exposure for all TdA supporters. Jul 2025 OFAC designated top leaders. Dec 2025 designated Jimena Navarro network for funding TdA through nightclub events, drug-fueled parties, and money laundering across Colombia and Venezuela. US military carried out lethal strikes on drug vessels in Caribbean/Pacific from Sep 2025. Action: §2339B prosecutions for US-nexus material support; OFAC secondary sanctions on financial institutions processing TdA money flows; Alien Enemies Act removal proceedings for identified US-present TdA members.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EEF2F8"/>
          </w:tcPr>
          <w:p>
            <w:pPr>
              <w:spacing w:before="40" w:after="40"/>
            </w:pPr>
            <w:r>
              <w:rPr>
                <w:rFonts w:ascii="Calibri" w:cs="Calibri" w:hAnsi="Calibri"/>
                <w:b/>
                <w:bCs/>
                <w:color w:val="8B4500"/>
                <w:sz w:val="16"/>
                <w:szCs w:val="16"/>
              </w:rPr>
              <w:t xml:space="preserve">CLAP Program Corruption and Food-for-Money Laundering</w:t>
            </w:r>
          </w:p>
        </w:tc>
        <w:tc>
          <w:tcPr>
            <w:tcW w:type="dxa" w:w="1800"/>
            <w:shd w:val="clear" w:color="auto" w:fill="EEF2F8"/>
          </w:tcPr>
          <w:p>
            <w:pPr>
              <w:spacing w:before="40" w:after="40"/>
            </w:pPr>
            <w:r>
              <w:rPr>
                <w:rFonts w:ascii="Calibri" w:cs="Calibri" w:hAnsi="Calibri"/>
                <w:color w:val="000000"/>
                <w:sz w:val="16"/>
                <w:szCs w:val="16"/>
              </w:rPr>
              <w:t xml:space="preserve">Caracas, Venezuela / Mexico / Turkey</w:t>
            </w:r>
          </w:p>
        </w:tc>
        <w:tc>
          <w:tcPr>
            <w:tcW w:type="dxa" w:w="2200"/>
            <w:shd w:val="clear" w:color="auto" w:fill="EEF2F8"/>
          </w:tcPr>
          <w:p>
            <w:pPr>
              <w:spacing w:before="40" w:after="40"/>
            </w:pPr>
            <w:r>
              <w:rPr>
                <w:rFonts w:ascii="Calibri" w:cs="Calibri" w:hAnsi="Calibri"/>
                <w:color w:val="000000"/>
                <w:sz w:val="16"/>
                <w:szCs w:val="16"/>
              </w:rPr>
              <w:t xml:space="preserve">CLAP (Comite Local de Abastecimiento y Produccion) — Maduro food distribution program; multiple designated officials and front companies</w:t>
            </w:r>
          </w:p>
        </w:tc>
        <w:tc>
          <w:tcPr>
            <w:tcW w:type="dxa" w:w="2400"/>
            <w:shd w:val="clear" w:color="auto" w:fill="EEF2F8"/>
          </w:tcPr>
          <w:p>
            <w:pPr>
              <w:spacing w:before="40" w:after="40"/>
            </w:pPr>
            <w:r>
              <w:rPr>
                <w:rFonts w:ascii="Calibri" w:cs="Calibri" w:hAnsi="Calibri"/>
                <w:color w:val="000000"/>
                <w:sz w:val="16"/>
                <w:szCs w:val="16"/>
              </w:rPr>
              <w:t xml:space="preserve">E.O. 13692; E.O. 13850; Kingpin Act</w:t>
            </w:r>
          </w:p>
        </w:tc>
        <w:tc>
          <w:tcPr>
            <w:tcW w:type="dxa" w:w="3600"/>
            <w:shd w:val="clear" w:color="auto" w:fill="EEF2F8"/>
          </w:tcPr>
          <w:p>
            <w:pPr>
              <w:spacing w:before="40" w:after="40"/>
            </w:pPr>
            <w:r>
              <w:rPr>
                <w:rFonts w:ascii="Calibri" w:cs="Calibri" w:hAnsi="Calibri"/>
                <w:color w:val="000000"/>
                <w:sz w:val="16"/>
                <w:szCs w:val="16"/>
              </w:rPr>
              <w:t xml:space="preserve">CLAP operated as a corruption vehicle — overpriced food contracts generating regime revenue. Mexico FIU froze accounts of 19 CLAP-linked companies in Jul 2019 for $150M+ money laundering irregularities. Turkish companies documented as CLAP intermediaries. Post-Maduro, CLAP infrastructure may be repurposed by remaining regime loyalists. Action: Trace CLAP payment flows to Turkish and Mexican intermediaries; Kingpin Act designations for CLAP-linked drug corruption networks; coordinate with Mexico FIU on outstanding CLAP investigations.</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r>
      <w:tr>
        <w:tc>
          <w:tcPr>
            <w:tcW w:type="dxa" w:w="2000"/>
            <w:shd w:val="clear" w:color="auto" w:fill="FFFFFF"/>
          </w:tcPr>
          <w:p>
            <w:pPr>
              <w:spacing w:before="40" w:after="40"/>
            </w:pPr>
            <w:r>
              <w:rPr>
                <w:rFonts w:ascii="Calibri" w:cs="Calibri" w:hAnsi="Calibri"/>
                <w:b/>
                <w:bCs/>
                <w:color w:val="8B4500"/>
                <w:sz w:val="16"/>
                <w:szCs w:val="16"/>
              </w:rPr>
              <w:t xml:space="preserve">Cartel de los Soles — Venezuelan Military Drug Corruption Network</w:t>
            </w:r>
          </w:p>
        </w:tc>
        <w:tc>
          <w:tcPr>
            <w:tcW w:type="dxa" w:w="1800"/>
            <w:shd w:val="clear" w:color="auto" w:fill="FFFFFF"/>
          </w:tcPr>
          <w:p>
            <w:pPr>
              <w:spacing w:before="40" w:after="40"/>
            </w:pPr>
            <w:r>
              <w:rPr>
                <w:rFonts w:ascii="Calibri" w:cs="Calibri" w:hAnsi="Calibri"/>
                <w:color w:val="000000"/>
                <w:sz w:val="16"/>
                <w:szCs w:val="16"/>
              </w:rPr>
              <w:t xml:space="preserve">Caracas, Venezuela (distributed military network)</w:t>
            </w:r>
          </w:p>
        </w:tc>
        <w:tc>
          <w:tcPr>
            <w:tcW w:type="dxa" w:w="2200"/>
            <w:shd w:val="clear" w:color="auto" w:fill="FFFFFF"/>
          </w:tcPr>
          <w:p>
            <w:pPr>
              <w:spacing w:before="40" w:after="40"/>
            </w:pPr>
            <w:r>
              <w:rPr>
                <w:rFonts w:ascii="Calibri" w:cs="Calibri" w:hAnsi="Calibri"/>
                <w:color w:val="000000"/>
                <w:sz w:val="16"/>
                <w:szCs w:val="16"/>
              </w:rPr>
              <w:t xml:space="preserve">Nicolas Maduro (in US custody); Diosdado Cabello (designated); Vladimir Padrino Lopez (designated); multiple military officials</w:t>
            </w:r>
          </w:p>
        </w:tc>
        <w:tc>
          <w:tcPr>
            <w:tcW w:type="dxa" w:w="2400"/>
            <w:shd w:val="clear" w:color="auto" w:fill="FFFFFF"/>
          </w:tcPr>
          <w:p>
            <w:pPr>
              <w:spacing w:before="40" w:after="40"/>
            </w:pPr>
            <w:r>
              <w:rPr>
                <w:rFonts w:ascii="Calibri" w:cs="Calibri" w:hAnsi="Calibri"/>
                <w:color w:val="000000"/>
                <w:sz w:val="16"/>
                <w:szCs w:val="16"/>
              </w:rPr>
              <w:t xml:space="preserve">E.O. 13692; E.O. 13884; Kingpin Act; 21 U.S.C. §960a (narco-terrorism)</w:t>
            </w:r>
          </w:p>
        </w:tc>
        <w:tc>
          <w:tcPr>
            <w:tcW w:type="dxa" w:w="3600"/>
            <w:shd w:val="clear" w:color="auto" w:fill="FFFFFF"/>
          </w:tcPr>
          <w:p>
            <w:pPr>
              <w:spacing w:before="40" w:after="40"/>
            </w:pPr>
            <w:r>
              <w:rPr>
                <w:rFonts w:ascii="Calibri" w:cs="Calibri" w:hAnsi="Calibri"/>
                <w:color w:val="000000"/>
                <w:sz w:val="16"/>
                <w:szCs w:val="16"/>
              </w:rPr>
              <w:t xml:space="preserve">Revised Jan 2026 Maduro indictment characterizes Cartel de los Soles as a drug-trafficking-backed patronage system rather than a formal cartel — legally significant for prosecution strategy. Maduro facing SDNY charges including narco-terrorism. Cabello and Padrino Lopez designated but remain in Venezuela. Action: Continue Kingpin Act designations for military officials maintaining narco-corruption network post-Maduro; SDNY prosecution of Maduro proceeds; target remaining loyalists using Venezuelan military assets for drug trafficking.</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EEF2F8"/>
          </w:tcPr>
          <w:p>
            <w:pPr>
              <w:spacing w:before="40" w:after="40"/>
            </w:pPr>
            <w:r>
              <w:rPr>
                <w:rFonts w:ascii="Calibri" w:cs="Calibri" w:hAnsi="Calibri"/>
                <w:b/>
                <w:bCs/>
                <w:color w:val="8B4500"/>
                <w:sz w:val="16"/>
                <w:szCs w:val="16"/>
              </w:rPr>
              <w:t xml:space="preserve">Venezuela-Iran-Hezbollah Nexus (Adel el Zabayar network)</w:t>
            </w:r>
          </w:p>
        </w:tc>
        <w:tc>
          <w:tcPr>
            <w:tcW w:type="dxa" w:w="1800"/>
            <w:shd w:val="clear" w:color="auto" w:fill="EEF2F8"/>
          </w:tcPr>
          <w:p>
            <w:pPr>
              <w:spacing w:before="40" w:after="40"/>
            </w:pPr>
            <w:r>
              <w:rPr>
                <w:rFonts w:ascii="Calibri" w:cs="Calibri" w:hAnsi="Calibri"/>
                <w:color w:val="000000"/>
                <w:sz w:val="16"/>
                <w:szCs w:val="16"/>
              </w:rPr>
              <w:t xml:space="preserve">Caracas, Venezuela / Lebanon / Tehran</w:t>
            </w:r>
          </w:p>
        </w:tc>
        <w:tc>
          <w:tcPr>
            <w:tcW w:type="dxa" w:w="2200"/>
            <w:shd w:val="clear" w:color="auto" w:fill="EEF2F8"/>
          </w:tcPr>
          <w:p>
            <w:pPr>
              <w:spacing w:before="40" w:after="40"/>
            </w:pPr>
            <w:r>
              <w:rPr>
                <w:rFonts w:ascii="Calibri" w:cs="Calibri" w:hAnsi="Calibri"/>
                <w:color w:val="000000"/>
                <w:sz w:val="16"/>
                <w:szCs w:val="16"/>
              </w:rPr>
              <w:t xml:space="preserve">Adel el Zabayar (PSUV; Federation of Arab Associations in Venezuela); Hezbollah operatives in Venezuela</w:t>
            </w:r>
          </w:p>
        </w:tc>
        <w:tc>
          <w:tcPr>
            <w:tcW w:type="dxa" w:w="2400"/>
            <w:shd w:val="clear" w:color="auto" w:fill="EEF2F8"/>
          </w:tcPr>
          <w:p>
            <w:pPr>
              <w:spacing w:before="40" w:after="40"/>
            </w:pPr>
            <w:r>
              <w:rPr>
                <w:rFonts w:ascii="Calibri" w:cs="Calibri" w:hAnsi="Calibri"/>
                <w:color w:val="000000"/>
                <w:sz w:val="16"/>
                <w:szCs w:val="16"/>
              </w:rPr>
              <w:t xml:space="preserve">E.O. 13224; E.O. 13692; E.O. 13382</w:t>
            </w:r>
          </w:p>
        </w:tc>
        <w:tc>
          <w:tcPr>
            <w:tcW w:type="dxa" w:w="3600"/>
            <w:shd w:val="clear" w:color="auto" w:fill="EEF2F8"/>
          </w:tcPr>
          <w:p>
            <w:pPr>
              <w:spacing w:before="40" w:after="40"/>
            </w:pPr>
            <w:r>
              <w:rPr>
                <w:rFonts w:ascii="Calibri" w:cs="Calibri" w:hAnsi="Calibri"/>
                <w:color w:val="000000"/>
                <w:sz w:val="16"/>
                <w:szCs w:val="16"/>
              </w:rPr>
              <w:t xml:space="preserve">El Zabayar assessed as middleman between Venezuelan drug networks and Middle Eastern militias. Hezbollah used Venezuelan government support (documents, safe travel, financial channels) — Maduro capture disrupts but does not eliminate this nexus. Iranian UAV sale to Venezuela confirms ongoing Iran-Venezuela weapons relationship. Action: Post-Maduro, target el Zabayar and Arab federation infrastructure specifically; coordinate with Treasury CTF on Hezbollah financiers who operated through Venezuelan channels.</w:t>
            </w:r>
          </w:p>
        </w:tc>
        <w:tc>
          <w:tcPr>
            <w:tcW w:type="dxa" w:w="1200"/>
            <w:tcBorders>
              <w:top w:val="single" w:color="D0D5DE" w:sz="1"/>
              <w:left w:val="single" w:color="D0D5DE" w:sz="1"/>
              <w:bottom w:val="single" w:color="D0D5DE" w:sz="1"/>
              <w:right w:val="single" w:color="D0D5DE" w:sz="1"/>
            </w:tcBorders>
            <w:shd w:fill="1A5276"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NEXUS</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XXVII. Cuba — GAESA Military Enterprise Network and State Sponsor of Terrorism Designation</w:t>
      </w:r>
    </w:p>
    <w:p>
      <w:pPr>
        <w:spacing w:before="60" w:after="60"/>
      </w:pPr>
      <w:r>
        <w:rPr>
          <w:rFonts w:ascii="Calibri" w:cs="Calibri" w:hAnsi="Calibri"/>
          <w:color w:val="000000"/>
          <w:sz w:val="18"/>
          <w:szCs w:val="18"/>
        </w:rPr>
        <w:t xml:space="preserve">Cuba was redesignated as a State Sponsor of Terrorism (SST) by the Trump Administration in January 2025, reversing the Biden rescission. The Trump Administration has reimposed sanctions on entities linked to Cuba's military, intelligence, and security services. Cuba's economic control is concentrated in GAESA (Grupo de Administracion Empresarial SA) — the military holding company that controls an estimated 60-80% of Cuba's foreign currency-generating economy, including tourism, retail, telecommunications, and import/export. GAESA and its subsidiaries are broadly designated under the Cuban Assets Control Regulations (CACR, 31 C.F.R. Part 515) and E.O. 13959. The primary OFAC authorities are the CACR, the Cuban Liberty and Democratic Solidarity Act (Libertad Act/Helms-Burton), and the SST designation which creates additional secondary sanctions exposure for transactions with Cuban government entities.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400"/>
        <w:gridCol w:w="4800"/>
      </w:tblGrid>
      <w:tr>
        <w:tc>
          <w:tcPr>
            <w:tcW w:type="dxa" w:w="2000"/>
            <w:shd w:val="clear" w:color="auto" w:fill="1C2B4A"/>
          </w:tcPr>
          <w:p>
            <w:pPr>
              <w:jc w:val="center"/>
            </w:pPr>
            <w:r>
              <w:rPr>
                <w:rFonts w:ascii="Calibri" w:cs="Calibri" w:hAnsi="Calibri"/>
                <w:b/>
                <w:bCs/>
                <w:color w:val="FFFFFF"/>
                <w:sz w:val="16"/>
                <w:szCs w:val="16"/>
              </w:rPr>
              <w:t xml:space="preserve">NODE</w:t>
            </w:r>
          </w:p>
        </w:tc>
        <w:tc>
          <w:tcPr>
            <w:tcW w:type="dxa" w:w="1800"/>
            <w:shd w:val="clear" w:color="auto" w:fill="1C2B4A"/>
          </w:tcPr>
          <w:p>
            <w:pPr>
              <w:jc w:val="center"/>
            </w:pPr>
            <w:r>
              <w:rPr>
                <w:rFonts w:ascii="Calibri" w:cs="Calibri" w:hAnsi="Calibri"/>
                <w:b/>
                <w:bCs/>
                <w:color w:val="FFFFFF"/>
                <w:sz w:val="16"/>
                <w:szCs w:val="16"/>
              </w:rPr>
              <w:t xml:space="preserve">LOCATION</w:t>
            </w:r>
          </w:p>
        </w:tc>
        <w:tc>
          <w:tcPr>
            <w:tcW w:type="dxa" w:w="2200"/>
            <w:shd w:val="clear" w:color="auto" w:fill="1C2B4A"/>
          </w:tcPr>
          <w:p>
            <w:pPr>
              <w:jc w:val="center"/>
            </w:pPr>
            <w:r>
              <w:rPr>
                <w:rFonts w:ascii="Calibri" w:cs="Calibri" w:hAnsi="Calibri"/>
                <w:b/>
                <w:bCs/>
                <w:color w:val="FFFFFF"/>
                <w:sz w:val="16"/>
                <w:szCs w:val="16"/>
              </w:rPr>
              <w:t xml:space="preserve">OPERATOR / STRUCTURE</w:t>
            </w:r>
          </w:p>
        </w:tc>
        <w:tc>
          <w:tcPr>
            <w:tcW w:type="dxa" w:w="2400"/>
            <w:shd w:val="clear" w:color="auto" w:fill="1C2B4A"/>
          </w:tcPr>
          <w:p>
            <w:pPr>
              <w:jc w:val="center"/>
            </w:pPr>
            <w:r>
              <w:rPr>
                <w:rFonts w:ascii="Calibri" w:cs="Calibri" w:hAnsi="Calibri"/>
                <w:b/>
                <w:bCs/>
                <w:color w:val="FFFFFF"/>
                <w:sz w:val="16"/>
                <w:szCs w:val="16"/>
              </w:rPr>
              <w:t xml:space="preserve">LEGAL AUTHORITY</w:t>
            </w:r>
          </w:p>
        </w:tc>
        <w:tc>
          <w:tcPr>
            <w:tcW w:type="dxa" w:w="3600"/>
            <w:shd w:val="clear" w:color="auto" w:fill="1C2B4A"/>
          </w:tcPr>
          <w:p>
            <w:pPr>
              <w:jc w:val="center"/>
            </w:pPr>
            <w:r>
              <w:rPr>
                <w:rFonts w:ascii="Calibri" w:cs="Calibri" w:hAnsi="Calibri"/>
                <w:b/>
                <w:bCs/>
                <w:color w:val="FFFFFF"/>
                <w:sz w:val="16"/>
                <w:szCs w:val="16"/>
              </w:rPr>
              <w:t xml:space="preserve">ENFORCEMENT THEORY AND ACTION</w:t>
            </w:r>
          </w:p>
        </w:tc>
        <w:tc>
          <w:tcPr>
            <w:tcW w:type="dxa" w:w="1200"/>
            <w:shd w:val="clear" w:color="auto" w:fill="1C2B4A"/>
          </w:tcPr>
          <w:p>
            <w:pPr>
              <w:jc w:val="center"/>
            </w:pPr>
            <w:r>
              <w:rPr>
                <w:rFonts w:ascii="Calibri" w:cs="Calibri" w:hAnsi="Calibri"/>
                <w:b/>
                <w:bCs/>
                <w:color w:val="FFFFFF"/>
                <w:sz w:val="16"/>
                <w:szCs w:val="16"/>
              </w:rPr>
              <w:t xml:space="preserve">STATUS</w:t>
            </w:r>
          </w:p>
        </w:tc>
      </w:tr>
      <w:tr>
        <w:tc>
          <w:tcPr>
            <w:tcW w:type="dxa" w:w="2000"/>
            <w:shd w:val="clear" w:color="auto" w:fill="EEF2F8"/>
          </w:tcPr>
          <w:p>
            <w:pPr>
              <w:spacing w:before="40" w:after="40"/>
            </w:pPr>
            <w:r>
              <w:rPr>
                <w:rFonts w:ascii="Calibri" w:cs="Calibri" w:hAnsi="Calibri"/>
                <w:b/>
                <w:bCs/>
                <w:color w:val="8B0000"/>
                <w:sz w:val="16"/>
                <w:szCs w:val="16"/>
              </w:rPr>
              <w:t xml:space="preserve">GAESA — Military Holding Company (Core Economic Control)</w:t>
            </w:r>
          </w:p>
        </w:tc>
        <w:tc>
          <w:tcPr>
            <w:tcW w:type="dxa" w:w="1800"/>
            <w:shd w:val="clear" w:color="auto" w:fill="EEF2F8"/>
          </w:tcPr>
          <w:p>
            <w:pPr>
              <w:spacing w:before="40" w:after="40"/>
            </w:pPr>
            <w:r>
              <w:rPr>
                <w:rFonts w:ascii="Calibri" w:cs="Calibri" w:hAnsi="Calibri"/>
                <w:color w:val="000000"/>
                <w:sz w:val="16"/>
                <w:szCs w:val="16"/>
              </w:rPr>
              <w:t xml:space="preserve">Havana, Cuba</w:t>
            </w:r>
          </w:p>
        </w:tc>
        <w:tc>
          <w:tcPr>
            <w:tcW w:type="dxa" w:w="2200"/>
            <w:shd w:val="clear" w:color="auto" w:fill="EEF2F8"/>
          </w:tcPr>
          <w:p>
            <w:pPr>
              <w:spacing w:before="40" w:after="40"/>
            </w:pPr>
            <w:r>
              <w:rPr>
                <w:rFonts w:ascii="Calibri" w:cs="Calibri" w:hAnsi="Calibri"/>
                <w:color w:val="000000"/>
                <w:sz w:val="16"/>
                <w:szCs w:val="16"/>
              </w:rPr>
              <w:t xml:space="preserve">GAESA (Grupo de Administracion Empresarial SA) — Cuban military controlled; Luis Alberto Rodriguez Lopez-Calleja (GAESA president, designated)</w:t>
            </w:r>
          </w:p>
        </w:tc>
        <w:tc>
          <w:tcPr>
            <w:tcW w:type="dxa" w:w="2400"/>
            <w:shd w:val="clear" w:color="auto" w:fill="EEF2F8"/>
          </w:tcPr>
          <w:p>
            <w:pPr>
              <w:spacing w:before="40" w:after="40"/>
            </w:pPr>
            <w:r>
              <w:rPr>
                <w:rFonts w:ascii="Calibri" w:cs="Calibri" w:hAnsi="Calibri"/>
                <w:color w:val="000000"/>
                <w:sz w:val="16"/>
                <w:szCs w:val="16"/>
              </w:rPr>
              <w:t xml:space="preserve">CACR (31 C.F.R. Part 515); E.O. 13959; Libertad Act (Helms-Burton Title III/IV); SST designation</w:t>
            </w:r>
          </w:p>
        </w:tc>
        <w:tc>
          <w:tcPr>
            <w:tcW w:type="dxa" w:w="3600"/>
            <w:shd w:val="clear" w:color="auto" w:fill="EEF2F8"/>
          </w:tcPr>
          <w:p>
            <w:pPr>
              <w:spacing w:before="40" w:after="40"/>
            </w:pPr>
            <w:r>
              <w:rPr>
                <w:rFonts w:ascii="Calibri" w:cs="Calibri" w:hAnsi="Calibri"/>
                <w:color w:val="000000"/>
                <w:sz w:val="16"/>
                <w:szCs w:val="16"/>
              </w:rPr>
              <w:t xml:space="preserve">GAESA controls ~60-80% of Cuba's foreign-currency economy through subsidiaries spanning tourism (Gaviota), retail (TRD), telecommunications (ETECSA), finance, and import/export. Lopez-Calleja designated. Helms-Burton Title III enables civil suits against entities trafficking in US-confiscated Cuban property — creates private enforcement layer beyond OFAC. Action: Systematic designation of each identified GAESA subsidiary as it engages in US-nexus transactions; Title III litigation as concurrent private enforcement; coordinate with EU on GAESA entity exposure given EU-Cuba economic relationships.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FFFFFF"/>
          </w:tcPr>
          <w:p>
            <w:pPr>
              <w:spacing w:before="40" w:after="40"/>
            </w:pPr>
            <w:r>
              <w:rPr>
                <w:rFonts w:ascii="Calibri" w:cs="Calibri" w:hAnsi="Calibri"/>
                <w:b/>
                <w:bCs/>
                <w:color w:val="8B4500"/>
                <w:sz w:val="16"/>
                <w:szCs w:val="16"/>
              </w:rPr>
              <w:t xml:space="preserve">Havanatur / Gaviota Tourism Revenue Network</w:t>
            </w:r>
          </w:p>
        </w:tc>
        <w:tc>
          <w:tcPr>
            <w:tcW w:type="dxa" w:w="1800"/>
            <w:shd w:val="clear" w:color="auto" w:fill="FFFFFF"/>
          </w:tcPr>
          <w:p>
            <w:pPr>
              <w:spacing w:before="40" w:after="40"/>
            </w:pPr>
            <w:r>
              <w:rPr>
                <w:rFonts w:ascii="Calibri" w:cs="Calibri" w:hAnsi="Calibri"/>
                <w:color w:val="000000"/>
                <w:sz w:val="16"/>
                <w:szCs w:val="16"/>
              </w:rPr>
              <w:t xml:space="preserve">Havana, Cuba (global tourism distribution)</w:t>
            </w:r>
          </w:p>
        </w:tc>
        <w:tc>
          <w:tcPr>
            <w:tcW w:type="dxa" w:w="2200"/>
            <w:shd w:val="clear" w:color="auto" w:fill="FFFFFF"/>
          </w:tcPr>
          <w:p>
            <w:pPr>
              <w:spacing w:before="40" w:after="40"/>
            </w:pPr>
            <w:r>
              <w:rPr>
                <w:rFonts w:ascii="Calibri" w:cs="Calibri" w:hAnsi="Calibri"/>
                <w:color w:val="000000"/>
                <w:sz w:val="16"/>
                <w:szCs w:val="16"/>
              </w:rPr>
              <w:t xml:space="preserve">Gaviota SA (GAESA tourism subsidiary, designated); Havanatur (tourism operator, GAESA-linked); multiple international hotel and tour partners</w:t>
            </w:r>
          </w:p>
        </w:tc>
        <w:tc>
          <w:tcPr>
            <w:tcW w:type="dxa" w:w="2400"/>
            <w:shd w:val="clear" w:color="auto" w:fill="FFFFFF"/>
          </w:tcPr>
          <w:p>
            <w:pPr>
              <w:spacing w:before="40" w:after="40"/>
            </w:pPr>
            <w:r>
              <w:rPr>
                <w:rFonts w:ascii="Calibri" w:cs="Calibri" w:hAnsi="Calibri"/>
                <w:color w:val="000000"/>
                <w:sz w:val="16"/>
                <w:szCs w:val="16"/>
              </w:rPr>
              <w:t xml:space="preserve">CACR §515.201; E.O. 13959; SST secondary sanctions</w:t>
            </w:r>
          </w:p>
        </w:tc>
        <w:tc>
          <w:tcPr>
            <w:tcW w:type="dxa" w:w="3600"/>
            <w:shd w:val="clear" w:color="auto" w:fill="FFFFFF"/>
          </w:tcPr>
          <w:p>
            <w:pPr>
              <w:spacing w:before="40" w:after="40"/>
            </w:pPr>
            <w:r>
              <w:rPr>
                <w:rFonts w:ascii="Calibri" w:cs="Calibri" w:hAnsi="Calibri"/>
                <w:color w:val="000000"/>
                <w:sz w:val="16"/>
                <w:szCs w:val="16"/>
              </w:rPr>
              <w:t xml:space="preserve">Tourism generates primary foreign currency for Cuban military through GAESA. International hotel chains and tour operators doing business with Gaviota face CACR and Helms-Burton exposure. SST redesignation creates secondary sanctions risk for non-US financial institutions processing GAESA/Gaviota revenues. Action: CACR enforcement against US persons facilitating Gaviota transactions; Helms-Burton Title III suits against foreign hotel operators on confiscated Cuban property; OFAC advisory to international financial institutions on GAESA secondary sanctions risk post-SST.</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EEF2F8"/>
          </w:tcPr>
          <w:p>
            <w:pPr>
              <w:spacing w:before="40" w:after="40"/>
            </w:pPr>
            <w:r>
              <w:rPr>
                <w:rFonts w:ascii="Calibri" w:cs="Calibri" w:hAnsi="Calibri"/>
                <w:b/>
                <w:bCs/>
                <w:color w:val="8B4500"/>
                <w:sz w:val="16"/>
                <w:szCs w:val="16"/>
              </w:rPr>
              <w:t xml:space="preserve">ETECSA — Telecommunications Surveillance Infrastructure</w:t>
            </w:r>
          </w:p>
        </w:tc>
        <w:tc>
          <w:tcPr>
            <w:tcW w:type="dxa" w:w="1800"/>
            <w:shd w:val="clear" w:color="auto" w:fill="EEF2F8"/>
          </w:tcPr>
          <w:p>
            <w:pPr>
              <w:spacing w:before="40" w:after="40"/>
            </w:pPr>
            <w:r>
              <w:rPr>
                <w:rFonts w:ascii="Calibri" w:cs="Calibri" w:hAnsi="Calibri"/>
                <w:color w:val="000000"/>
                <w:sz w:val="16"/>
                <w:szCs w:val="16"/>
              </w:rPr>
              <w:t xml:space="preserve">Havana, Cuba</w:t>
            </w:r>
          </w:p>
        </w:tc>
        <w:tc>
          <w:tcPr>
            <w:tcW w:type="dxa" w:w="2200"/>
            <w:shd w:val="clear" w:color="auto" w:fill="EEF2F8"/>
          </w:tcPr>
          <w:p>
            <w:pPr>
              <w:spacing w:before="40" w:after="40"/>
            </w:pPr>
            <w:r>
              <w:rPr>
                <w:rFonts w:ascii="Calibri" w:cs="Calibri" w:hAnsi="Calibri"/>
                <w:color w:val="000000"/>
                <w:sz w:val="16"/>
                <w:szCs w:val="16"/>
              </w:rPr>
              <w:t xml:space="preserve">ETECSA (Empresa de Telecomunicaciones de Cuba SA — GAESA subsidiary); Huawei (equipment supplier, Chinese state-linked)</w:t>
            </w:r>
          </w:p>
        </w:tc>
        <w:tc>
          <w:tcPr>
            <w:tcW w:type="dxa" w:w="2400"/>
            <w:shd w:val="clear" w:color="auto" w:fill="EEF2F8"/>
          </w:tcPr>
          <w:p>
            <w:pPr>
              <w:spacing w:before="40" w:after="40"/>
            </w:pPr>
            <w:r>
              <w:rPr>
                <w:rFonts w:ascii="Calibri" w:cs="Calibri" w:hAnsi="Calibri"/>
                <w:color w:val="000000"/>
                <w:sz w:val="16"/>
                <w:szCs w:val="16"/>
              </w:rPr>
              <w:t xml:space="preserve">CACR; EAR (export controls); SST designation</w:t>
            </w:r>
          </w:p>
        </w:tc>
        <w:tc>
          <w:tcPr>
            <w:tcW w:type="dxa" w:w="3600"/>
            <w:shd w:val="clear" w:color="auto" w:fill="EEF2F8"/>
          </w:tcPr>
          <w:p>
            <w:pPr>
              <w:spacing w:before="40" w:after="40"/>
            </w:pPr>
            <w:r>
              <w:rPr>
                <w:rFonts w:ascii="Calibri" w:cs="Calibri" w:hAnsi="Calibri"/>
                <w:color w:val="000000"/>
                <w:sz w:val="16"/>
                <w:szCs w:val="16"/>
              </w:rPr>
              <w:t xml:space="preserve">ETECSA is Cuba's state-controlled telecommunications monopoly, used for domestic surveillance of dissidents. Chinese telecom equipment (Huawei) documented in ETECSA infrastructure — creates EAR export control nexus. Aug 2021 OFAC guidance on supporting Cuban internet freedom. Action: EAR denial orders on US-origin technology reaching ETECSA; target Huawei Cuba operations under EAR Entity List; OFAC license framework for internet freedom tools while maintaining GAESA/ETECSA transaction prohibitions.</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r>
      <w:tr>
        <w:tc>
          <w:tcPr>
            <w:tcW w:type="dxa" w:w="2000"/>
            <w:shd w:val="clear" w:color="auto" w:fill="FFFFFF"/>
          </w:tcPr>
          <w:p>
            <w:pPr>
              <w:spacing w:before="40" w:after="40"/>
            </w:pPr>
            <w:r>
              <w:rPr>
                <w:rFonts w:ascii="Calibri" w:cs="Calibri" w:hAnsi="Calibri"/>
                <w:b/>
                <w:bCs/>
                <w:color w:val="8B4500"/>
                <w:sz w:val="16"/>
                <w:szCs w:val="16"/>
              </w:rPr>
              <w:t xml:space="preserve">Cuba-Russia-Venezuela Trilateral Financial Network</w:t>
            </w:r>
          </w:p>
        </w:tc>
        <w:tc>
          <w:tcPr>
            <w:tcW w:type="dxa" w:w="1800"/>
            <w:shd w:val="clear" w:color="auto" w:fill="FFFFFF"/>
          </w:tcPr>
          <w:p>
            <w:pPr>
              <w:spacing w:before="40" w:after="40"/>
            </w:pPr>
            <w:r>
              <w:rPr>
                <w:rFonts w:ascii="Calibri" w:cs="Calibri" w:hAnsi="Calibri"/>
                <w:color w:val="000000"/>
                <w:sz w:val="16"/>
                <w:szCs w:val="16"/>
              </w:rPr>
              <w:t xml:space="preserve">Havana / Moscow / Caracas</w:t>
            </w:r>
          </w:p>
        </w:tc>
        <w:tc>
          <w:tcPr>
            <w:tcW w:type="dxa" w:w="2200"/>
            <w:shd w:val="clear" w:color="auto" w:fill="FFFFFF"/>
          </w:tcPr>
          <w:p>
            <w:pPr>
              <w:spacing w:before="40" w:after="40"/>
            </w:pPr>
            <w:r>
              <w:rPr>
                <w:rFonts w:ascii="Calibri" w:cs="Calibri" w:hAnsi="Calibri"/>
                <w:color w:val="000000"/>
                <w:sz w:val="16"/>
                <w:szCs w:val="16"/>
              </w:rPr>
              <w:t xml:space="preserve">Cuban state entities; Russian financial intermediaries; Venezuelan PDVSA-linked networks</w:t>
            </w:r>
          </w:p>
        </w:tc>
        <w:tc>
          <w:tcPr>
            <w:tcW w:type="dxa" w:w="2400"/>
            <w:shd w:val="clear" w:color="auto" w:fill="FFFFFF"/>
          </w:tcPr>
          <w:p>
            <w:pPr>
              <w:spacing w:before="40" w:after="40"/>
            </w:pPr>
            <w:r>
              <w:rPr>
                <w:rFonts w:ascii="Calibri" w:cs="Calibri" w:hAnsi="Calibri"/>
                <w:color w:val="000000"/>
                <w:sz w:val="16"/>
                <w:szCs w:val="16"/>
              </w:rPr>
              <w:t xml:space="preserve">CACR; E.O. 13884 (Venezuela); EO 14024 (Russia); SST secondary sanctions</w:t>
            </w:r>
          </w:p>
        </w:tc>
        <w:tc>
          <w:tcPr>
            <w:tcW w:type="dxa" w:w="3600"/>
            <w:shd w:val="clear" w:color="auto" w:fill="FFFFFF"/>
          </w:tcPr>
          <w:p>
            <w:pPr>
              <w:spacing w:before="40" w:after="40"/>
            </w:pPr>
            <w:r>
              <w:rPr>
                <w:rFonts w:ascii="Calibri" w:cs="Calibri" w:hAnsi="Calibri"/>
                <w:color w:val="000000"/>
                <w:sz w:val="16"/>
                <w:szCs w:val="16"/>
              </w:rPr>
              <w:t xml:space="preserve">Cuba relies on Venezuela for subsidized oil (historically) and on Russia for financial lifeline. Russian vessels docking in Cuba (post-Seahorse interdiction precedent); Venezuelan Cartel of Suns used Cuba as drug transit. SST designation creates additional secondary sanctions risk for Russian and Venezuelan entities engaging in significant transactions with Cuban government. Action: EO 14024 secondary sanctions analysis for Russian entities providing material support to GAESA-controlled Cuban government entities; monitor Cuban port calls by Russian and Venezuelan vessels for sanctions evasion activity.</w:t>
            </w:r>
          </w:p>
        </w:tc>
        <w:tc>
          <w:tcPr>
            <w:tcW w:type="dxa" w:w="1200"/>
            <w:tcBorders>
              <w:top w:val="single" w:color="D0D5DE" w:sz="1"/>
              <w:left w:val="single" w:color="D0D5DE" w:sz="1"/>
              <w:bottom w:val="single" w:color="D0D5DE" w:sz="1"/>
              <w:right w:val="single" w:color="D0D5DE" w:sz="1"/>
            </w:tcBorders>
            <w:shd w:fill="1A5276"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NEXUS</w:t>
            </w:r>
          </w:p>
        </w:tc>
      </w:tr>
      <w:tr>
        <w:tc>
          <w:tcPr>
            <w:tcW w:type="dxa" w:w="2000"/>
            <w:shd w:val="clear" w:color="auto" w:fill="EEF2F8"/>
          </w:tcPr>
          <w:p>
            <w:pPr>
              <w:spacing w:before="40" w:after="40"/>
            </w:pPr>
            <w:r>
              <w:rPr>
                <w:rFonts w:ascii="Calibri" w:cs="Calibri" w:hAnsi="Calibri"/>
                <w:b/>
                <w:bCs/>
                <w:color w:val="8B4500"/>
                <w:sz w:val="16"/>
                <w:szCs w:val="16"/>
              </w:rPr>
              <w:t xml:space="preserve">Al-Qard Al-Hassan / Cuba-Hezbollah Financial Transit</w:t>
            </w:r>
          </w:p>
        </w:tc>
        <w:tc>
          <w:tcPr>
            <w:tcW w:type="dxa" w:w="1800"/>
            <w:shd w:val="clear" w:color="auto" w:fill="EEF2F8"/>
          </w:tcPr>
          <w:p>
            <w:pPr>
              <w:spacing w:before="40" w:after="40"/>
            </w:pPr>
            <w:r>
              <w:rPr>
                <w:rFonts w:ascii="Calibri" w:cs="Calibri" w:hAnsi="Calibri"/>
                <w:color w:val="000000"/>
                <w:sz w:val="16"/>
                <w:szCs w:val="16"/>
              </w:rPr>
              <w:t xml:space="preserve">Havana, Cuba / Beirut, Lebanon</w:t>
            </w:r>
          </w:p>
        </w:tc>
        <w:tc>
          <w:tcPr>
            <w:tcW w:type="dxa" w:w="2200"/>
            <w:shd w:val="clear" w:color="auto" w:fill="EEF2F8"/>
          </w:tcPr>
          <w:p>
            <w:pPr>
              <w:spacing w:before="40" w:after="40"/>
            </w:pPr>
            <w:r>
              <w:rPr>
                <w:rFonts w:ascii="Calibri" w:cs="Calibri" w:hAnsi="Calibri"/>
                <w:color w:val="000000"/>
                <w:sz w:val="16"/>
                <w:szCs w:val="16"/>
              </w:rPr>
              <w:t xml:space="preserve">Hezbollah operatives using Cuba as transit point; historic Iranian diplomatic infrastructure in Havana</w:t>
            </w:r>
          </w:p>
        </w:tc>
        <w:tc>
          <w:tcPr>
            <w:tcW w:type="dxa" w:w="2400"/>
            <w:shd w:val="clear" w:color="auto" w:fill="EEF2F8"/>
          </w:tcPr>
          <w:p>
            <w:pPr>
              <w:spacing w:before="40" w:after="40"/>
            </w:pPr>
            <w:r>
              <w:rPr>
                <w:rFonts w:ascii="Calibri" w:cs="Calibri" w:hAnsi="Calibri"/>
                <w:color w:val="000000"/>
                <w:sz w:val="16"/>
                <w:szCs w:val="16"/>
              </w:rPr>
              <w:t xml:space="preserve">E.O. 13224 (SDGT); CACR; SST (Cuba)</w:t>
            </w:r>
          </w:p>
        </w:tc>
        <w:tc>
          <w:tcPr>
            <w:tcW w:type="dxa" w:w="3600"/>
            <w:shd w:val="clear" w:color="auto" w:fill="EEF2F8"/>
          </w:tcPr>
          <w:p>
            <w:pPr>
              <w:spacing w:before="40" w:after="40"/>
            </w:pPr>
            <w:r>
              <w:rPr>
                <w:rFonts w:ascii="Calibri" w:cs="Calibri" w:hAnsi="Calibri"/>
                <w:color w:val="000000"/>
                <w:sz w:val="16"/>
                <w:szCs w:val="16"/>
              </w:rPr>
              <w:t xml:space="preserve">Cuba's SST designation and GAESA control of foreign financial flows makes Cuba a documented transit point for Iran and Hezbollah financial networks in the Western Hemisphere. Iranian diplomatic presence in Havana provides cover infrastructure. Action: Post-SST redesignation, heightened OFAC scrutiny of all Cuban financial transactions for Hezbollah/IRGC-QF layering patterns; coordinate with Treasury CTF on Cuba-based Hezbollah facilitators identified in FinCEN FIN-2024-A001 advisory.</w:t>
            </w:r>
          </w:p>
        </w:tc>
        <w:tc>
          <w:tcPr>
            <w:tcW w:type="dxa" w:w="1200"/>
            <w:tcBorders>
              <w:top w:val="single" w:color="D0D5DE" w:sz="1"/>
              <w:left w:val="single" w:color="D0D5DE" w:sz="1"/>
              <w:bottom w:val="single" w:color="D0D5DE" w:sz="1"/>
              <w:right w:val="single" w:color="D0D5DE" w:sz="1"/>
            </w:tcBorders>
            <w:shd w:fill="1A5276"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NEXUS</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XXVIII. Sinaloa Cartel / CJNG — Fentanyl Supply Chain, US Financial System Laundering, and FTO Enforcement Architecture</w:t>
      </w:r>
    </w:p>
    <w:p>
      <w:pPr>
        <w:spacing w:before="60" w:after="60"/>
      </w:pPr>
      <w:r>
        <w:rPr>
          <w:rFonts w:ascii="Calibri" w:cs="Calibri" w:hAnsi="Calibri"/>
          <w:color w:val="000000"/>
          <w:sz w:val="18"/>
          <w:szCs w:val="18"/>
        </w:rPr>
        <w:t xml:space="preserve">Sinaloa Cartel and Cartel Jalisco Nueva Generacion (CJNG) were designated as Foreign Terrorist Organizations (FTO) and SDGTs on February 20 2025, creating the most significant new enforcement authority against Mexican cartels in US history. FTO designation enables: 18 U.S.C. §2339B material support prosecutions (20-year max) for all financial facilitators including PRC fentanyl precursor suppliers; 8 U.S.C. §1182(a)(3)(B) immigration inadmissibility; IEEPA-based asset blocking. The FEND Off Fentanyl Act (enacted 2024) provides additional Kingpin-adjacent authority targeting PRC precursor supply chains. Both cartels launder billions through the US financial system via bulk cash, trade-based money laundering, real estate, and increasingly crypto. The §2339B material support hook converts what were previously export control or money laundering violations into felony terrorism financing prosecutions — the most aggressive legal upgrade in cartel enforcement history.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400"/>
        <w:gridCol w:w="4800"/>
      </w:tblGrid>
      <w:tr>
        <w:tc>
          <w:tcPr>
            <w:tcW w:type="dxa" w:w="2000"/>
            <w:shd w:val="clear" w:color="auto" w:fill="1C2B4A"/>
          </w:tcPr>
          <w:p>
            <w:pPr>
              <w:jc w:val="center"/>
            </w:pPr>
            <w:r>
              <w:rPr>
                <w:rFonts w:ascii="Calibri" w:cs="Calibri" w:hAnsi="Calibri"/>
                <w:b/>
                <w:bCs/>
                <w:color w:val="FFFFFF"/>
                <w:sz w:val="16"/>
                <w:szCs w:val="16"/>
              </w:rPr>
              <w:t xml:space="preserve">NODE</w:t>
            </w:r>
          </w:p>
        </w:tc>
        <w:tc>
          <w:tcPr>
            <w:tcW w:type="dxa" w:w="1800"/>
            <w:shd w:val="clear" w:color="auto" w:fill="1C2B4A"/>
          </w:tcPr>
          <w:p>
            <w:pPr>
              <w:jc w:val="center"/>
            </w:pPr>
            <w:r>
              <w:rPr>
                <w:rFonts w:ascii="Calibri" w:cs="Calibri" w:hAnsi="Calibri"/>
                <w:b/>
                <w:bCs/>
                <w:color w:val="FFFFFF"/>
                <w:sz w:val="16"/>
                <w:szCs w:val="16"/>
              </w:rPr>
              <w:t xml:space="preserve">LOCATION</w:t>
            </w:r>
          </w:p>
        </w:tc>
        <w:tc>
          <w:tcPr>
            <w:tcW w:type="dxa" w:w="2200"/>
            <w:shd w:val="clear" w:color="auto" w:fill="1C2B4A"/>
          </w:tcPr>
          <w:p>
            <w:pPr>
              <w:jc w:val="center"/>
            </w:pPr>
            <w:r>
              <w:rPr>
                <w:rFonts w:ascii="Calibri" w:cs="Calibri" w:hAnsi="Calibri"/>
                <w:b/>
                <w:bCs/>
                <w:color w:val="FFFFFF"/>
                <w:sz w:val="16"/>
                <w:szCs w:val="16"/>
              </w:rPr>
              <w:t xml:space="preserve">OPERATOR / STRUCTURE</w:t>
            </w:r>
          </w:p>
        </w:tc>
        <w:tc>
          <w:tcPr>
            <w:tcW w:type="dxa" w:w="2400"/>
            <w:shd w:val="clear" w:color="auto" w:fill="1C2B4A"/>
          </w:tcPr>
          <w:p>
            <w:pPr>
              <w:jc w:val="center"/>
            </w:pPr>
            <w:r>
              <w:rPr>
                <w:rFonts w:ascii="Calibri" w:cs="Calibri" w:hAnsi="Calibri"/>
                <w:b/>
                <w:bCs/>
                <w:color w:val="FFFFFF"/>
                <w:sz w:val="16"/>
                <w:szCs w:val="16"/>
              </w:rPr>
              <w:t xml:space="preserve">LEGAL AUTHORITY</w:t>
            </w:r>
          </w:p>
        </w:tc>
        <w:tc>
          <w:tcPr>
            <w:tcW w:type="dxa" w:w="3600"/>
            <w:shd w:val="clear" w:color="auto" w:fill="1C2B4A"/>
          </w:tcPr>
          <w:p>
            <w:pPr>
              <w:jc w:val="center"/>
            </w:pPr>
            <w:r>
              <w:rPr>
                <w:rFonts w:ascii="Calibri" w:cs="Calibri" w:hAnsi="Calibri"/>
                <w:b/>
                <w:bCs/>
                <w:color w:val="FFFFFF"/>
                <w:sz w:val="16"/>
                <w:szCs w:val="16"/>
              </w:rPr>
              <w:t xml:space="preserve">ENFORCEMENT THEORY AND ACTION</w:t>
            </w:r>
          </w:p>
        </w:tc>
        <w:tc>
          <w:tcPr>
            <w:tcW w:type="dxa" w:w="1200"/>
            <w:shd w:val="clear" w:color="auto" w:fill="1C2B4A"/>
          </w:tcPr>
          <w:p>
            <w:pPr>
              <w:jc w:val="center"/>
            </w:pPr>
            <w:r>
              <w:rPr>
                <w:rFonts w:ascii="Calibri" w:cs="Calibri" w:hAnsi="Calibri"/>
                <w:b/>
                <w:bCs/>
                <w:color w:val="FFFFFF"/>
                <w:sz w:val="16"/>
                <w:szCs w:val="16"/>
              </w:rPr>
              <w:t xml:space="preserve">STATUS</w:t>
            </w:r>
          </w:p>
        </w:tc>
      </w:tr>
      <w:tr>
        <w:tc>
          <w:tcPr>
            <w:tcW w:type="dxa" w:w="2000"/>
            <w:shd w:val="clear" w:color="auto" w:fill="EEF2F8"/>
          </w:tcPr>
          <w:p>
            <w:pPr>
              <w:spacing w:before="40" w:after="40"/>
            </w:pPr>
            <w:r>
              <w:rPr>
                <w:rFonts w:ascii="Calibri" w:cs="Calibri" w:hAnsi="Calibri"/>
                <w:b/>
                <w:bCs/>
                <w:color w:val="8B0000"/>
                <w:sz w:val="16"/>
                <w:szCs w:val="16"/>
              </w:rPr>
              <w:t xml:space="preserve">PRC Fentanyl Precursor Supply Chain (Shenzhen/Wuhan chemical clusters)</w:t>
            </w:r>
          </w:p>
        </w:tc>
        <w:tc>
          <w:tcPr>
            <w:tcW w:type="dxa" w:w="1800"/>
            <w:shd w:val="clear" w:color="auto" w:fill="EEF2F8"/>
          </w:tcPr>
          <w:p>
            <w:pPr>
              <w:spacing w:before="40" w:after="40"/>
            </w:pPr>
            <w:r>
              <w:rPr>
                <w:rFonts w:ascii="Calibri" w:cs="Calibri" w:hAnsi="Calibri"/>
                <w:color w:val="000000"/>
                <w:sz w:val="16"/>
                <w:szCs w:val="16"/>
              </w:rPr>
              <w:t xml:space="preserve">Shenzhen / Wuhan / Guangzhou, China</w:t>
            </w:r>
          </w:p>
        </w:tc>
        <w:tc>
          <w:tcPr>
            <w:tcW w:type="dxa" w:w="2200"/>
            <w:shd w:val="clear" w:color="auto" w:fill="EEF2F8"/>
          </w:tcPr>
          <w:p>
            <w:pPr>
              <w:spacing w:before="40" w:after="40"/>
            </w:pPr>
            <w:r>
              <w:rPr>
                <w:rFonts w:ascii="Calibri" w:cs="Calibri" w:hAnsi="Calibri"/>
                <w:color w:val="000000"/>
                <w:sz w:val="16"/>
                <w:szCs w:val="16"/>
              </w:rPr>
              <w:t xml:space="preserve">Multiple undisclosed PRC chemical manufacturers; Shenzhen electronics/chemical OTC network</w:t>
            </w:r>
          </w:p>
        </w:tc>
        <w:tc>
          <w:tcPr>
            <w:tcW w:type="dxa" w:w="2400"/>
            <w:shd w:val="clear" w:color="auto" w:fill="EEF2F8"/>
          </w:tcPr>
          <w:p>
            <w:pPr>
              <w:spacing w:before="40" w:after="40"/>
            </w:pPr>
            <w:r>
              <w:rPr>
                <w:rFonts w:ascii="Calibri" w:cs="Calibri" w:hAnsi="Calibri"/>
                <w:color w:val="000000"/>
                <w:sz w:val="16"/>
                <w:szCs w:val="16"/>
              </w:rPr>
              <w:t xml:space="preserve">FEND Off Fentanyl Act; 18 U.S.C. §2339B (post-FTO); E.O. 13224 (SDGT); EAR Entity List</w:t>
            </w:r>
          </w:p>
        </w:tc>
        <w:tc>
          <w:tcPr>
            <w:tcW w:type="dxa" w:w="3600"/>
            <w:shd w:val="clear" w:color="auto" w:fill="EEF2F8"/>
          </w:tcPr>
          <w:p>
            <w:pPr>
              <w:spacing w:before="40" w:after="40"/>
            </w:pPr>
            <w:r>
              <w:rPr>
                <w:rFonts w:ascii="Calibri" w:cs="Calibri" w:hAnsi="Calibri"/>
                <w:color w:val="000000"/>
                <w:sz w:val="16"/>
                <w:szCs w:val="16"/>
              </w:rPr>
              <w:t xml:space="preserve">FTO designation of Sinaloa/CJNG (Feb 20 2025) converts PRC precursor suppliers from export control targets to §2339B material support targets — 20-year maximum sentences. Enhanced Notice of End-User Status procedure (ARCH-03) eliminates good-faith defense after delivery notification. Al Kassar (660 F.3d 108) precedent supports extraterritorial jurisdiction. Action: DOJ/HSI task force targeting PRC chemical manufacturers with documented Sinaloa/CJNG supply relationships; FEND Off Fentanyl Act OFAC designations; EAR Entity List additions; Section 311 PMLC designation for Shenzhen OTC chemical-to-crypto payment networks.</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r>
      <w:tr>
        <w:tc>
          <w:tcPr>
            <w:tcW w:type="dxa" w:w="2000"/>
            <w:shd w:val="clear" w:color="auto" w:fill="FFFFFF"/>
          </w:tcPr>
          <w:p>
            <w:pPr>
              <w:spacing w:before="40" w:after="40"/>
            </w:pPr>
            <w:r>
              <w:rPr>
                <w:rFonts w:ascii="Calibri" w:cs="Calibri" w:hAnsi="Calibri"/>
                <w:b/>
                <w:bCs/>
                <w:color w:val="8B4500"/>
                <w:sz w:val="16"/>
                <w:szCs w:val="16"/>
              </w:rPr>
              <w:t xml:space="preserve">Bulk Cash Smuggling and US Real Estate Laundering</w:t>
            </w:r>
          </w:p>
        </w:tc>
        <w:tc>
          <w:tcPr>
            <w:tcW w:type="dxa" w:w="1800"/>
            <w:shd w:val="clear" w:color="auto" w:fill="FFFFFF"/>
          </w:tcPr>
          <w:p>
            <w:pPr>
              <w:spacing w:before="40" w:after="40"/>
            </w:pPr>
            <w:r>
              <w:rPr>
                <w:rFonts w:ascii="Calibri" w:cs="Calibri" w:hAnsi="Calibri"/>
                <w:color w:val="000000"/>
                <w:sz w:val="16"/>
                <w:szCs w:val="16"/>
              </w:rPr>
              <w:t xml:space="preserve">US-Mexico border / Los Angeles / Chicago / Phoenix</w:t>
            </w:r>
          </w:p>
        </w:tc>
        <w:tc>
          <w:tcPr>
            <w:tcW w:type="dxa" w:w="2200"/>
            <w:shd w:val="clear" w:color="auto" w:fill="FFFFFF"/>
          </w:tcPr>
          <w:p>
            <w:pPr>
              <w:spacing w:before="40" w:after="40"/>
            </w:pPr>
            <w:r>
              <w:rPr>
                <w:rFonts w:ascii="Calibri" w:cs="Calibri" w:hAnsi="Calibri"/>
                <w:color w:val="000000"/>
                <w:sz w:val="16"/>
                <w:szCs w:val="16"/>
              </w:rPr>
              <w:t xml:space="preserve">Multiple cartel-controlled money service businesses; real estate shell companies; hawala networks</w:t>
            </w:r>
          </w:p>
        </w:tc>
        <w:tc>
          <w:tcPr>
            <w:tcW w:type="dxa" w:w="2400"/>
            <w:shd w:val="clear" w:color="auto" w:fill="FFFFFF"/>
          </w:tcPr>
          <w:p>
            <w:pPr>
              <w:spacing w:before="40" w:after="40"/>
            </w:pPr>
            <w:r>
              <w:rPr>
                <w:rFonts w:ascii="Calibri" w:cs="Calibri" w:hAnsi="Calibri"/>
                <w:color w:val="000000"/>
                <w:sz w:val="16"/>
                <w:szCs w:val="16"/>
              </w:rPr>
              <w:t xml:space="preserve">18 U.S.C. §1956 (money laundering); Kingpin Act; Bank Secrecy Act; FinCEN Real Estate Reporting Rule; 18 U.S.C. §2339B (post-FTO)</w:t>
            </w:r>
          </w:p>
        </w:tc>
        <w:tc>
          <w:tcPr>
            <w:tcW w:type="dxa" w:w="3600"/>
            <w:shd w:val="clear" w:color="auto" w:fill="FFFFFF"/>
          </w:tcPr>
          <w:p>
            <w:pPr>
              <w:spacing w:before="40" w:after="40"/>
            </w:pPr>
            <w:r>
              <w:rPr>
                <w:rFonts w:ascii="Calibri" w:cs="Calibri" w:hAnsi="Calibri"/>
                <w:color w:val="000000"/>
                <w:sz w:val="16"/>
                <w:szCs w:val="16"/>
              </w:rPr>
              <w:t xml:space="preserve">Cartels launder billions through US real estate using all-cash purchases and shell companies. FinCEN Real Estate Reporting Rule (finalized 2024) requires disclosure of beneficial owners in all-cash real estate transactions. FTO designation creates additional BSA SAR obligation for financial institutions identifying cartel-linked transaction patterns. Action: FinCEN Real Estate Reporting Rule enforcement targeting identified cartel-linked shell companies; §2339B prosecution theory for US real estate attorneys and agents knowingly facilitating cartel money flows; IRS Criminal Investigation coordination for tax nexus.</w:t>
            </w:r>
          </w:p>
        </w:tc>
        <w:tc>
          <w:tcPr>
            <w:tcW w:type="dxa" w:w="12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r>
      <w:tr>
        <w:tc>
          <w:tcPr>
            <w:tcW w:type="dxa" w:w="2000"/>
            <w:shd w:val="clear" w:color="auto" w:fill="EEF2F8"/>
          </w:tcPr>
          <w:p>
            <w:pPr>
              <w:spacing w:before="40" w:after="40"/>
            </w:pPr>
            <w:r>
              <w:rPr>
                <w:rFonts w:ascii="Calibri" w:cs="Calibri" w:hAnsi="Calibri"/>
                <w:b/>
                <w:bCs/>
                <w:color w:val="8B4500"/>
                <w:sz w:val="16"/>
                <w:szCs w:val="16"/>
              </w:rPr>
              <w:t xml:space="preserve">Trade-Based Money Laundering (TBML) — Black Market Peso Exchange</w:t>
            </w:r>
          </w:p>
        </w:tc>
        <w:tc>
          <w:tcPr>
            <w:tcW w:type="dxa" w:w="1800"/>
            <w:shd w:val="clear" w:color="auto" w:fill="EEF2F8"/>
          </w:tcPr>
          <w:p>
            <w:pPr>
              <w:spacing w:before="40" w:after="40"/>
            </w:pPr>
            <w:r>
              <w:rPr>
                <w:rFonts w:ascii="Calibri" w:cs="Calibri" w:hAnsi="Calibri"/>
                <w:color w:val="000000"/>
                <w:sz w:val="16"/>
                <w:szCs w:val="16"/>
              </w:rPr>
              <w:t xml:space="preserve">US / Mexico / Colombia (distributed)</w:t>
            </w:r>
          </w:p>
        </w:tc>
        <w:tc>
          <w:tcPr>
            <w:tcW w:type="dxa" w:w="2200"/>
            <w:shd w:val="clear" w:color="auto" w:fill="EEF2F8"/>
          </w:tcPr>
          <w:p>
            <w:pPr>
              <w:spacing w:before="40" w:after="40"/>
            </w:pPr>
            <w:r>
              <w:rPr>
                <w:rFonts w:ascii="Calibri" w:cs="Calibri" w:hAnsi="Calibri"/>
                <w:color w:val="000000"/>
                <w:sz w:val="16"/>
                <w:szCs w:val="16"/>
              </w:rPr>
              <w:t xml:space="preserve">Multiple import/export businesses; Black Market Peso Exchange brokers; Chinese manufactured goods intermediaries</w:t>
            </w:r>
          </w:p>
        </w:tc>
        <w:tc>
          <w:tcPr>
            <w:tcW w:type="dxa" w:w="2400"/>
            <w:shd w:val="clear" w:color="auto" w:fill="EEF2F8"/>
          </w:tcPr>
          <w:p>
            <w:pPr>
              <w:spacing w:before="40" w:after="40"/>
            </w:pPr>
            <w:r>
              <w:rPr>
                <w:rFonts w:ascii="Calibri" w:cs="Calibri" w:hAnsi="Calibri"/>
                <w:color w:val="000000"/>
                <w:sz w:val="16"/>
                <w:szCs w:val="16"/>
              </w:rPr>
              <w:t xml:space="preserve">18 U.S.C. §1956; BSA; Kingpin Act; §981(k) asset substitution</w:t>
            </w:r>
          </w:p>
        </w:tc>
        <w:tc>
          <w:tcPr>
            <w:tcW w:type="dxa" w:w="3600"/>
            <w:shd w:val="clear" w:color="auto" w:fill="EEF2F8"/>
          </w:tcPr>
          <w:p>
            <w:pPr>
              <w:spacing w:before="40" w:after="40"/>
            </w:pPr>
            <w:r>
              <w:rPr>
                <w:rFonts w:ascii="Calibri" w:cs="Calibri" w:hAnsi="Calibri"/>
                <w:color w:val="000000"/>
                <w:sz w:val="16"/>
                <w:szCs w:val="16"/>
              </w:rPr>
              <w:t xml:space="preserve">TBML/Black Market Peso Exchange remains the highest-volume cartel laundering mechanism — drug proceeds converted to trade goods (Chinese electronics, appliances) invoiced at manipulated prices. §981(k) asset substitution allows US to seize equivalent value from US correspondent accounts of foreign banks facilitating TBML transactions. Action: FinCEN TBML red flag implementation; §981(k) actions against identified Mexican banks with documented TBML exposure; coordinate with CBP on over/under-invoicing detection at US ports.</w:t>
            </w:r>
          </w:p>
        </w:tc>
        <w:tc>
          <w:tcPr>
            <w:tcW w:type="dxa" w:w="12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r>
      <w:tr>
        <w:tc>
          <w:tcPr>
            <w:tcW w:type="dxa" w:w="2000"/>
            <w:shd w:val="clear" w:color="auto" w:fill="FFFFFF"/>
          </w:tcPr>
          <w:p>
            <w:pPr>
              <w:spacing w:before="40" w:after="40"/>
            </w:pPr>
            <w:r>
              <w:rPr>
                <w:rFonts w:ascii="Calibri" w:cs="Calibri" w:hAnsi="Calibri"/>
                <w:b/>
                <w:bCs/>
                <w:color w:val="8B4500"/>
                <w:sz w:val="16"/>
                <w:szCs w:val="16"/>
              </w:rPr>
              <w:t xml:space="preserve">Cartel Crypto Laundering Network</w:t>
            </w:r>
          </w:p>
        </w:tc>
        <w:tc>
          <w:tcPr>
            <w:tcW w:type="dxa" w:w="1800"/>
            <w:shd w:val="clear" w:color="auto" w:fill="FFFFFF"/>
          </w:tcPr>
          <w:p>
            <w:pPr>
              <w:spacing w:before="40" w:after="40"/>
            </w:pPr>
            <w:r>
              <w:rPr>
                <w:rFonts w:ascii="Calibri" w:cs="Calibri" w:hAnsi="Calibri"/>
                <w:color w:val="000000"/>
                <w:sz w:val="16"/>
                <w:szCs w:val="16"/>
              </w:rPr>
              <w:t xml:space="preserve">US / Mexico / Venezuela / distributed</w:t>
            </w:r>
          </w:p>
        </w:tc>
        <w:tc>
          <w:tcPr>
            <w:tcW w:type="dxa" w:w="2200"/>
            <w:shd w:val="clear" w:color="auto" w:fill="FFFFFF"/>
          </w:tcPr>
          <w:p>
            <w:pPr>
              <w:spacing w:before="40" w:after="40"/>
            </w:pPr>
            <w:r>
              <w:rPr>
                <w:rFonts w:ascii="Calibri" w:cs="Calibri" w:hAnsi="Calibri"/>
                <w:color w:val="000000"/>
                <w:sz w:val="16"/>
                <w:szCs w:val="16"/>
              </w:rPr>
              <w:t xml:space="preserve">Multiple crypto OTC desks; USDT-based cartel payment networks; identified cartel-linked wallet clusters</w:t>
            </w:r>
          </w:p>
        </w:tc>
        <w:tc>
          <w:tcPr>
            <w:tcW w:type="dxa" w:w="2400"/>
            <w:shd w:val="clear" w:color="auto" w:fill="FFFFFF"/>
          </w:tcPr>
          <w:p>
            <w:pPr>
              <w:spacing w:before="40" w:after="40"/>
            </w:pPr>
            <w:r>
              <w:rPr>
                <w:rFonts w:ascii="Calibri" w:cs="Calibri" w:hAnsi="Calibri"/>
                <w:color w:val="000000"/>
                <w:sz w:val="16"/>
                <w:szCs w:val="16"/>
              </w:rPr>
              <w:t xml:space="preserve">18 U.S.C. §2339B (post-FTO); Kingpin Act; GENIUS Act §4(a)(5)(A); BSA</w:t>
            </w:r>
          </w:p>
        </w:tc>
        <w:tc>
          <w:tcPr>
            <w:tcW w:type="dxa" w:w="3600"/>
            <w:shd w:val="clear" w:color="auto" w:fill="FFFFFF"/>
          </w:tcPr>
          <w:p>
            <w:pPr>
              <w:spacing w:before="40" w:after="40"/>
            </w:pPr>
            <w:r>
              <w:rPr>
                <w:rFonts w:ascii="Calibri" w:cs="Calibri" w:hAnsi="Calibri"/>
                <w:color w:val="000000"/>
                <w:sz w:val="16"/>
                <w:szCs w:val="16"/>
              </w:rPr>
              <w:t xml:space="preserve">Cartels increasingly use USDT for cross-border drug proceeds transfer and precursor payment to PRC suppliers. GENIUS Act §4(a)(5)(A) BSA mandate requires all permitted stablecoin issuers to maintain AML programs screening cartel-linked wallets. FTO designation means cartel wallet support is now §2339B material support — dramatically expanding criminal liability beyond BSA violations. Action: GENIUS Act enforcement demands to Tether for wallet freeze on identified Sinaloa/CJNG USDT clusters; Chainalysis/TRM Labs cartel wallet cluster mapping; prosecute crypto exchange personnel who knowingly facilitate post-FTO cartel USDT transactions under §2339B.</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r>
      <w:tr>
        <w:tc>
          <w:tcPr>
            <w:tcW w:type="dxa" w:w="2000"/>
            <w:shd w:val="clear" w:color="auto" w:fill="EEF2F8"/>
          </w:tcPr>
          <w:p>
            <w:pPr>
              <w:spacing w:before="40" w:after="40"/>
            </w:pPr>
            <w:r>
              <w:rPr>
                <w:rFonts w:ascii="Calibri" w:cs="Calibri" w:hAnsi="Calibri"/>
                <w:b/>
                <w:bCs/>
                <w:color w:val="8B0000"/>
                <w:sz w:val="16"/>
                <w:szCs w:val="16"/>
              </w:rPr>
              <w:t xml:space="preserve">CJNG Methamphetamine and Synthetic Drug Production Infrastructure</w:t>
            </w:r>
          </w:p>
        </w:tc>
        <w:tc>
          <w:tcPr>
            <w:tcW w:type="dxa" w:w="1800"/>
            <w:shd w:val="clear" w:color="auto" w:fill="EEF2F8"/>
          </w:tcPr>
          <w:p>
            <w:pPr>
              <w:spacing w:before="40" w:after="40"/>
            </w:pPr>
            <w:r>
              <w:rPr>
                <w:rFonts w:ascii="Calibri" w:cs="Calibri" w:hAnsi="Calibri"/>
                <w:color w:val="000000"/>
                <w:sz w:val="16"/>
                <w:szCs w:val="16"/>
              </w:rPr>
              <w:t xml:space="preserve">Jalisco / Michoacan / Guanajuato, Mexico</w:t>
            </w:r>
          </w:p>
        </w:tc>
        <w:tc>
          <w:tcPr>
            <w:tcW w:type="dxa" w:w="2200"/>
            <w:shd w:val="clear" w:color="auto" w:fill="EEF2F8"/>
          </w:tcPr>
          <w:p>
            <w:pPr>
              <w:spacing w:before="40" w:after="40"/>
            </w:pPr>
            <w:r>
              <w:rPr>
                <w:rFonts w:ascii="Calibri" w:cs="Calibri" w:hAnsi="Calibri"/>
                <w:color w:val="000000"/>
                <w:sz w:val="16"/>
                <w:szCs w:val="16"/>
              </w:rPr>
              <w:t xml:space="preserve">CJNG (FTO/SDGT Feb 20 2025); Nemesio Oseguera Cervantes 'El Mencho' (Kingpin Act, SDN); Cartel de Santa Rosa de Lima (designated Dec 2025 for Pemex fuel theft)</w:t>
            </w:r>
          </w:p>
        </w:tc>
        <w:tc>
          <w:tcPr>
            <w:tcW w:type="dxa" w:w="2400"/>
            <w:shd w:val="clear" w:color="auto" w:fill="EEF2F8"/>
          </w:tcPr>
          <w:p>
            <w:pPr>
              <w:spacing w:before="40" w:after="40"/>
            </w:pPr>
            <w:r>
              <w:rPr>
                <w:rFonts w:ascii="Calibri" w:cs="Calibri" w:hAnsi="Calibri"/>
                <w:color w:val="000000"/>
                <w:sz w:val="16"/>
                <w:szCs w:val="16"/>
              </w:rPr>
              <w:t xml:space="preserve">Kingpin Act; 21 U.S.C. §960a; 18 U.S.C. §2339B; E.O. 13224</w:t>
            </w:r>
          </w:p>
        </w:tc>
        <w:tc>
          <w:tcPr>
            <w:tcW w:type="dxa" w:w="3600"/>
            <w:shd w:val="clear" w:color="auto" w:fill="EEF2F8"/>
          </w:tcPr>
          <w:p>
            <w:pPr>
              <w:spacing w:before="40" w:after="40"/>
            </w:pPr>
            <w:r>
              <w:rPr>
                <w:rFonts w:ascii="Calibri" w:cs="Calibri" w:hAnsi="Calibri"/>
                <w:color w:val="000000"/>
                <w:sz w:val="16"/>
                <w:szCs w:val="16"/>
              </w:rPr>
              <w:t xml:space="preserve">CJNG controls primary meth production and fentanyl mixing infrastructure in Mexico. Cartel de Santa Rosa de Lima designated Dec 2025 for Pemex pipeline theft (huachicol) — billions in illicit revenue, cross-border energy black market. El Mencho on SDN/Kingpin list with $10M US reward. Action: §2339B prosecutions for US-nexus CJNG material support including financial services, legal representation, and logistics; DEA Operation Phantom targeting CJNG chemical supply chains; OFAC secondary sanctions on Mexican financial institutions with documented CJNG account relationships.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FFFFFF"/>
          </w:tcPr>
          <w:p>
            <w:pPr>
              <w:spacing w:before="40" w:after="40"/>
            </w:pPr>
            <w:r>
              <w:rPr>
                <w:rFonts w:ascii="Calibri" w:cs="Calibri" w:hAnsi="Calibri"/>
                <w:b/>
                <w:bCs/>
                <w:color w:val="8B0000"/>
                <w:sz w:val="16"/>
                <w:szCs w:val="16"/>
              </w:rPr>
              <w:t xml:space="preserve">Sinaloa-Venezuela-Hezbollah Weapons-for-Cocaine Triangle</w:t>
            </w:r>
          </w:p>
        </w:tc>
        <w:tc>
          <w:tcPr>
            <w:tcW w:type="dxa" w:w="1800"/>
            <w:shd w:val="clear" w:color="auto" w:fill="FFFFFF"/>
          </w:tcPr>
          <w:p>
            <w:pPr>
              <w:spacing w:before="40" w:after="40"/>
            </w:pPr>
            <w:r>
              <w:rPr>
                <w:rFonts w:ascii="Calibri" w:cs="Calibri" w:hAnsi="Calibri"/>
                <w:color w:val="000000"/>
                <w:sz w:val="16"/>
                <w:szCs w:val="16"/>
              </w:rPr>
              <w:t xml:space="preserve">Venezuela / Mexico / Lebanon / Ireland</w:t>
            </w:r>
          </w:p>
        </w:tc>
        <w:tc>
          <w:tcPr>
            <w:tcW w:type="dxa" w:w="2200"/>
            <w:shd w:val="clear" w:color="auto" w:fill="FFFFFF"/>
          </w:tcPr>
          <w:p>
            <w:pPr>
              <w:spacing w:before="40" w:after="40"/>
            </w:pPr>
            <w:r>
              <w:rPr>
                <w:rFonts w:ascii="Calibri" w:cs="Calibri" w:hAnsi="Calibri"/>
                <w:color w:val="000000"/>
                <w:sz w:val="16"/>
                <w:szCs w:val="16"/>
              </w:rPr>
              <w:t xml:space="preserve">Sinaloa Cartel; Venezuelan Cartel of Suns network; Hezbollah ESO (External Security Organization); Kinahan cartel (Ireland)</w:t>
            </w:r>
          </w:p>
        </w:tc>
        <w:tc>
          <w:tcPr>
            <w:tcW w:type="dxa" w:w="2400"/>
            <w:shd w:val="clear" w:color="auto" w:fill="FFFFFF"/>
          </w:tcPr>
          <w:p>
            <w:pPr>
              <w:spacing w:before="40" w:after="40"/>
            </w:pPr>
            <w:r>
              <w:rPr>
                <w:rFonts w:ascii="Calibri" w:cs="Calibri" w:hAnsi="Calibri"/>
                <w:color w:val="000000"/>
                <w:sz w:val="16"/>
                <w:szCs w:val="16"/>
              </w:rPr>
              <w:t xml:space="preserve">18 U.S.C. §2339B; E.O. 13224; E.O. 13692 (Venezuela); 21 U.S.C. §960a (narco-terrorism)</w:t>
            </w:r>
          </w:p>
        </w:tc>
        <w:tc>
          <w:tcPr>
            <w:tcW w:type="dxa" w:w="3600"/>
            <w:shd w:val="clear" w:color="auto" w:fill="FFFFFF"/>
          </w:tcPr>
          <w:p>
            <w:pPr>
              <w:spacing w:before="40" w:after="40"/>
            </w:pPr>
            <w:r>
              <w:rPr>
                <w:rFonts w:ascii="Calibri" w:cs="Calibri" w:hAnsi="Calibri"/>
                <w:color w:val="000000"/>
                <w:sz w:val="16"/>
                <w:szCs w:val="16"/>
              </w:rPr>
              <w:t xml:space="preserve">Jul 2025 Irish court confirmed Hezbollah organized cocaine shipment from Venezuela via Kinahan cartel. US DOJ (Shea/Berman) documented Hamas/Hezbollah weapons-for-cocaine agreements with Sinaloa/FARC/Venezuelan officials — anti-tank rocket launchers supplied in exchange for cocaine. Adel el Zabayar assessed as primary Venezuela-Middle East militia nexus. All three parties now FTO/SDGT-designated. Action: SDNY prosecution theory for US-nexus portions of weapons-for-cocaine triangle under 21 U.S.C. §960a narco-terrorism statute; coordinate with DEA/FBI on Hezbollah-Sinaloa-Venezuela financial flows; target el Zabayar and Irish Kinahan network under E.O. 13224.</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bl>
    <w:p>
      <w:pPr>
        <w:spacing w:before="60" w:after="60"/>
      </w:pPr>
      <w:r>
        <w:rPr>
          <w:rFonts w:ascii="Calibri" w:cs="Calibri" w:hAnsi="Calibri"/>
          <w:color w:val="000000"/>
          <w:sz w:val="18"/>
          <w:szCs w:val="18"/>
        </w:rPr>
        <w:t xml:space="preserve"/>
      </w:r>
    </w:p>
    <w:p>
      <w:pPr>
        <w:spacing w:before="60" w:after="60"/>
      </w:pPr>
      <w:r>
        <w:rPr>
          <w:rFonts w:ascii="Calibri" w:cs="Calibri" w:hAnsi="Calibri"/>
          <w:color w:val="000000"/>
          <w:sz w:val="18"/>
          <w:szCs w:val="18"/>
        </w:rPr>
        <w:t xml:space="preserve">Sections XXII-XXVIII added March 2026. Covers: Hezbollah (Lebanon exchange house network, West Africa diamond circuit, Venezuela crypto/gold, Captagon, Iran pipeline); Hamas/PIJ (Istanbul Jabarin portfolio, Qatar NGO network, Gaza crypto layer, IRGC-QF transfers); DPRK (Lazarus Group Bybit hack, IT worker fraud, Chinese front companies, Russia arms exchange); Iran IRGC-QF (MODAFL/HESA UAV procurement, shadow fleet, petrochemical evasion, Venezuela weapons trade); Venezuela (post-Maduro PDVSA shadow fleet, Tren de Aragua FTO enforcement, CLAP corruption, Cartel de los Soles patronage network); Cuba GAESA (military enterprise network, SST redesignation, Hezbollah transit); Sinaloa/CJNG (FTO §2339B material support architecture, PRC precursor supply chain, TBML, crypto laundering, Venezuela-Hezbollah weapons-for-cocaine triangle).</w:t>
      </w:r>
    </w:p>
    <w:p>
      <w:r>
        <w:br w:type="page"/>
      </w:r>
    </w:p>
    <w:p>
      <w:pPr>
        <w:spacing w:before="240" w:after="120"/>
      </w:pPr>
      <w:r>
        <w:rPr>
          <w:rFonts w:ascii="Calibri" w:cs="Calibri" w:hAnsi="Calibri"/>
          <w:b/>
          <w:bCs/>
          <w:color w:val="1C2B4A"/>
          <w:sz w:val="30"/>
          <w:szCs w:val="30"/>
        </w:rPr>
        <w:t xml:space="preserve">XXIX. Ansarallah (Houthis) — Iranian Oil Revenue, UAE/Oman Front Companies, PRC Procurement, and Crypto Network</w:t>
      </w:r>
    </w:p>
    <w:p>
      <w:pPr>
        <w:spacing w:before="60" w:after="60"/>
      </w:pPr>
      <w:r>
        <w:rPr>
          <w:rFonts w:ascii="Calibri" w:cs="Calibri" w:hAnsi="Calibri"/>
          <w:color w:val="000000"/>
          <w:sz w:val="18"/>
          <w:szCs w:val="18"/>
        </w:rPr>
        <w:t xml:space="preserve">Ansarallah was designated SDGT (Feb 16 2024) and FTO (Mar 5 2025) under E.O. 13224. The group generates over $2 billion annually from illicit oil sales — primarily Iranian oil sold via the al-Jamal network to Chinese teapot refineries on Shandong's coast. UAE-based front companies serve as the primary financial and logistics intermediary layer. PRC-based suppliers (Shenzhen Boyu, Shenzhen Jinghon, Shenzhen Rion) provide dual-use components for Houthi missile and UAV production. Russia-based actors (Hushang and Sohrab Ghairat, designated Apr 2 2025) facilitated weapons and stolen Ukrainian grain procurement. As of Jan 16 2026 (OFAC's largest Houthi sanctions action to date — 21 individuals/entities), the network spans Yemen, Oman, UAE, China, Marshall Islands, and Russia. Sa'id al-Jamal (IRGC-QF linked) remains the central financial architect; five crypto wallets designated. Viktor Bout (US-convicted arms dealer) attempted aircraft purchase contact via Barash Aviation established early 2025. Chainalysis documented al-Jamal network cash-out of &gt;$200M through mainstream exchanges including Turkey-based platforms connected to Iran-born money launderer Hasan Jafari.</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400"/>
        <w:gridCol w:w="4800"/>
      </w:tblGrid>
      <w:tr>
        <w:tc>
          <w:tcPr>
            <w:tcW w:type="dxa" w:w="2000"/>
            <w:shd w:val="clear" w:color="auto" w:fill="1C2B4A"/>
          </w:tcPr>
          <w:p>
            <w:pPr>
              <w:jc w:val="center"/>
            </w:pPr>
            <w:r>
              <w:rPr>
                <w:rFonts w:ascii="Calibri" w:cs="Calibri" w:hAnsi="Calibri"/>
                <w:b/>
                <w:bCs/>
                <w:color w:val="FFFFFF"/>
                <w:sz w:val="16"/>
                <w:szCs w:val="16"/>
              </w:rPr>
              <w:t xml:space="preserve">NODE</w:t>
            </w:r>
          </w:p>
        </w:tc>
        <w:tc>
          <w:tcPr>
            <w:tcW w:type="dxa" w:w="1800"/>
            <w:shd w:val="clear" w:color="auto" w:fill="1C2B4A"/>
          </w:tcPr>
          <w:p>
            <w:pPr>
              <w:jc w:val="center"/>
            </w:pPr>
            <w:r>
              <w:rPr>
                <w:rFonts w:ascii="Calibri" w:cs="Calibri" w:hAnsi="Calibri"/>
                <w:b/>
                <w:bCs/>
                <w:color w:val="FFFFFF"/>
                <w:sz w:val="16"/>
                <w:szCs w:val="16"/>
              </w:rPr>
              <w:t xml:space="preserve">LOCATION</w:t>
            </w:r>
          </w:p>
        </w:tc>
        <w:tc>
          <w:tcPr>
            <w:tcW w:type="dxa" w:w="2200"/>
            <w:shd w:val="clear" w:color="auto" w:fill="1C2B4A"/>
          </w:tcPr>
          <w:p>
            <w:pPr>
              <w:jc w:val="center"/>
            </w:pPr>
            <w:r>
              <w:rPr>
                <w:rFonts w:ascii="Calibri" w:cs="Calibri" w:hAnsi="Calibri"/>
                <w:b/>
                <w:bCs/>
                <w:color w:val="FFFFFF"/>
                <w:sz w:val="16"/>
                <w:szCs w:val="16"/>
              </w:rPr>
              <w:t xml:space="preserve">OPERATOR / STRUCTURE</w:t>
            </w:r>
          </w:p>
        </w:tc>
        <w:tc>
          <w:tcPr>
            <w:tcW w:type="dxa" w:w="2400"/>
            <w:shd w:val="clear" w:color="auto" w:fill="1C2B4A"/>
          </w:tcPr>
          <w:p>
            <w:pPr>
              <w:jc w:val="center"/>
            </w:pPr>
            <w:r>
              <w:rPr>
                <w:rFonts w:ascii="Calibri" w:cs="Calibri" w:hAnsi="Calibri"/>
                <w:b/>
                <w:bCs/>
                <w:color w:val="FFFFFF"/>
                <w:sz w:val="16"/>
                <w:szCs w:val="16"/>
              </w:rPr>
              <w:t xml:space="preserve">LEGAL AUTHORITY</w:t>
            </w:r>
          </w:p>
        </w:tc>
        <w:tc>
          <w:tcPr>
            <w:tcW w:type="dxa" w:w="3600"/>
            <w:shd w:val="clear" w:color="auto" w:fill="1C2B4A"/>
          </w:tcPr>
          <w:p>
            <w:pPr>
              <w:jc w:val="center"/>
            </w:pPr>
            <w:r>
              <w:rPr>
                <w:rFonts w:ascii="Calibri" w:cs="Calibri" w:hAnsi="Calibri"/>
                <w:b/>
                <w:bCs/>
                <w:color w:val="FFFFFF"/>
                <w:sz w:val="16"/>
                <w:szCs w:val="16"/>
              </w:rPr>
              <w:t xml:space="preserve">ENFORCEMENT THEORY AND ACTION</w:t>
            </w:r>
          </w:p>
        </w:tc>
        <w:tc>
          <w:tcPr>
            <w:tcW w:type="dxa" w:w="1200"/>
            <w:shd w:val="clear" w:color="auto" w:fill="1C2B4A"/>
          </w:tcPr>
          <w:p>
            <w:pPr>
              <w:jc w:val="center"/>
            </w:pPr>
            <w:r>
              <w:rPr>
                <w:rFonts w:ascii="Calibri" w:cs="Calibri" w:hAnsi="Calibri"/>
                <w:b/>
                <w:bCs/>
                <w:color w:val="FFFFFF"/>
                <w:sz w:val="16"/>
                <w:szCs w:val="16"/>
              </w:rPr>
              <w:t xml:space="preserve">STATUS</w:t>
            </w:r>
          </w:p>
        </w:tc>
      </w:tr>
      <w:tr>
        <w:tc>
          <w:tcPr>
            <w:tcW w:type="dxa" w:w="2000"/>
            <w:shd w:val="clear" w:color="auto" w:fill="EEF2F8"/>
          </w:tcPr>
          <w:p>
            <w:pPr>
              <w:spacing w:before="40" w:after="40"/>
            </w:pPr>
            <w:r>
              <w:rPr>
                <w:rFonts w:ascii="Calibri" w:cs="Calibri" w:hAnsi="Calibri"/>
                <w:b/>
                <w:bCs/>
                <w:color w:val="8B0000"/>
                <w:sz w:val="16"/>
                <w:szCs w:val="16"/>
              </w:rPr>
              <w:t xml:space="preserve">Sa'id al-Jamal Network — Iranian Oil to Chinese Teapot Refineries</w:t>
            </w:r>
          </w:p>
        </w:tc>
        <w:tc>
          <w:tcPr>
            <w:tcW w:type="dxa" w:w="1800"/>
            <w:shd w:val="clear" w:color="auto" w:fill="EEF2F8"/>
          </w:tcPr>
          <w:p>
            <w:pPr>
              <w:spacing w:before="40" w:after="40"/>
            </w:pPr>
            <w:r>
              <w:rPr>
                <w:rFonts w:ascii="Calibri" w:cs="Calibri" w:hAnsi="Calibri"/>
                <w:color w:val="000000"/>
                <w:sz w:val="16"/>
                <w:szCs w:val="16"/>
              </w:rPr>
              <w:t xml:space="preserve">Yemen / UAE / China (Shandong)</w:t>
            </w:r>
          </w:p>
        </w:tc>
        <w:tc>
          <w:tcPr>
            <w:tcW w:type="dxa" w:w="2200"/>
            <w:shd w:val="clear" w:color="auto" w:fill="EEF2F8"/>
          </w:tcPr>
          <w:p>
            <w:pPr>
              <w:spacing w:before="40" w:after="40"/>
            </w:pPr>
            <w:r>
              <w:rPr>
                <w:rFonts w:ascii="Calibri" w:cs="Calibri" w:hAnsi="Calibri"/>
                <w:color w:val="000000"/>
                <w:sz w:val="16"/>
                <w:szCs w:val="16"/>
              </w:rPr>
              <w:t xml:space="preserve">Sa'id al-Jamal (designated IRGC-QF linked); Adeema Oil FZC (Dubai, designated Jan 2026); Arkan Mars Petroleum DMCC (Dubai, designated); Chinese teapot refineries</w:t>
            </w:r>
          </w:p>
        </w:tc>
        <w:tc>
          <w:tcPr>
            <w:tcW w:type="dxa" w:w="2400"/>
            <w:shd w:val="clear" w:color="auto" w:fill="EEF2F8"/>
          </w:tcPr>
          <w:p>
            <w:pPr>
              <w:spacing w:before="40" w:after="40"/>
            </w:pPr>
            <w:r>
              <w:rPr>
                <w:rFonts w:ascii="Calibri" w:cs="Calibri" w:hAnsi="Calibri"/>
                <w:color w:val="000000"/>
                <w:sz w:val="16"/>
                <w:szCs w:val="16"/>
              </w:rPr>
              <w:t xml:space="preserve">E.O. 13224; IFCA §104(c); CISADA</w:t>
            </w:r>
          </w:p>
        </w:tc>
        <w:tc>
          <w:tcPr>
            <w:tcW w:type="dxa" w:w="3600"/>
            <w:shd w:val="clear" w:color="auto" w:fill="EEF2F8"/>
          </w:tcPr>
          <w:p>
            <w:pPr>
              <w:spacing w:before="40" w:after="40"/>
            </w:pPr>
            <w:r>
              <w:rPr>
                <w:rFonts w:ascii="Calibri" w:cs="Calibri" w:hAnsi="Calibri"/>
                <w:color w:val="000000"/>
                <w:sz w:val="16"/>
                <w:szCs w:val="16"/>
              </w:rPr>
              <w:t xml:space="preserve">Al-Jamal runs Iranian oil-to-Houthi revenue scheme generating ~$2B/yr. Iranian government provides free monthly oil shipment plus sales via Dubai front companies. Shandong teapot refineries receive sanctioned Iranian crude — CISADA §104 correspondent account prohibition applies to Chinese banks financing these purchases. Mar 2025 OFAC sanctioned Chinese teapot refinery in this network. Action: Continue teapot refinery SDN designations; CISADA §104 informal pressure on Chinese banks; Chainalysis cluster analysis on al-Jamal crypto wallets (5 addresses designated) for fresh address identification.</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FFFFFF"/>
          </w:tcPr>
          <w:p>
            <w:pPr>
              <w:spacing w:before="40" w:after="40"/>
            </w:pPr>
            <w:r>
              <w:rPr>
                <w:rFonts w:ascii="Calibri" w:cs="Calibri" w:hAnsi="Calibri"/>
                <w:b/>
                <w:bCs/>
                <w:color w:val="1C2B4A"/>
                <w:sz w:val="16"/>
                <w:szCs w:val="16"/>
              </w:rPr>
              <w:t xml:space="preserve">UAE Front Company Network — Petroleum and Weapons Financing</w:t>
            </w:r>
          </w:p>
        </w:tc>
        <w:tc>
          <w:tcPr>
            <w:tcW w:type="dxa" w:w="1800"/>
            <w:shd w:val="clear" w:color="auto" w:fill="FFFFFF"/>
          </w:tcPr>
          <w:p>
            <w:pPr>
              <w:spacing w:before="40" w:after="40"/>
            </w:pPr>
            <w:r>
              <w:rPr>
                <w:rFonts w:ascii="Calibri" w:cs="Calibri" w:hAnsi="Calibri"/>
                <w:color w:val="000000"/>
                <w:sz w:val="16"/>
                <w:szCs w:val="16"/>
              </w:rPr>
              <w:t xml:space="preserve">Dubai / Fujairah, UAE</w:t>
            </w:r>
          </w:p>
        </w:tc>
        <w:tc>
          <w:tcPr>
            <w:tcW w:type="dxa" w:w="2200"/>
            <w:shd w:val="clear" w:color="auto" w:fill="FFFFFF"/>
          </w:tcPr>
          <w:p>
            <w:pPr>
              <w:spacing w:before="40" w:after="40"/>
            </w:pPr>
            <w:r>
              <w:rPr>
                <w:rFonts w:ascii="Calibri" w:cs="Calibri" w:hAnsi="Calibri"/>
                <w:color w:val="000000"/>
                <w:sz w:val="16"/>
                <w:szCs w:val="16"/>
              </w:rPr>
              <w:t xml:space="preserve">Adeema Oil FZC; Arkan Mars Petroleum DMCC; Alsaa Petroleum and Shipping FZC; Tyba Ship Management DMCC (Muhammad Al-Sunaydar, designated Jul 22 2025)</w:t>
            </w:r>
          </w:p>
        </w:tc>
        <w:tc>
          <w:tcPr>
            <w:tcW w:type="dxa" w:w="2400"/>
            <w:shd w:val="clear" w:color="auto" w:fill="FFFFFF"/>
          </w:tcPr>
          <w:p>
            <w:pPr>
              <w:spacing w:before="40" w:after="40"/>
            </w:pPr>
            <w:r>
              <w:rPr>
                <w:rFonts w:ascii="Calibri" w:cs="Calibri" w:hAnsi="Calibri"/>
                <w:color w:val="000000"/>
                <w:sz w:val="16"/>
                <w:szCs w:val="16"/>
              </w:rPr>
              <w:t xml:space="preserve">E.O. 13224; HIFPA; CAATSA §226 (UAE FFI exposure)</w:t>
            </w:r>
          </w:p>
        </w:tc>
        <w:tc>
          <w:tcPr>
            <w:tcW w:type="dxa" w:w="3600"/>
            <w:shd w:val="clear" w:color="auto" w:fill="FFFFFF"/>
          </w:tcPr>
          <w:p>
            <w:pPr>
              <w:spacing w:before="40" w:after="40"/>
            </w:pPr>
            <w:r>
              <w:rPr>
                <w:rFonts w:ascii="Calibri" w:cs="Calibri" w:hAnsi="Calibri"/>
                <w:color w:val="000000"/>
                <w:sz w:val="16"/>
                <w:szCs w:val="16"/>
              </w:rPr>
              <w:t xml:space="preserve">UAE-based front companies manage Houthi petroleum sales, ship management, and financial services. Al-Sunaydar coordinates Houthi airline acquisition (Barash Aviation, Sama Airline) and attempted Viktor Bout aircraft purchase contact early 2025. Action: CAATSA §226 informal pressure on Emirates NBD and Abu Dhabi Commercial Bank if they service designated Houthi front company accounts; Helms-Burton-adjacent theory inapplicable here but UAE FATF compliance leverage applies; coordinate with UAEFIU (UAE Financial Intelligence Unit) on al-Sunaydar network.</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EEF2F8"/>
          </w:tcPr>
          <w:p>
            <w:pPr>
              <w:spacing w:before="40" w:after="40"/>
            </w:pPr>
            <w:r>
              <w:rPr>
                <w:rFonts w:ascii="Calibri" w:cs="Calibri" w:hAnsi="Calibri"/>
                <w:b/>
                <w:bCs/>
                <w:color w:val="8B4500"/>
                <w:sz w:val="16"/>
                <w:szCs w:val="16"/>
              </w:rPr>
              <w:t xml:space="preserve">Oman Border Corridor — Weapons Smuggling and Financial Transit</w:t>
            </w:r>
          </w:p>
        </w:tc>
        <w:tc>
          <w:tcPr>
            <w:tcW w:type="dxa" w:w="1800"/>
            <w:shd w:val="clear" w:color="auto" w:fill="EEF2F8"/>
          </w:tcPr>
          <w:p>
            <w:pPr>
              <w:spacing w:before="40" w:after="40"/>
            </w:pPr>
            <w:r>
              <w:rPr>
                <w:rFonts w:ascii="Calibri" w:cs="Calibri" w:hAnsi="Calibri"/>
                <w:color w:val="000000"/>
                <w:sz w:val="16"/>
                <w:szCs w:val="16"/>
              </w:rPr>
              <w:t xml:space="preserve">Salalah / Al-Mazyunah, Dhofar Governorate, Oman</w:t>
            </w:r>
          </w:p>
        </w:tc>
        <w:tc>
          <w:tcPr>
            <w:tcW w:type="dxa" w:w="2200"/>
            <w:shd w:val="clear" w:color="auto" w:fill="EEF2F8"/>
          </w:tcPr>
          <w:p>
            <w:pPr>
              <w:spacing w:before="40" w:after="40"/>
            </w:pPr>
            <w:r>
              <w:rPr>
                <w:rFonts w:ascii="Calibri" w:cs="Calibri" w:hAnsi="Calibri"/>
                <w:color w:val="000000"/>
                <w:sz w:val="16"/>
                <w:szCs w:val="16"/>
              </w:rPr>
              <w:t xml:space="preserve">Rabya for Trading FZC (Al-Mazyunah, designated Jan 2026 — concealed Kornet missiles); Al-Jabri General Trading and Investment Co (Salalah, designated Mar 5 2025); Alagri/Almarwani operatives (Muscat, designated)</w:t>
            </w:r>
          </w:p>
        </w:tc>
        <w:tc>
          <w:tcPr>
            <w:tcW w:type="dxa" w:w="2400"/>
            <w:shd w:val="clear" w:color="auto" w:fill="EEF2F8"/>
          </w:tcPr>
          <w:p>
            <w:pPr>
              <w:spacing w:before="40" w:after="40"/>
            </w:pPr>
            <w:r>
              <w:rPr>
                <w:rFonts w:ascii="Calibri" w:cs="Calibri" w:hAnsi="Calibri"/>
                <w:color w:val="000000"/>
                <w:sz w:val="16"/>
                <w:szCs w:val="16"/>
              </w:rPr>
              <w:t xml:space="preserve">E.O. 13224; secondary sanctions per E.O. 13224 §1(b)</w:t>
            </w:r>
          </w:p>
        </w:tc>
        <w:tc>
          <w:tcPr>
            <w:tcW w:type="dxa" w:w="3600"/>
            <w:shd w:val="clear" w:color="auto" w:fill="EEF2F8"/>
          </w:tcPr>
          <w:p>
            <w:pPr>
              <w:spacing w:before="40" w:after="40"/>
            </w:pPr>
            <w:r>
              <w:rPr>
                <w:rFonts w:ascii="Calibri" w:cs="Calibri" w:hAnsi="Calibri"/>
                <w:color w:val="000000"/>
                <w:sz w:val="16"/>
                <w:szCs w:val="16"/>
              </w:rPr>
              <w:t xml:space="preserve">Oman's border with Yemen is the primary weapons smuggling route — Rabya for Trading designated for concealing Kornet anti-tank missiles. Mar 2025 Yemeni authorities intercepted 800 Chinese drone propellers at Omani border. Oman's political neutrality creates enforcement gap. Action: State Department diplomatic engagement with Muscat on border control; OFAC SDN additions for each identified Omani transit company; coordinate with UK OFSI (UK has designated Oman-based Houthi facilitators concurrently).</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FFFFFF"/>
          </w:tcPr>
          <w:p>
            <w:pPr>
              <w:spacing w:before="40" w:after="40"/>
            </w:pPr>
            <w:r>
              <w:rPr>
                <w:rFonts w:ascii="Calibri" w:cs="Calibri" w:hAnsi="Calibri"/>
                <w:b/>
                <w:bCs/>
                <w:color w:val="8B4500"/>
                <w:sz w:val="16"/>
                <w:szCs w:val="16"/>
              </w:rPr>
              <w:t xml:space="preserve">PRC Dual-Use Procurement Network — Missiles and UAVs</w:t>
            </w:r>
          </w:p>
        </w:tc>
        <w:tc>
          <w:tcPr>
            <w:tcW w:type="dxa" w:w="1800"/>
            <w:shd w:val="clear" w:color="auto" w:fill="FFFFFF"/>
          </w:tcPr>
          <w:p>
            <w:pPr>
              <w:spacing w:before="40" w:after="40"/>
            </w:pPr>
            <w:r>
              <w:rPr>
                <w:rFonts w:ascii="Calibri" w:cs="Calibri" w:hAnsi="Calibri"/>
                <w:color w:val="000000"/>
                <w:sz w:val="16"/>
                <w:szCs w:val="16"/>
              </w:rPr>
              <w:t xml:space="preserve">Shenzhen / Guangdong, China</w:t>
            </w:r>
          </w:p>
        </w:tc>
        <w:tc>
          <w:tcPr>
            <w:tcW w:type="dxa" w:w="2200"/>
            <w:shd w:val="clear" w:color="auto" w:fill="FFFFFF"/>
          </w:tcPr>
          <w:p>
            <w:pPr>
              <w:spacing w:before="40" w:after="40"/>
            </w:pPr>
            <w:r>
              <w:rPr>
                <w:rFonts w:ascii="Calibri" w:cs="Calibri" w:hAnsi="Calibri"/>
                <w:color w:val="000000"/>
                <w:sz w:val="16"/>
                <w:szCs w:val="16"/>
              </w:rPr>
              <w:t xml:space="preserve">Shenzhen Boyu Imports and Exports Co. (designated Oct 2 2024); Shenzhen Jinghon Electronics (designated); Shenzhen Rion Technology Co. (designated)</w:t>
            </w:r>
          </w:p>
        </w:tc>
        <w:tc>
          <w:tcPr>
            <w:tcW w:type="dxa" w:w="2400"/>
            <w:shd w:val="clear" w:color="auto" w:fill="FFFFFF"/>
          </w:tcPr>
          <w:p>
            <w:pPr>
              <w:spacing w:before="40" w:after="40"/>
            </w:pPr>
            <w:r>
              <w:rPr>
                <w:rFonts w:ascii="Calibri" w:cs="Calibri" w:hAnsi="Calibri"/>
                <w:color w:val="000000"/>
                <w:sz w:val="16"/>
                <w:szCs w:val="16"/>
              </w:rPr>
              <w:t xml:space="preserve">E.O. 13224; EAR Entity List; E.O. 13224 §1(a)(iii)</w:t>
            </w:r>
          </w:p>
        </w:tc>
        <w:tc>
          <w:tcPr>
            <w:tcW w:type="dxa" w:w="3600"/>
            <w:shd w:val="clear" w:color="auto" w:fill="FFFFFF"/>
          </w:tcPr>
          <w:p>
            <w:pPr>
              <w:spacing w:before="40" w:after="40"/>
            </w:pPr>
            <w:r>
              <w:rPr>
                <w:rFonts w:ascii="Calibri" w:cs="Calibri" w:hAnsi="Calibri"/>
                <w:color w:val="000000"/>
                <w:sz w:val="16"/>
                <w:szCs w:val="16"/>
              </w:rPr>
              <w:t xml:space="preserve">PRC-based suppliers provide missile and UAV components enabling Houthi Red Sea attacks on commercial shipping. Shenzhen Boyu: multiple documented shipments of dual-use components for weapons production. All three firms designated under E.O. 13224. Action: EAR Entity List additions concurrent with OFAC designations; identify and designate successor PRC entities as Shenzhen network reconstitutes under new company names; BIS/OFAC simultaneous action protocol applies.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EEF2F8"/>
          </w:tcPr>
          <w:p>
            <w:pPr>
              <w:spacing w:before="40" w:after="40"/>
            </w:pPr>
            <w:r>
              <w:rPr>
                <w:rFonts w:ascii="Calibri" w:cs="Calibri" w:hAnsi="Calibri"/>
                <w:b/>
                <w:bCs/>
                <w:color w:val="8B4500"/>
                <w:sz w:val="16"/>
                <w:szCs w:val="16"/>
              </w:rPr>
              <w:t xml:space="preserve">Russia-Based Weapons and Grain Procurement (Ghairat Network)</w:t>
            </w:r>
          </w:p>
        </w:tc>
        <w:tc>
          <w:tcPr>
            <w:tcW w:type="dxa" w:w="1800"/>
            <w:shd w:val="clear" w:color="auto" w:fill="EEF2F8"/>
          </w:tcPr>
          <w:p>
            <w:pPr>
              <w:spacing w:before="40" w:after="40"/>
            </w:pPr>
            <w:r>
              <w:rPr>
                <w:rFonts w:ascii="Calibri" w:cs="Calibri" w:hAnsi="Calibri"/>
                <w:color w:val="000000"/>
                <w:sz w:val="16"/>
                <w:szCs w:val="16"/>
              </w:rPr>
              <w:t xml:space="preserve">Russia (distributed)</w:t>
            </w:r>
          </w:p>
        </w:tc>
        <w:tc>
          <w:tcPr>
            <w:tcW w:type="dxa" w:w="2200"/>
            <w:shd w:val="clear" w:color="auto" w:fill="EEF2F8"/>
          </w:tcPr>
          <w:p>
            <w:pPr>
              <w:spacing w:before="40" w:after="40"/>
            </w:pPr>
            <w:r>
              <w:rPr>
                <w:rFonts w:ascii="Calibri" w:cs="Calibri" w:hAnsi="Calibri"/>
                <w:color w:val="000000"/>
                <w:sz w:val="16"/>
                <w:szCs w:val="16"/>
              </w:rPr>
              <w:t xml:space="preserve">Hushang Ghairat (Russia-based Afghan national, designated Apr 2 2025); Sohrab Ghairat (designated Apr 2 2025); associated shipping companies</w:t>
            </w:r>
          </w:p>
        </w:tc>
        <w:tc>
          <w:tcPr>
            <w:tcW w:type="dxa" w:w="2400"/>
            <w:shd w:val="clear" w:color="auto" w:fill="EEF2F8"/>
          </w:tcPr>
          <w:p>
            <w:pPr>
              <w:spacing w:before="40" w:after="40"/>
            </w:pPr>
            <w:r>
              <w:rPr>
                <w:rFonts w:ascii="Calibri" w:cs="Calibri" w:hAnsi="Calibri"/>
                <w:color w:val="000000"/>
                <w:sz w:val="16"/>
                <w:szCs w:val="16"/>
              </w:rPr>
              <w:t xml:space="preserve">E.O. 13224; EO 14024 (Russia nexus)</w:t>
            </w:r>
          </w:p>
        </w:tc>
        <w:tc>
          <w:tcPr>
            <w:tcW w:type="dxa" w:w="3600"/>
            <w:shd w:val="clear" w:color="auto" w:fill="EEF2F8"/>
          </w:tcPr>
          <w:p>
            <w:pPr>
              <w:spacing w:before="40" w:after="40"/>
            </w:pPr>
            <w:r>
              <w:rPr>
                <w:rFonts w:ascii="Calibri" w:cs="Calibri" w:hAnsi="Calibri"/>
                <w:color w:val="000000"/>
                <w:sz w:val="16"/>
                <w:szCs w:val="16"/>
              </w:rPr>
              <w:t xml:space="preserve">Russia-based Afghan nationals facilitated Houthi weapons procurement and transport of stolen Ukrainian grain to Houthi territory. Eight crypto addresses designated Apr 2 2025 supporting weapons/commodities procurement. Russia-Houthi cooperation documented alongside DPRK-Russia and Iran-Russia alignment — converging threat actor network. Action: EO 14024 §1(a)(iii) designation of Russian entities providing material support to Houthi-designated persons; coordinate crypto wallet SDN additions with Chainalysis/TRM Labs monitoring of Ghairat network blockchain activity.</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FFFFFF"/>
          </w:tcPr>
          <w:p>
            <w:pPr>
              <w:spacing w:before="40" w:after="40"/>
            </w:pPr>
            <w:r>
              <w:rPr>
                <w:rFonts w:ascii="Calibri" w:cs="Calibri" w:hAnsi="Calibri"/>
                <w:b/>
                <w:bCs/>
                <w:color w:val="1C2B4A"/>
                <w:sz w:val="16"/>
                <w:szCs w:val="16"/>
              </w:rPr>
              <w:t xml:space="preserve">Houthi Crypto and Money Services Network (al-Jamal wallet cluster)</w:t>
            </w:r>
          </w:p>
        </w:tc>
        <w:tc>
          <w:tcPr>
            <w:tcW w:type="dxa" w:w="1800"/>
            <w:shd w:val="clear" w:color="auto" w:fill="FFFFFF"/>
          </w:tcPr>
          <w:p>
            <w:pPr>
              <w:spacing w:before="40" w:after="40"/>
            </w:pPr>
            <w:r>
              <w:rPr>
                <w:rFonts w:ascii="Calibri" w:cs="Calibri" w:hAnsi="Calibri"/>
                <w:color w:val="000000"/>
                <w:sz w:val="16"/>
                <w:szCs w:val="16"/>
              </w:rPr>
              <w:t xml:space="preserve">Yemen / Turkey / UAE / distributed</w:t>
            </w:r>
          </w:p>
        </w:tc>
        <w:tc>
          <w:tcPr>
            <w:tcW w:type="dxa" w:w="2200"/>
            <w:shd w:val="clear" w:color="auto" w:fill="FFFFFF"/>
          </w:tcPr>
          <w:p>
            <w:pPr>
              <w:spacing w:before="40" w:after="40"/>
            </w:pPr>
            <w:r>
              <w:rPr>
                <w:rFonts w:ascii="Calibri" w:cs="Calibri" w:hAnsi="Calibri"/>
                <w:color w:val="000000"/>
                <w:sz w:val="16"/>
                <w:szCs w:val="16"/>
              </w:rPr>
              <w:t xml:space="preserve">Sa'id al-Jamal (designated; 5 crypto wallets designated); Al-Ridhwan Exchange (Sana'a/Hudaydah, designated Jan 2026); Hasan Jafari (Turkey-based Iranian money launderer)</w:t>
            </w:r>
          </w:p>
        </w:tc>
        <w:tc>
          <w:tcPr>
            <w:tcW w:type="dxa" w:w="2400"/>
            <w:shd w:val="clear" w:color="auto" w:fill="FFFFFF"/>
          </w:tcPr>
          <w:p>
            <w:pPr>
              <w:spacing w:before="40" w:after="40"/>
            </w:pPr>
            <w:r>
              <w:rPr>
                <w:rFonts w:ascii="Calibri" w:cs="Calibri" w:hAnsi="Calibri"/>
                <w:color w:val="000000"/>
                <w:sz w:val="16"/>
                <w:szCs w:val="16"/>
              </w:rPr>
              <w:t xml:space="preserve">E.O. 13224; GENIUS Act §4(a)(5)(A); BSA</w:t>
            </w:r>
          </w:p>
        </w:tc>
        <w:tc>
          <w:tcPr>
            <w:tcW w:type="dxa" w:w="3600"/>
            <w:shd w:val="clear" w:color="auto" w:fill="FFFFFF"/>
          </w:tcPr>
          <w:p>
            <w:pPr>
              <w:spacing w:before="40" w:after="40"/>
            </w:pPr>
            <w:r>
              <w:rPr>
                <w:rFonts w:ascii="Calibri" w:cs="Calibri" w:hAnsi="Calibri"/>
                <w:color w:val="000000"/>
                <w:sz w:val="16"/>
                <w:szCs w:val="16"/>
              </w:rPr>
              <w:t xml:space="preserve">Al-Jamal crypto network cashed out &gt;$200M through mainstream exchanges including Turkey-based platforms. Al-Ridhwan Exchange designated for financing weapons purchases. Garantex (sanctioned) used in Houthi flows before Mar 2025 shutdown. Action: GENIUS Act BSA mandate requires all permitted stablecoin issuers to screen al-Jamal designated wallet cluster; CAATSA §226 on Turkish correspondent banks processing Jafari-linked transfers; continuous blockchain address addition to SDN list as new al-Jamal wallet clusters are identified.</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XXX. Wagner Group / Africa Corps — African Gold Operations, Sudan Conflict Revenue, and Kremlin Proxy Finance</w:t>
      </w:r>
    </w:p>
    <w:p>
      <w:pPr>
        <w:spacing w:before="60" w:after="60"/>
      </w:pPr>
      <w:r>
        <w:rPr>
          <w:rFonts w:ascii="Calibri" w:cs="Calibri" w:hAnsi="Calibri"/>
          <w:color w:val="000000"/>
          <w:sz w:val="18"/>
          <w:szCs w:val="18"/>
        </w:rPr>
        <w:t xml:space="preserve">The Wagner Group (designated under E.O. 14024 as significant transnational criminal organization Jan 26 2023; redesignated same day; also designated E.O. 13581 as amended by E.O. 13863) has been restructured into Africa Corps under direct Russian Ministry of Defense control since late 2023. Wagner announced withdrawal from Mali in June 2025; Africa Corps remains present. Wagner/Africa Corps has generated over $2.5 billion in illicit revenue from African gold operations since Russia's full-scale Ukraine invasion, routed primarily through the UAE. Key operations: Sudan (Meroe Gold — $1.9B+ extracted, designated; supplies SAMs to RSF); CAR (gold and diamond mining concessions via Lobaye Invest/Midas Resources, designated); Mali ($200M+ in combat service payments from junta). HARM Act 2.0 (H.R. 7415) pending in Congress to designate Africa Corps specifically. Trump administration lifted sanctions on three Malian officials Feb 27 2026 as part of reengagement — creating an enforcement tension between Mali political reengagement and continued Africa Corps presence.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400"/>
        <w:gridCol w:w="4800"/>
      </w:tblGrid>
      <w:tr>
        <w:tc>
          <w:tcPr>
            <w:tcW w:type="dxa" w:w="2000"/>
            <w:shd w:val="clear" w:color="auto" w:fill="1C2B4A"/>
          </w:tcPr>
          <w:p>
            <w:pPr>
              <w:jc w:val="center"/>
            </w:pPr>
            <w:r>
              <w:rPr>
                <w:rFonts w:ascii="Calibri" w:cs="Calibri" w:hAnsi="Calibri"/>
                <w:b/>
                <w:bCs/>
                <w:color w:val="FFFFFF"/>
                <w:sz w:val="16"/>
                <w:szCs w:val="16"/>
              </w:rPr>
              <w:t xml:space="preserve">NODE</w:t>
            </w:r>
          </w:p>
        </w:tc>
        <w:tc>
          <w:tcPr>
            <w:tcW w:type="dxa" w:w="1800"/>
            <w:shd w:val="clear" w:color="auto" w:fill="1C2B4A"/>
          </w:tcPr>
          <w:p>
            <w:pPr>
              <w:jc w:val="center"/>
            </w:pPr>
            <w:r>
              <w:rPr>
                <w:rFonts w:ascii="Calibri" w:cs="Calibri" w:hAnsi="Calibri"/>
                <w:b/>
                <w:bCs/>
                <w:color w:val="FFFFFF"/>
                <w:sz w:val="16"/>
                <w:szCs w:val="16"/>
              </w:rPr>
              <w:t xml:space="preserve">LOCATION</w:t>
            </w:r>
          </w:p>
        </w:tc>
        <w:tc>
          <w:tcPr>
            <w:tcW w:type="dxa" w:w="2200"/>
            <w:shd w:val="clear" w:color="auto" w:fill="1C2B4A"/>
          </w:tcPr>
          <w:p>
            <w:pPr>
              <w:jc w:val="center"/>
            </w:pPr>
            <w:r>
              <w:rPr>
                <w:rFonts w:ascii="Calibri" w:cs="Calibri" w:hAnsi="Calibri"/>
                <w:b/>
                <w:bCs/>
                <w:color w:val="FFFFFF"/>
                <w:sz w:val="16"/>
                <w:szCs w:val="16"/>
              </w:rPr>
              <w:t xml:space="preserve">OPERATOR / STRUCTURE</w:t>
            </w:r>
          </w:p>
        </w:tc>
        <w:tc>
          <w:tcPr>
            <w:tcW w:type="dxa" w:w="2400"/>
            <w:shd w:val="clear" w:color="auto" w:fill="1C2B4A"/>
          </w:tcPr>
          <w:p>
            <w:pPr>
              <w:jc w:val="center"/>
            </w:pPr>
            <w:r>
              <w:rPr>
                <w:rFonts w:ascii="Calibri" w:cs="Calibri" w:hAnsi="Calibri"/>
                <w:b/>
                <w:bCs/>
                <w:color w:val="FFFFFF"/>
                <w:sz w:val="16"/>
                <w:szCs w:val="16"/>
              </w:rPr>
              <w:t xml:space="preserve">LEGAL AUTHORITY</w:t>
            </w:r>
          </w:p>
        </w:tc>
        <w:tc>
          <w:tcPr>
            <w:tcW w:type="dxa" w:w="3600"/>
            <w:shd w:val="clear" w:color="auto" w:fill="1C2B4A"/>
          </w:tcPr>
          <w:p>
            <w:pPr>
              <w:jc w:val="center"/>
            </w:pPr>
            <w:r>
              <w:rPr>
                <w:rFonts w:ascii="Calibri" w:cs="Calibri" w:hAnsi="Calibri"/>
                <w:b/>
                <w:bCs/>
                <w:color w:val="FFFFFF"/>
                <w:sz w:val="16"/>
                <w:szCs w:val="16"/>
              </w:rPr>
              <w:t xml:space="preserve">ENFORCEMENT THEORY AND ACTION</w:t>
            </w:r>
          </w:p>
        </w:tc>
        <w:tc>
          <w:tcPr>
            <w:tcW w:type="dxa" w:w="1200"/>
            <w:shd w:val="clear" w:color="auto" w:fill="1C2B4A"/>
          </w:tcPr>
          <w:p>
            <w:pPr>
              <w:jc w:val="center"/>
            </w:pPr>
            <w:r>
              <w:rPr>
                <w:rFonts w:ascii="Calibri" w:cs="Calibri" w:hAnsi="Calibri"/>
                <w:b/>
                <w:bCs/>
                <w:color w:val="FFFFFF"/>
                <w:sz w:val="16"/>
                <w:szCs w:val="16"/>
              </w:rPr>
              <w:t xml:space="preserve">STATUS</w:t>
            </w:r>
          </w:p>
        </w:tc>
      </w:tr>
      <w:tr>
        <w:tc>
          <w:tcPr>
            <w:tcW w:type="dxa" w:w="2000"/>
            <w:shd w:val="clear" w:color="auto" w:fill="EEF2F8"/>
          </w:tcPr>
          <w:p>
            <w:pPr>
              <w:spacing w:before="40" w:after="40"/>
            </w:pPr>
            <w:r>
              <w:rPr>
                <w:rFonts w:ascii="Calibri" w:cs="Calibri" w:hAnsi="Calibri"/>
                <w:b/>
                <w:bCs/>
                <w:color w:val="8B0000"/>
                <w:sz w:val="16"/>
                <w:szCs w:val="16"/>
              </w:rPr>
              <w:t xml:space="preserve">Meroe Gold / Sudan Gold Operations (RSF support)</w:t>
            </w:r>
          </w:p>
        </w:tc>
        <w:tc>
          <w:tcPr>
            <w:tcW w:type="dxa" w:w="1800"/>
            <w:shd w:val="clear" w:color="auto" w:fill="EEF2F8"/>
          </w:tcPr>
          <w:p>
            <w:pPr>
              <w:spacing w:before="40" w:after="40"/>
            </w:pPr>
            <w:r>
              <w:rPr>
                <w:rFonts w:ascii="Calibri" w:cs="Calibri" w:hAnsi="Calibri"/>
                <w:color w:val="000000"/>
                <w:sz w:val="16"/>
                <w:szCs w:val="16"/>
              </w:rPr>
              <w:t xml:space="preserve">North Sudan / UAE (export routing)</w:t>
            </w:r>
          </w:p>
        </w:tc>
        <w:tc>
          <w:tcPr>
            <w:tcW w:type="dxa" w:w="2200"/>
            <w:shd w:val="clear" w:color="auto" w:fill="EEF2F8"/>
          </w:tcPr>
          <w:p>
            <w:pPr>
              <w:spacing w:before="40" w:after="40"/>
            </w:pPr>
            <w:r>
              <w:rPr>
                <w:rFonts w:ascii="Calibri" w:cs="Calibri" w:hAnsi="Calibri"/>
                <w:color w:val="000000"/>
                <w:sz w:val="16"/>
                <w:szCs w:val="16"/>
              </w:rPr>
              <w:t xml:space="preserve">Meroe Gold (M Invest subsidiary, designated Jul 2020); M Invest LLC (Prigozhin-linked, designated); RSF (Rapid Support Forces) — Wagner SAM supply recipient</w:t>
            </w:r>
          </w:p>
        </w:tc>
        <w:tc>
          <w:tcPr>
            <w:tcW w:type="dxa" w:w="2400"/>
            <w:shd w:val="clear" w:color="auto" w:fill="EEF2F8"/>
          </w:tcPr>
          <w:p>
            <w:pPr>
              <w:spacing w:before="40" w:after="40"/>
            </w:pPr>
            <w:r>
              <w:rPr>
                <w:rFonts w:ascii="Calibri" w:cs="Calibri" w:hAnsi="Calibri"/>
                <w:color w:val="000000"/>
                <w:sz w:val="16"/>
                <w:szCs w:val="16"/>
              </w:rPr>
              <w:t xml:space="preserve">E.O. 14024; E.O. 13581 (transnational criminal organization); EO 14098 (Sudan)</w:t>
            </w:r>
          </w:p>
        </w:tc>
        <w:tc>
          <w:tcPr>
            <w:tcW w:type="dxa" w:w="3600"/>
            <w:shd w:val="clear" w:color="auto" w:fill="EEF2F8"/>
          </w:tcPr>
          <w:p>
            <w:pPr>
              <w:spacing w:before="40" w:after="40"/>
            </w:pPr>
            <w:r>
              <w:rPr>
                <w:rFonts w:ascii="Calibri" w:cs="Calibri" w:hAnsi="Calibri"/>
                <w:color w:val="000000"/>
                <w:sz w:val="16"/>
                <w:szCs w:val="16"/>
              </w:rPr>
              <w:t xml:space="preserve">Wagner/Africa Corps extracted $1.9B+ in Sudanese gold. Meroe Gold designated Jul 2020; M Invest designated. Supplies SAMs to RSF fighting Sudan's army — prolonging conflict and protecting mining access. Gold smuggled to UAE: world's top importer of undeclared African artisanal gold. Action: E.O. 14098 Sudan sanctions on RSF commanders receiving Wagner weapons; UAE AML pressure on gold import/refining firms handling Wagner-origin Sudanese gold; OFAC SDN designation of Africa Corps financial infrastructure replacing Meroe Gold.</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FFFFFF"/>
          </w:tcPr>
          <w:p>
            <w:pPr>
              <w:spacing w:before="40" w:after="40"/>
            </w:pPr>
            <w:r>
              <w:rPr>
                <w:rFonts w:ascii="Calibri" w:cs="Calibri" w:hAnsi="Calibri"/>
                <w:b/>
                <w:bCs/>
                <w:color w:val="8B0000"/>
                <w:sz w:val="16"/>
                <w:szCs w:val="16"/>
              </w:rPr>
              <w:t xml:space="preserve">CAR Gold and Diamond Mining Network (Lobaye Invest / Midas)</w:t>
            </w:r>
          </w:p>
        </w:tc>
        <w:tc>
          <w:tcPr>
            <w:tcW w:type="dxa" w:w="1800"/>
            <w:shd w:val="clear" w:color="auto" w:fill="FFFFFF"/>
          </w:tcPr>
          <w:p>
            <w:pPr>
              <w:spacing w:before="40" w:after="40"/>
            </w:pPr>
            <w:r>
              <w:rPr>
                <w:rFonts w:ascii="Calibri" w:cs="Calibri" w:hAnsi="Calibri"/>
                <w:color w:val="000000"/>
                <w:sz w:val="16"/>
                <w:szCs w:val="16"/>
              </w:rPr>
              <w:t xml:space="preserve">Central African Republic / UAE / Russia</w:t>
            </w:r>
          </w:p>
        </w:tc>
        <w:tc>
          <w:tcPr>
            <w:tcW w:type="dxa" w:w="2200"/>
            <w:shd w:val="clear" w:color="auto" w:fill="FFFFFF"/>
          </w:tcPr>
          <w:p>
            <w:pPr>
              <w:spacing w:before="40" w:after="40"/>
            </w:pPr>
            <w:r>
              <w:rPr>
                <w:rFonts w:ascii="Calibri" w:cs="Calibri" w:hAnsi="Calibri"/>
                <w:color w:val="000000"/>
                <w:sz w:val="16"/>
                <w:szCs w:val="16"/>
              </w:rPr>
              <w:t xml:space="preserve">Lobaye Invest SARLU (CAR, Prigozhin-linked, designated); Midas Resources SARLU (CAR, designated); Diamville SAU (CAR, designated); OOO DM (Russia, designated)</w:t>
            </w:r>
          </w:p>
        </w:tc>
        <w:tc>
          <w:tcPr>
            <w:tcW w:type="dxa" w:w="2400"/>
            <w:shd w:val="clear" w:color="auto" w:fill="FFFFFF"/>
          </w:tcPr>
          <w:p>
            <w:pPr>
              <w:spacing w:before="40" w:after="40"/>
            </w:pPr>
            <w:r>
              <w:rPr>
                <w:rFonts w:ascii="Calibri" w:cs="Calibri" w:hAnsi="Calibri"/>
                <w:color w:val="000000"/>
                <w:sz w:val="16"/>
                <w:szCs w:val="16"/>
              </w:rPr>
              <w:t xml:space="preserve">E.O. 14024; E.O. 13581</w:t>
            </w:r>
          </w:p>
        </w:tc>
        <w:tc>
          <w:tcPr>
            <w:tcW w:type="dxa" w:w="3600"/>
            <w:shd w:val="clear" w:color="auto" w:fill="FFFFFF"/>
          </w:tcPr>
          <w:p>
            <w:pPr>
              <w:spacing w:before="40" w:after="40"/>
            </w:pPr>
            <w:r>
              <w:rPr>
                <w:rFonts w:ascii="Calibri" w:cs="Calibri" w:hAnsi="Calibri"/>
                <w:color w:val="000000"/>
                <w:sz w:val="16"/>
                <w:szCs w:val="16"/>
              </w:rPr>
              <w:t xml:space="preserve">Wagner controls significant CAR gold and diamond mining concessions via Lobaye Invest and Midas Resources — violently displacing artisanal miners. Diamville and OOO DM designated Jun 2023 for illicit gold dealings. Wagner revenue from CAR operations funds Ukraine combat operations and Africa expansion. Action: Continue E.O. 14024 designations of new corporate vehicles replacing designated CAR entities; Belgium/Antwerp diamond trade AML pressure for Wagner-origin CAR diamonds; coordinate with CAR government (limited effectiveness given political dependency on Wagner/Africa Corps protection).</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r>
      <w:tr>
        <w:tc>
          <w:tcPr>
            <w:tcW w:type="dxa" w:w="2000"/>
            <w:shd w:val="clear" w:color="auto" w:fill="EEF2F8"/>
          </w:tcPr>
          <w:p>
            <w:pPr>
              <w:spacing w:before="40" w:after="40"/>
            </w:pPr>
            <w:r>
              <w:rPr>
                <w:rFonts w:ascii="Calibri" w:cs="Calibri" w:hAnsi="Calibri"/>
                <w:b/>
                <w:bCs/>
                <w:color w:val="8B4500"/>
                <w:sz w:val="16"/>
                <w:szCs w:val="16"/>
              </w:rPr>
              <w:t xml:space="preserve">Africa Corps — Mali Successor Operations</w:t>
            </w:r>
          </w:p>
        </w:tc>
        <w:tc>
          <w:tcPr>
            <w:tcW w:type="dxa" w:w="1800"/>
            <w:shd w:val="clear" w:color="auto" w:fill="EEF2F8"/>
          </w:tcPr>
          <w:p>
            <w:pPr>
              <w:spacing w:before="40" w:after="40"/>
            </w:pPr>
            <w:r>
              <w:rPr>
                <w:rFonts w:ascii="Calibri" w:cs="Calibri" w:hAnsi="Calibri"/>
                <w:color w:val="000000"/>
                <w:sz w:val="16"/>
                <w:szCs w:val="16"/>
              </w:rPr>
              <w:t xml:space="preserve">Mali (Bamako / northern regions)</w:t>
            </w:r>
          </w:p>
        </w:tc>
        <w:tc>
          <w:tcPr>
            <w:tcW w:type="dxa" w:w="2200"/>
            <w:shd w:val="clear" w:color="auto" w:fill="EEF2F8"/>
          </w:tcPr>
          <w:p>
            <w:pPr>
              <w:spacing w:before="40" w:after="40"/>
            </w:pPr>
            <w:r>
              <w:rPr>
                <w:rFonts w:ascii="Calibri" w:cs="Calibri" w:hAnsi="Calibri"/>
                <w:color w:val="000000"/>
                <w:sz w:val="16"/>
                <w:szCs w:val="16"/>
              </w:rPr>
              <w:t xml:space="preserve">Africa Corps (Russian MoD-controlled, Wagner successor); Ivan Maslov (head of Wagner Mali, designated May 2023); Africa Politology (influence operations entity, designated)</w:t>
            </w:r>
          </w:p>
        </w:tc>
        <w:tc>
          <w:tcPr>
            <w:tcW w:type="dxa" w:w="2400"/>
            <w:shd w:val="clear" w:color="auto" w:fill="EEF2F8"/>
          </w:tcPr>
          <w:p>
            <w:pPr>
              <w:spacing w:before="40" w:after="40"/>
            </w:pPr>
            <w:r>
              <w:rPr>
                <w:rFonts w:ascii="Calibri" w:cs="Calibri" w:hAnsi="Calibri"/>
                <w:color w:val="000000"/>
                <w:sz w:val="16"/>
                <w:szCs w:val="16"/>
              </w:rPr>
              <w:t xml:space="preserve">E.O. 14024; HARM Act 2.0 (H.R. 7415, pending)</w:t>
            </w:r>
          </w:p>
        </w:tc>
        <w:tc>
          <w:tcPr>
            <w:tcW w:type="dxa" w:w="3600"/>
            <w:shd w:val="clear" w:color="auto" w:fill="EEF2F8"/>
          </w:tcPr>
          <w:p>
            <w:pPr>
              <w:spacing w:before="40" w:after="40"/>
            </w:pPr>
            <w:r>
              <w:rPr>
                <w:rFonts w:ascii="Calibri" w:cs="Calibri" w:hAnsi="Calibri"/>
                <w:color w:val="000000"/>
                <w:sz w:val="16"/>
                <w:szCs w:val="16"/>
              </w:rPr>
              <w:t xml:space="preserve">Wagner withdrew from Mali Jun 2025; Africa Corps remains. Trump administration lifted sanctions on three Malian officials Feb 27 2026 — tension with ongoing Africa Corps presence. Mali junta paid Wagner ~$200M for combat services. Africa Politology runs influence operations discrediting UN/press. HARM Act 2.0 pending in Congress for specific Africa Corps designation. Action: Monitor HARM Act 2.0 passage for new designation authority; maintain E.O. 14024 designations on Africa Corps financial infrastructure; do not extend sanctions relief to officials with continuing Africa Corps coordination roles.</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r>
      <w:tr>
        <w:tc>
          <w:tcPr>
            <w:tcW w:type="dxa" w:w="2000"/>
            <w:shd w:val="clear" w:color="auto" w:fill="FFFFFF"/>
          </w:tcPr>
          <w:p>
            <w:pPr>
              <w:spacing w:before="40" w:after="40"/>
            </w:pPr>
            <w:r>
              <w:rPr>
                <w:rFonts w:ascii="Calibri" w:cs="Calibri" w:hAnsi="Calibri"/>
                <w:b/>
                <w:bCs/>
                <w:color w:val="8B4500"/>
                <w:sz w:val="16"/>
                <w:szCs w:val="16"/>
              </w:rPr>
              <w:t xml:space="preserve">UAE Gold Export and Laundering Hub</w:t>
            </w:r>
          </w:p>
        </w:tc>
        <w:tc>
          <w:tcPr>
            <w:tcW w:type="dxa" w:w="1800"/>
            <w:shd w:val="clear" w:color="auto" w:fill="FFFFFF"/>
          </w:tcPr>
          <w:p>
            <w:pPr>
              <w:spacing w:before="40" w:after="40"/>
            </w:pPr>
            <w:r>
              <w:rPr>
                <w:rFonts w:ascii="Calibri" w:cs="Calibri" w:hAnsi="Calibri"/>
                <w:color w:val="000000"/>
                <w:sz w:val="16"/>
                <w:szCs w:val="16"/>
              </w:rPr>
              <w:t xml:space="preserve">Dubai / Abu Dhabi, UAE</w:t>
            </w:r>
          </w:p>
        </w:tc>
        <w:tc>
          <w:tcPr>
            <w:tcW w:type="dxa" w:w="2200"/>
            <w:shd w:val="clear" w:color="auto" w:fill="FFFFFF"/>
          </w:tcPr>
          <w:p>
            <w:pPr>
              <w:spacing w:before="40" w:after="40"/>
            </w:pPr>
            <w:r>
              <w:rPr>
                <w:rFonts w:ascii="Calibri" w:cs="Calibri" w:hAnsi="Calibri"/>
                <w:color w:val="000000"/>
                <w:sz w:val="16"/>
                <w:szCs w:val="16"/>
              </w:rPr>
              <w:t xml:space="preserve">Multiple UAE-registered gold refineries and trading companies; undisclosed Wagner-linked trading entities</w:t>
            </w:r>
          </w:p>
        </w:tc>
        <w:tc>
          <w:tcPr>
            <w:tcW w:type="dxa" w:w="2400"/>
            <w:shd w:val="clear" w:color="auto" w:fill="FFFFFF"/>
          </w:tcPr>
          <w:p>
            <w:pPr>
              <w:spacing w:before="40" w:after="40"/>
            </w:pPr>
            <w:r>
              <w:rPr>
                <w:rFonts w:ascii="Calibri" w:cs="Calibri" w:hAnsi="Calibri"/>
                <w:color w:val="000000"/>
                <w:sz w:val="16"/>
                <w:szCs w:val="16"/>
              </w:rPr>
              <w:t xml:space="preserve">E.O. 14024 (Russia nexus); UAE FATF obligations; E.O. 13581</w:t>
            </w:r>
          </w:p>
        </w:tc>
        <w:tc>
          <w:tcPr>
            <w:tcW w:type="dxa" w:w="3600"/>
            <w:shd w:val="clear" w:color="auto" w:fill="FFFFFF"/>
          </w:tcPr>
          <w:p>
            <w:pPr>
              <w:spacing w:before="40" w:after="40"/>
            </w:pPr>
            <w:r>
              <w:rPr>
                <w:rFonts w:ascii="Calibri" w:cs="Calibri" w:hAnsi="Calibri"/>
                <w:color w:val="000000"/>
                <w:sz w:val="16"/>
                <w:szCs w:val="16"/>
              </w:rPr>
              <w:t xml:space="preserve">UAE is the primary export destination for Wagner-origin African gold from CAR, Sudan, and Mali — $2.5B+ since 2022. UAE's lax AML regulation on artisanal gold trade creates primary enforcement gap. UAE FATF white-list status creates leverage. Action: OFAC advisory to UAE financial institutions identifying Wagner-origin gold trade as high-risk; bilateral AML engagement with UAEFIU requiring enhanced due diligence on African gold imports from CAR/Sudan/Mali; FATF mutual evaluation follow-up on UAE gold sector AML compliance.</w:t>
            </w:r>
          </w:p>
        </w:tc>
        <w:tc>
          <w:tcPr>
            <w:tcW w:type="dxa" w:w="12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r>
      <w:tr>
        <w:tc>
          <w:tcPr>
            <w:tcW w:type="dxa" w:w="2000"/>
            <w:shd w:val="clear" w:color="auto" w:fill="EEF2F8"/>
          </w:tcPr>
          <w:p>
            <w:pPr>
              <w:spacing w:before="40" w:after="40"/>
            </w:pPr>
            <w:r>
              <w:rPr>
                <w:rFonts w:ascii="Calibri" w:cs="Calibri" w:hAnsi="Calibri"/>
                <w:b/>
                <w:bCs/>
                <w:color w:val="8B4500"/>
                <w:sz w:val="16"/>
                <w:szCs w:val="16"/>
              </w:rPr>
              <w:t xml:space="preserve">Russia-Africa Arms and Technology Transfer (Africa Corps MoD Supply Chain)</w:t>
            </w:r>
          </w:p>
        </w:tc>
        <w:tc>
          <w:tcPr>
            <w:tcW w:type="dxa" w:w="1800"/>
            <w:shd w:val="clear" w:color="auto" w:fill="EEF2F8"/>
          </w:tcPr>
          <w:p>
            <w:pPr>
              <w:spacing w:before="40" w:after="40"/>
            </w:pPr>
            <w:r>
              <w:rPr>
                <w:rFonts w:ascii="Calibri" w:cs="Calibri" w:hAnsi="Calibri"/>
                <w:color w:val="000000"/>
                <w:sz w:val="16"/>
                <w:szCs w:val="16"/>
              </w:rPr>
              <w:t xml:space="preserve">Moscow / distributed Africa</w:t>
            </w:r>
          </w:p>
        </w:tc>
        <w:tc>
          <w:tcPr>
            <w:tcW w:type="dxa" w:w="2200"/>
            <w:shd w:val="clear" w:color="auto" w:fill="EEF2F8"/>
          </w:tcPr>
          <w:p>
            <w:pPr>
              <w:spacing w:before="40" w:after="40"/>
            </w:pPr>
            <w:r>
              <w:rPr>
                <w:rFonts w:ascii="Calibri" w:cs="Calibri" w:hAnsi="Calibri"/>
                <w:color w:val="000000"/>
                <w:sz w:val="16"/>
                <w:szCs w:val="16"/>
              </w:rPr>
              <w:t xml:space="preserve">Russian Ministry of Defense (Africa Corps direct controller); Russian state arms exporters; Rosoboronexport (designated)</w:t>
            </w:r>
          </w:p>
        </w:tc>
        <w:tc>
          <w:tcPr>
            <w:tcW w:type="dxa" w:w="2400"/>
            <w:shd w:val="clear" w:color="auto" w:fill="EEF2F8"/>
          </w:tcPr>
          <w:p>
            <w:pPr>
              <w:spacing w:before="40" w:after="40"/>
            </w:pPr>
            <w:r>
              <w:rPr>
                <w:rFonts w:ascii="Calibri" w:cs="Calibri" w:hAnsi="Calibri"/>
                <w:color w:val="000000"/>
                <w:sz w:val="16"/>
                <w:szCs w:val="16"/>
              </w:rPr>
              <w:t xml:space="preserve">E.O. 14024; CAATSA §231; Arms Export Control Act</w:t>
            </w:r>
          </w:p>
        </w:tc>
        <w:tc>
          <w:tcPr>
            <w:tcW w:type="dxa" w:w="3600"/>
            <w:shd w:val="clear" w:color="auto" w:fill="EEF2F8"/>
          </w:tcPr>
          <w:p>
            <w:pPr>
              <w:spacing w:before="40" w:after="40"/>
            </w:pPr>
            <w:r>
              <w:rPr>
                <w:rFonts w:ascii="Calibri" w:cs="Calibri" w:hAnsi="Calibri"/>
                <w:color w:val="000000"/>
                <w:sz w:val="16"/>
                <w:szCs w:val="16"/>
              </w:rPr>
              <w:t xml:space="preserve">Africa Corps, unlike Wagner, is directly under Russian MoD — making Russian government arms transfers to Africa Corps subject to E.O. 14024 §1(a)(i) as Russian government property interests. Rosoboronexport is designated. Africa Corps arms deliveries to Sahel junta governments (CAR, Mali, Burkina Faso, Niger) constitute material support under E.O. 14024 §1(a)(iii) for those junta entities. Action: CAATSA §231 secondary sanctions on third-country entities facilitating significant arms transfers enabling Africa Corps operations; AECA restrictions on US arms to governments providing material support to Africa Corps.</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r>
      <w:tr>
        <w:tc>
          <w:tcPr>
            <w:tcW w:type="dxa" w:w="2000"/>
            <w:shd w:val="clear" w:color="auto" w:fill="FFFFFF"/>
          </w:tcPr>
          <w:p>
            <w:pPr>
              <w:spacing w:before="40" w:after="40"/>
            </w:pPr>
            <w:r>
              <w:rPr>
                <w:rFonts w:ascii="Calibri" w:cs="Calibri" w:hAnsi="Calibri"/>
                <w:b/>
                <w:bCs/>
                <w:color w:val="8B4500"/>
                <w:sz w:val="16"/>
                <w:szCs w:val="16"/>
              </w:rPr>
              <w:t xml:space="preserve">Sahel Mineral Revenue — Burkina Faso / Niger / Libya</w:t>
            </w:r>
          </w:p>
        </w:tc>
        <w:tc>
          <w:tcPr>
            <w:tcW w:type="dxa" w:w="1800"/>
            <w:shd w:val="clear" w:color="auto" w:fill="FFFFFF"/>
          </w:tcPr>
          <w:p>
            <w:pPr>
              <w:spacing w:before="40" w:after="40"/>
            </w:pPr>
            <w:r>
              <w:rPr>
                <w:rFonts w:ascii="Calibri" w:cs="Calibri" w:hAnsi="Calibri"/>
                <w:color w:val="000000"/>
                <w:sz w:val="16"/>
                <w:szCs w:val="16"/>
              </w:rPr>
              <w:t xml:space="preserve">Burkina Faso / Niger / Libya</w:t>
            </w:r>
          </w:p>
        </w:tc>
        <w:tc>
          <w:tcPr>
            <w:tcW w:type="dxa" w:w="2200"/>
            <w:shd w:val="clear" w:color="auto" w:fill="FFFFFF"/>
          </w:tcPr>
          <w:p>
            <w:pPr>
              <w:spacing w:before="40" w:after="40"/>
            </w:pPr>
            <w:r>
              <w:rPr>
                <w:rFonts w:ascii="Calibri" w:cs="Calibri" w:hAnsi="Calibri"/>
                <w:color w:val="000000"/>
                <w:sz w:val="16"/>
                <w:szCs w:val="16"/>
              </w:rPr>
              <w:t xml:space="preserve">Africa Corps / Wagner successor entities; Libyan LNA (Haftar forces, Wagner-supported); multiple undisclosed mining concession entities</w:t>
            </w:r>
          </w:p>
        </w:tc>
        <w:tc>
          <w:tcPr>
            <w:tcW w:type="dxa" w:w="2400"/>
            <w:shd w:val="clear" w:color="auto" w:fill="FFFFFF"/>
          </w:tcPr>
          <w:p>
            <w:pPr>
              <w:spacing w:before="40" w:after="40"/>
            </w:pPr>
            <w:r>
              <w:rPr>
                <w:rFonts w:ascii="Calibri" w:cs="Calibri" w:hAnsi="Calibri"/>
                <w:color w:val="000000"/>
                <w:sz w:val="16"/>
                <w:szCs w:val="16"/>
              </w:rPr>
              <w:t xml:space="preserve">E.O. 14024; E.O. 13726 (Libya); country-specific executive orders</w:t>
            </w:r>
          </w:p>
        </w:tc>
        <w:tc>
          <w:tcPr>
            <w:tcW w:type="dxa" w:w="3600"/>
            <w:shd w:val="clear" w:color="auto" w:fill="FFFFFF"/>
          </w:tcPr>
          <w:p>
            <w:pPr>
              <w:spacing w:before="40" w:after="40"/>
            </w:pPr>
            <w:r>
              <w:rPr>
                <w:rFonts w:ascii="Calibri" w:cs="Calibri" w:hAnsi="Calibri"/>
                <w:color w:val="000000"/>
                <w:sz w:val="16"/>
                <w:szCs w:val="16"/>
              </w:rPr>
              <w:t xml:space="preserve">Africa Corps expanding from Mali into Burkina Faso and Niger following 2023-2024 coups. Libya: Wagner supported Haftar's LNA; gold and oil revenue from Libyan operations. Mining concessions in Niger (uranium — strategically significant post-Nigerien junta French expulsion) being negotiated. Action: E.O. 14024 §1(a)(iii) designations of Africa Corps entities in each new Sahel country; monitor Niger uranium concession negotiations for Russia/Africa Corps involvement — creates EO 13382 (WMD/nuclear materials) nexus if uranium mining proceeds; OFAC advisory on Libyan entities facilitating Africa Corps mineral revenue extraction.</w:t>
            </w:r>
          </w:p>
        </w:tc>
        <w:tc>
          <w:tcPr>
            <w:tcW w:type="dxa" w:w="12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r>
    </w:tbl>
    <w:p>
      <w:pPr>
        <w:spacing w:before="60" w:after="60"/>
      </w:pPr>
      <w:r>
        <w:rPr>
          <w:rFonts w:ascii="Calibri" w:cs="Calibri" w:hAnsi="Calibri"/>
          <w:color w:val="000000"/>
          <w:sz w:val="18"/>
          <w:szCs w:val="18"/>
        </w:rPr>
        <w:t xml:space="preserve"/>
      </w:r>
    </w:p>
    <w:p>
      <w:pPr>
        <w:spacing w:before="60" w:after="60"/>
      </w:pPr>
      <w:r>
        <w:rPr>
          <w:rFonts w:ascii="Calibri" w:cs="Calibri" w:hAnsi="Calibri"/>
          <w:color w:val="000000"/>
          <w:sz w:val="18"/>
          <w:szCs w:val="18"/>
        </w:rPr>
        <w:t xml:space="preserve">Sections XXIX-XXX added March 2026. XXIX covers Ansarallah (Houthi) financial architecture: Sa'id al-Jamal Iranian oil-to-Chinese teapot refinery network ($2B+ annually), UAE front company layer (Adeema Oil, Arkan Mars, Tyba Ship Management), Oman border corridor (Rabya for Trading/Kornet missiles), PRC dual-use procurement (Shenzhen Boyu/Jinghon/Rion), Russia-based Ghairat weapons/grain network, and al-Jamal crypto cluster (5 designated addresses, $200M+ cash-out). XXX covers Wagner Group/Africa Corps: Meroe Gold Sudan operations ($1.9B+), CAR mining network (Lobaye Invest/Midas/Diamville), Africa Corps Mali successor operations (HARM Act 2.0 pending), UAE gold laundering hub, Russia MoD arms supply chain under E.O. 14024, and Sahel mineral revenue expansion including Niger uranium nexus.</w:t>
      </w:r>
    </w:p>
    <w:p>
      <w:r>
        <w:br w:type="page"/>
      </w:r>
    </w:p>
    <w:p>
      <w:pPr>
        <w:spacing w:before="240" w:after="120"/>
      </w:pPr>
      <w:r>
        <w:rPr>
          <w:rFonts w:ascii="Calibri" w:cs="Calibri" w:hAnsi="Calibri"/>
          <w:b/>
          <w:bCs/>
          <w:color w:val="1C2B4A"/>
          <w:sz w:val="30"/>
          <w:szCs w:val="30"/>
        </w:rPr>
        <w:t xml:space="preserve">XXXI. Key Persons Layer — Global Threat Actor Networks</w:t>
      </w:r>
    </w:p>
    <w:p>
      <w:pPr>
        <w:spacing w:before="60" w:after="60"/>
      </w:pPr>
      <w:r>
        <w:rPr>
          <w:rFonts w:ascii="Calibri" w:cs="Calibri" w:hAnsi="Calibri"/>
          <w:color w:val="000000"/>
          <w:sz w:val="18"/>
          <w:szCs w:val="18"/>
        </w:rPr>
        <w:t xml:space="preserve">This section extends the beneficial ownership and key persons analysis from Section XI (Russia-China infrastructure network) to cover principal individuals controlling or directing the threat actor networks in Sections XXII–XXX. As in Section XI, this layer converts the network register into a designation-ready targeting package by linking infrastructure and financial nodes to sanctionable individuals. US SDN, EU/UK designation status, and known offshore or organizational structures are shown. All status information reflects open-source data as of March 2026; verify against current OFAC SDN and EU consolidated lists before operational use.</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600"/>
        <w:gridCol w:w="1400"/>
        <w:gridCol w:w="1400"/>
        <w:gridCol w:w="2800"/>
      </w:tblGrid>
      <w:tr>
        <w:tc>
          <w:tcPr>
            <w:tcW w:type="dxa" w:w="2200"/>
            <w:shd w:val="clear" w:color="auto" w:fill="1C2B4A"/>
          </w:tcPr>
          <w:p>
            <w:pPr>
              <w:jc w:val="center"/>
            </w:pPr>
            <w:r>
              <w:rPr>
                <w:rFonts w:ascii="Calibri" w:cs="Calibri" w:hAnsi="Calibri"/>
                <w:b/>
                <w:bCs/>
                <w:color w:val="FFFFFF"/>
                <w:sz w:val="16"/>
                <w:szCs w:val="16"/>
              </w:rPr>
              <w:t xml:space="preserve">NAME</w:t>
            </w:r>
          </w:p>
        </w:tc>
        <w:tc>
          <w:tcPr>
            <w:tcW w:type="dxa" w:w="2000"/>
            <w:shd w:val="clear" w:color="auto" w:fill="1C2B4A"/>
          </w:tcPr>
          <w:p>
            <w:pPr>
              <w:jc w:val="center"/>
            </w:pPr>
            <w:r>
              <w:rPr>
                <w:rFonts w:ascii="Calibri" w:cs="Calibri" w:hAnsi="Calibri"/>
                <w:b/>
                <w:bCs/>
                <w:color w:val="FFFFFF"/>
                <w:sz w:val="16"/>
                <w:szCs w:val="16"/>
              </w:rPr>
              <w:t xml:space="preserve">ROLE / NETWORK</w:t>
            </w:r>
          </w:p>
        </w:tc>
        <w:tc>
          <w:tcPr>
            <w:tcW w:type="dxa" w:w="1800"/>
            <w:shd w:val="clear" w:color="auto" w:fill="1C2B4A"/>
          </w:tcPr>
          <w:p>
            <w:pPr>
              <w:jc w:val="center"/>
            </w:pPr>
            <w:r>
              <w:rPr>
                <w:rFonts w:ascii="Calibri" w:cs="Calibri" w:hAnsi="Calibri"/>
                <w:b/>
                <w:bCs/>
                <w:color w:val="FFFFFF"/>
                <w:sz w:val="16"/>
                <w:szCs w:val="16"/>
              </w:rPr>
              <w:t xml:space="preserve">US SDN</w:t>
            </w:r>
          </w:p>
        </w:tc>
        <w:tc>
          <w:tcPr>
            <w:tcW w:type="dxa" w:w="1600"/>
            <w:shd w:val="clear" w:color="auto" w:fill="1C2B4A"/>
          </w:tcPr>
          <w:p>
            <w:pPr>
              <w:jc w:val="center"/>
            </w:pPr>
            <w:r>
              <w:rPr>
                <w:rFonts w:ascii="Calibri" w:cs="Calibri" w:hAnsi="Calibri"/>
                <w:b/>
                <w:bCs/>
                <w:color w:val="FFFFFF"/>
                <w:sz w:val="16"/>
                <w:szCs w:val="16"/>
              </w:rPr>
              <w:t xml:space="preserve">EU/UK</w:t>
            </w:r>
          </w:p>
        </w:tc>
        <w:tc>
          <w:tcPr>
            <w:tcW w:type="dxa" w:w="1400"/>
            <w:shd w:val="clear" w:color="auto" w:fill="1C2B4A"/>
          </w:tcPr>
          <w:p>
            <w:pPr>
              <w:jc w:val="center"/>
            </w:pPr>
            <w:r>
              <w:rPr>
                <w:rFonts w:ascii="Calibri" w:cs="Calibri" w:hAnsi="Calibri"/>
                <w:b/>
                <w:bCs/>
                <w:color w:val="FFFFFF"/>
                <w:sz w:val="16"/>
                <w:szCs w:val="16"/>
              </w:rPr>
              <w:t xml:space="preserve">STATUS</w:t>
            </w:r>
          </w:p>
        </w:tc>
        <w:tc>
          <w:tcPr>
            <w:tcW w:type="dxa" w:w="1400"/>
            <w:shd w:val="clear" w:color="auto" w:fill="1C2B4A"/>
          </w:tcPr>
          <w:p>
            <w:pPr>
              <w:jc w:val="center"/>
            </w:pPr>
            <w:r>
              <w:rPr>
                <w:rFonts w:ascii="Calibri" w:cs="Calibri" w:hAnsi="Calibri"/>
                <w:b/>
                <w:bCs/>
                <w:color w:val="FFFFFF"/>
                <w:sz w:val="16"/>
                <w:szCs w:val="16"/>
              </w:rPr>
              <w:t xml:space="preserve">KNOWN STRUCTURE</w:t>
            </w:r>
          </w:p>
        </w:tc>
        <w:tc>
          <w:tcPr>
            <w:tcW w:type="dxa" w:w="2800"/>
            <w:shd w:val="clear" w:color="auto" w:fill="1C2B4A"/>
          </w:tcPr>
          <w:p>
            <w:pPr>
              <w:jc w:val="center"/>
            </w:pPr>
            <w:r>
              <w:rPr>
                <w:rFonts w:ascii="Calibri" w:cs="Calibri" w:hAnsi="Calibri"/>
                <w:b/>
                <w:bCs/>
                <w:color w:val="FFFFFF"/>
                <w:sz w:val="16"/>
                <w:szCs w:val="16"/>
              </w:rPr>
              <w:t xml:space="preserve">DESIGNATION NOTES</w:t>
            </w:r>
          </w:p>
        </w:tc>
      </w:tr>
      <w:tr>
        <w:tc>
          <w:tcPr>
            <w:tcW w:type="dxa" w:w="2200"/>
            <w:shd w:val="clear" w:color="auto" w:fill="EEF2F8"/>
          </w:tcPr>
          <w:p>
            <w:pPr>
              <w:spacing w:before="40" w:after="40"/>
            </w:pPr>
            <w:r>
              <w:rPr>
                <w:rFonts w:ascii="Calibri" w:cs="Calibri" w:hAnsi="Calibri"/>
                <w:b/>
                <w:bCs/>
                <w:color w:val="1C2B4A"/>
                <w:sz w:val="16"/>
                <w:szCs w:val="16"/>
              </w:rPr>
              <w:t xml:space="preserve">Hassan Nasrallah (deceased Sep 2024)</w:t>
            </w:r>
          </w:p>
        </w:tc>
        <w:tc>
          <w:tcPr>
            <w:tcW w:type="dxa" w:w="2000"/>
            <w:shd w:val="clear" w:color="auto" w:fill="EEF2F8"/>
          </w:tcPr>
          <w:p>
            <w:pPr>
              <w:spacing w:before="40" w:after="40"/>
            </w:pPr>
            <w:r>
              <w:rPr>
                <w:rFonts w:ascii="Calibri" w:cs="Calibri" w:hAnsi="Calibri"/>
                <w:color w:val="000000"/>
                <w:sz w:val="16"/>
                <w:szCs w:val="16"/>
              </w:rPr>
              <w:t xml:space="preserve">Secretary-General, Hezbollah (killed Israeli airstrike Sep 28 2024)</w:t>
            </w:r>
          </w:p>
        </w:tc>
        <w:tc>
          <w:tcPr>
            <w:tcW w:type="dxa" w:w="1800"/>
            <w:shd w:val="clear" w:color="auto" w:fill="EEF2F8"/>
          </w:tcPr>
          <w:p>
            <w:pPr>
              <w:spacing w:before="40" w:after="40"/>
            </w:pPr>
            <w:r>
              <w:rPr>
                <w:rFonts w:ascii="Calibri" w:cs="Calibri" w:hAnsi="Calibri"/>
                <w:b/>
                <w:bCs/>
                <w:color w:val="8B0000"/>
                <w:sz w:val="16"/>
                <w:szCs w:val="16"/>
              </w:rPr>
              <w:t xml:space="preserve">YES</w:t>
            </w:r>
          </w:p>
        </w:tc>
        <w:tc>
          <w:tcPr>
            <w:tcW w:type="dxa" w:w="1600"/>
            <w:shd w:val="clear" w:color="auto" w:fill="EEF2F8"/>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EEF2F8"/>
          </w:tcPr>
          <w:p>
            <w:pPr>
              <w:spacing w:before="40" w:after="40"/>
            </w:pPr>
            <w:r>
              <w:rPr>
                <w:rFonts w:ascii="Calibri" w:cs="Calibri" w:hAnsi="Calibri"/>
                <w:color w:val="000000"/>
                <w:sz w:val="16"/>
                <w:szCs w:val="16"/>
              </w:rPr>
              <w:t xml:space="preserve">Hezbollah organizational structure</w:t>
            </w:r>
          </w:p>
        </w:tc>
        <w:tc>
          <w:tcPr>
            <w:tcW w:type="dxa" w:w="2800"/>
            <w:shd w:val="clear" w:color="auto" w:fill="EEF2F8"/>
          </w:tcPr>
          <w:p>
            <w:pPr>
              <w:spacing w:before="40" w:after="40"/>
            </w:pPr>
            <w:r>
              <w:rPr>
                <w:rFonts w:ascii="Calibri" w:cs="Calibri" w:hAnsi="Calibri"/>
                <w:color w:val="000000"/>
                <w:sz w:val="16"/>
                <w:szCs w:val="16"/>
              </w:rPr>
              <w:t xml:space="preserve">US/EU/UK-designated. Deceased. Successor leadership structure dispersed across multiple individuals including Naim Qassem (new SG). Monitor for reconstitution of finance team under new leadership.</w:t>
            </w:r>
          </w:p>
        </w:tc>
      </w:tr>
      <w:tr>
        <w:tc>
          <w:tcPr>
            <w:tcW w:type="dxa" w:w="2200"/>
            <w:shd w:val="clear" w:color="auto" w:fill="FFFFFF"/>
          </w:tcPr>
          <w:p>
            <w:pPr>
              <w:spacing w:before="40" w:after="40"/>
            </w:pPr>
            <w:r>
              <w:rPr>
                <w:rFonts w:ascii="Calibri" w:cs="Calibri" w:hAnsi="Calibri"/>
                <w:b/>
                <w:bCs/>
                <w:color w:val="1C2B4A"/>
                <w:sz w:val="16"/>
                <w:szCs w:val="16"/>
              </w:rPr>
              <w:t xml:space="preserve">Ossama Jaber</w:t>
            </w:r>
          </w:p>
        </w:tc>
        <w:tc>
          <w:tcPr>
            <w:tcW w:type="dxa" w:w="2000"/>
            <w:shd w:val="clear" w:color="auto" w:fill="FFFFFF"/>
          </w:tcPr>
          <w:p>
            <w:pPr>
              <w:spacing w:before="40" w:after="40"/>
            </w:pPr>
            <w:r>
              <w:rPr>
                <w:rFonts w:ascii="Calibri" w:cs="Calibri" w:hAnsi="Calibri"/>
                <w:color w:val="000000"/>
                <w:sz w:val="16"/>
                <w:szCs w:val="16"/>
              </w:rPr>
              <w:t xml:space="preserve">Hezbollah finance team member; exchange house coordinator</w:t>
            </w:r>
          </w:p>
        </w:tc>
        <w:tc>
          <w:tcPr>
            <w:tcW w:type="dxa" w:w="1800"/>
            <w:shd w:val="clear" w:color="auto" w:fill="FFFFFF"/>
          </w:tcPr>
          <w:p>
            <w:pPr>
              <w:spacing w:before="40" w:after="40"/>
            </w:pPr>
            <w:r>
              <w:rPr>
                <w:rFonts w:ascii="Calibri" w:cs="Calibri" w:hAnsi="Calibri"/>
                <w:b/>
                <w:bCs/>
                <w:color w:val="8B0000"/>
                <w:sz w:val="16"/>
                <w:szCs w:val="16"/>
              </w:rPr>
              <w:t xml:space="preserve">YES</w:t>
            </w:r>
          </w:p>
        </w:tc>
        <w:tc>
          <w:tcPr>
            <w:tcW w:type="dxa" w:w="1600"/>
            <w:shd w:val="clear" w:color="auto" w:fill="FFFFFF"/>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FFFFFF"/>
          </w:tcPr>
          <w:p>
            <w:pPr>
              <w:spacing w:before="40" w:after="40"/>
            </w:pPr>
            <w:r>
              <w:rPr>
                <w:rFonts w:ascii="Calibri" w:cs="Calibri" w:hAnsi="Calibri"/>
                <w:color w:val="000000"/>
                <w:sz w:val="16"/>
                <w:szCs w:val="16"/>
              </w:rPr>
              <w:t xml:space="preserve">Lebanese exchange house network</w:t>
            </w:r>
          </w:p>
        </w:tc>
        <w:tc>
          <w:tcPr>
            <w:tcW w:type="dxa" w:w="2800"/>
            <w:shd w:val="clear" w:color="auto" w:fill="FFFFFF"/>
          </w:tcPr>
          <w:p>
            <w:pPr>
              <w:spacing w:before="40" w:after="40"/>
            </w:pPr>
            <w:r>
              <w:rPr>
                <w:rFonts w:ascii="Calibri" w:cs="Calibri" w:hAnsi="Calibri"/>
                <w:color w:val="000000"/>
                <w:sz w:val="16"/>
                <w:szCs w:val="16"/>
              </w:rPr>
              <w:t xml:space="preserve">Designated Nov 2025 for funneling tens of millions from Iran via Lebanese exchange houses. Direct enforcement action executed.</w:t>
            </w:r>
          </w:p>
        </w:tc>
      </w:tr>
      <w:tr>
        <w:tc>
          <w:tcPr>
            <w:tcW w:type="dxa" w:w="2200"/>
            <w:shd w:val="clear" w:color="auto" w:fill="EEF2F8"/>
          </w:tcPr>
          <w:p>
            <w:pPr>
              <w:spacing w:before="40" w:after="40"/>
            </w:pPr>
            <w:r>
              <w:rPr>
                <w:rFonts w:ascii="Calibri" w:cs="Calibri" w:hAnsi="Calibri"/>
                <w:b/>
                <w:bCs/>
                <w:color w:val="1C2B4A"/>
                <w:sz w:val="16"/>
                <w:szCs w:val="16"/>
              </w:rPr>
              <w:t xml:space="preserve">Ja'far Muhammad Qasir</w:t>
            </w:r>
          </w:p>
        </w:tc>
        <w:tc>
          <w:tcPr>
            <w:tcW w:type="dxa" w:w="2000"/>
            <w:shd w:val="clear" w:color="auto" w:fill="EEF2F8"/>
          </w:tcPr>
          <w:p>
            <w:pPr>
              <w:spacing w:before="40" w:after="40"/>
            </w:pPr>
            <w:r>
              <w:rPr>
                <w:rFonts w:ascii="Calibri" w:cs="Calibri" w:hAnsi="Calibri"/>
                <w:color w:val="000000"/>
                <w:sz w:val="16"/>
                <w:szCs w:val="16"/>
              </w:rPr>
              <w:t xml:space="preserve">Hezbollah finance team (successor to Muhammad Qasir)</w:t>
            </w:r>
          </w:p>
        </w:tc>
        <w:tc>
          <w:tcPr>
            <w:tcW w:type="dxa" w:w="1800"/>
            <w:shd w:val="clear" w:color="auto" w:fill="EEF2F8"/>
          </w:tcPr>
          <w:p>
            <w:pPr>
              <w:spacing w:before="40" w:after="40"/>
            </w:pPr>
            <w:r>
              <w:rPr>
                <w:rFonts w:ascii="Calibri" w:cs="Calibri" w:hAnsi="Calibri"/>
                <w:b/>
                <w:bCs/>
                <w:color w:val="8B0000"/>
                <w:sz w:val="16"/>
                <w:szCs w:val="16"/>
              </w:rPr>
              <w:t xml:space="preserve">YES</w:t>
            </w:r>
          </w:p>
        </w:tc>
        <w:tc>
          <w:tcPr>
            <w:tcW w:type="dxa" w:w="1600"/>
            <w:shd w:val="clear" w:color="auto" w:fill="EEF2F8"/>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EEF2F8"/>
          </w:tcPr>
          <w:p>
            <w:pPr>
              <w:spacing w:before="40" w:after="40"/>
            </w:pPr>
            <w:r>
              <w:rPr>
                <w:rFonts w:ascii="Calibri" w:cs="Calibri" w:hAnsi="Calibri"/>
                <w:color w:val="000000"/>
                <w:sz w:val="16"/>
                <w:szCs w:val="16"/>
              </w:rPr>
              <w:t xml:space="preserve">Lebanese commercial network</w:t>
            </w:r>
          </w:p>
        </w:tc>
        <w:tc>
          <w:tcPr>
            <w:tcW w:type="dxa" w:w="2800"/>
            <w:shd w:val="clear" w:color="auto" w:fill="EEF2F8"/>
          </w:tcPr>
          <w:p>
            <w:pPr>
              <w:spacing w:before="40" w:after="40"/>
            </w:pPr>
            <w:r>
              <w:rPr>
                <w:rFonts w:ascii="Calibri" w:cs="Calibri" w:hAnsi="Calibri"/>
                <w:color w:val="000000"/>
                <w:sz w:val="16"/>
                <w:szCs w:val="16"/>
              </w:rPr>
              <w:t xml:space="preserve">Designated Nov 2025. Son of designated Hezbollah finance chief Muhammad Qasir (killed Oct 2024). Coordinating metals/chemicals export from Iran with Samer Kasbar.</w:t>
            </w:r>
          </w:p>
        </w:tc>
      </w:tr>
      <w:tr>
        <w:tc>
          <w:tcPr>
            <w:tcW w:type="dxa" w:w="2200"/>
            <w:shd w:val="clear" w:color="auto" w:fill="FFFFFF"/>
          </w:tcPr>
          <w:p>
            <w:pPr>
              <w:spacing w:before="40" w:after="40"/>
            </w:pPr>
            <w:r>
              <w:rPr>
                <w:rFonts w:ascii="Calibri" w:cs="Calibri" w:hAnsi="Calibri"/>
                <w:b/>
                <w:bCs/>
                <w:color w:val="1C2B4A"/>
                <w:sz w:val="16"/>
                <w:szCs w:val="16"/>
              </w:rPr>
              <w:t xml:space="preserve">Samer Kasbar</w:t>
            </w:r>
          </w:p>
        </w:tc>
        <w:tc>
          <w:tcPr>
            <w:tcW w:type="dxa" w:w="2000"/>
            <w:shd w:val="clear" w:color="auto" w:fill="FFFFFF"/>
          </w:tcPr>
          <w:p>
            <w:pPr>
              <w:spacing w:before="40" w:after="40"/>
            </w:pPr>
            <w:r>
              <w:rPr>
                <w:rFonts w:ascii="Calibri" w:cs="Calibri" w:hAnsi="Calibri"/>
                <w:color w:val="000000"/>
                <w:sz w:val="16"/>
                <w:szCs w:val="16"/>
              </w:rPr>
              <w:t xml:space="preserve">Director, Hokoul SAL Offshore (Hezbollah front); finance team</w:t>
            </w:r>
          </w:p>
        </w:tc>
        <w:tc>
          <w:tcPr>
            <w:tcW w:type="dxa" w:w="1800"/>
            <w:shd w:val="clear" w:color="auto" w:fill="FFFFFF"/>
          </w:tcPr>
          <w:p>
            <w:pPr>
              <w:spacing w:before="40" w:after="40"/>
            </w:pPr>
            <w:r>
              <w:rPr>
                <w:rFonts w:ascii="Calibri" w:cs="Calibri" w:hAnsi="Calibri"/>
                <w:b/>
                <w:bCs/>
                <w:color w:val="8B0000"/>
                <w:sz w:val="16"/>
                <w:szCs w:val="16"/>
              </w:rPr>
              <w:t xml:space="preserve">YES</w:t>
            </w:r>
          </w:p>
        </w:tc>
        <w:tc>
          <w:tcPr>
            <w:tcW w:type="dxa" w:w="1600"/>
            <w:shd w:val="clear" w:color="auto" w:fill="FFFFFF"/>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FFFFFF"/>
          </w:tcPr>
          <w:p>
            <w:pPr>
              <w:spacing w:before="40" w:after="40"/>
            </w:pPr>
            <w:r>
              <w:rPr>
                <w:rFonts w:ascii="Calibri" w:cs="Calibri" w:hAnsi="Calibri"/>
                <w:color w:val="000000"/>
                <w:sz w:val="16"/>
                <w:szCs w:val="16"/>
              </w:rPr>
              <w:t xml:space="preserve">Hokoul SAL Offshore Company (Lebanon)</w:t>
            </w:r>
          </w:p>
        </w:tc>
        <w:tc>
          <w:tcPr>
            <w:tcW w:type="dxa" w:w="2800"/>
            <w:shd w:val="clear" w:color="auto" w:fill="FFFFFF"/>
          </w:tcPr>
          <w:p>
            <w:pPr>
              <w:spacing w:before="40" w:after="40"/>
            </w:pPr>
            <w:r>
              <w:rPr>
                <w:rFonts w:ascii="Calibri" w:cs="Calibri" w:hAnsi="Calibri"/>
                <w:color w:val="000000"/>
                <w:sz w:val="16"/>
                <w:szCs w:val="16"/>
              </w:rPr>
              <w:t xml:space="preserve">Designated Nov 2025. Regularly collaborates with Hezbollah finance team on business deals. Exports metals and chemicals from Iran.</w:t>
            </w:r>
          </w:p>
        </w:tc>
      </w:tr>
      <w:tr>
        <w:tc>
          <w:tcPr>
            <w:tcW w:type="dxa" w:w="2200"/>
            <w:shd w:val="clear" w:color="auto" w:fill="EEF2F8"/>
          </w:tcPr>
          <w:p>
            <w:pPr>
              <w:spacing w:before="40" w:after="40"/>
            </w:pPr>
            <w:r>
              <w:rPr>
                <w:rFonts w:ascii="Calibri" w:cs="Calibri" w:hAnsi="Calibri"/>
                <w:b/>
                <w:bCs/>
                <w:color w:val="1C2B4A"/>
                <w:sz w:val="16"/>
                <w:szCs w:val="16"/>
              </w:rPr>
              <w:t xml:space="preserve">Nazem Said Ahmad</w:t>
            </w:r>
          </w:p>
        </w:tc>
        <w:tc>
          <w:tcPr>
            <w:tcW w:type="dxa" w:w="2000"/>
            <w:shd w:val="clear" w:color="auto" w:fill="EEF2F8"/>
          </w:tcPr>
          <w:p>
            <w:pPr>
              <w:spacing w:before="40" w:after="40"/>
            </w:pPr>
            <w:r>
              <w:rPr>
                <w:rFonts w:ascii="Calibri" w:cs="Calibri" w:hAnsi="Calibri"/>
                <w:color w:val="000000"/>
                <w:sz w:val="16"/>
                <w:szCs w:val="16"/>
              </w:rPr>
              <w:t xml:space="preserve">Hezbollah diamond/gems/art financier; global network controller</w:t>
            </w:r>
          </w:p>
        </w:tc>
        <w:tc>
          <w:tcPr>
            <w:tcW w:type="dxa" w:w="1800"/>
            <w:shd w:val="clear" w:color="auto" w:fill="EEF2F8"/>
          </w:tcPr>
          <w:p>
            <w:pPr>
              <w:spacing w:before="40" w:after="40"/>
            </w:pPr>
            <w:r>
              <w:rPr>
                <w:rFonts w:ascii="Calibri" w:cs="Calibri" w:hAnsi="Calibri"/>
                <w:b/>
                <w:bCs/>
                <w:color w:val="8B0000"/>
                <w:sz w:val="16"/>
                <w:szCs w:val="16"/>
              </w:rPr>
              <w:t xml:space="preserve">YES</w:t>
            </w:r>
          </w:p>
        </w:tc>
        <w:tc>
          <w:tcPr>
            <w:tcW w:type="dxa" w:w="1600"/>
            <w:shd w:val="clear" w:color="auto" w:fill="EEF2F8"/>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EEF2F8"/>
          </w:tcPr>
          <w:p>
            <w:pPr>
              <w:spacing w:before="40" w:after="40"/>
            </w:pPr>
            <w:r>
              <w:rPr>
                <w:rFonts w:ascii="Calibri" w:cs="Calibri" w:hAnsi="Calibri"/>
                <w:color w:val="000000"/>
                <w:sz w:val="16"/>
                <w:szCs w:val="16"/>
              </w:rPr>
              <w:t xml:space="preserve">Global network: Lebanon, UAE, South Africa, Angola, DRC, HK, Belgium, UK</w:t>
            </w:r>
          </w:p>
        </w:tc>
        <w:tc>
          <w:tcPr>
            <w:tcW w:type="dxa" w:w="2800"/>
            <w:shd w:val="clear" w:color="auto" w:fill="EEF2F8"/>
          </w:tcPr>
          <w:p>
            <w:pPr>
              <w:spacing w:before="40" w:after="40"/>
            </w:pPr>
            <w:r>
              <w:rPr>
                <w:rFonts w:ascii="Calibri" w:cs="Calibri" w:hAnsi="Calibri"/>
                <w:color w:val="000000"/>
                <w:sz w:val="16"/>
                <w:szCs w:val="16"/>
              </w:rPr>
              <w:t xml:space="preserve">Designated Dec 2019. Apr 2023: 52 associated individuals and entities designated across 9 countries. Network facilitates luxury goods and cash movement for Hezbollah.</w:t>
            </w:r>
          </w:p>
        </w:tc>
      </w:tr>
      <w:tr>
        <w:tc>
          <w:tcPr>
            <w:tcW w:type="dxa" w:w="2200"/>
            <w:shd w:val="clear" w:color="auto" w:fill="FFFFFF"/>
          </w:tcPr>
          <w:p>
            <w:pPr>
              <w:spacing w:before="40" w:after="40"/>
            </w:pPr>
            <w:r>
              <w:rPr>
                <w:rFonts w:ascii="Calibri" w:cs="Calibri" w:hAnsi="Calibri"/>
                <w:b/>
                <w:bCs/>
                <w:color w:val="1C2B4A"/>
                <w:sz w:val="16"/>
                <w:szCs w:val="16"/>
              </w:rPr>
              <w:t xml:space="preserve">Zaher Jabarin</w:t>
            </w:r>
          </w:p>
        </w:tc>
        <w:tc>
          <w:tcPr>
            <w:tcW w:type="dxa" w:w="2000"/>
            <w:shd w:val="clear" w:color="auto" w:fill="FFFFFF"/>
          </w:tcPr>
          <w:p>
            <w:pPr>
              <w:spacing w:before="40" w:after="40"/>
            </w:pPr>
            <w:r>
              <w:rPr>
                <w:rFonts w:ascii="Calibri" w:cs="Calibri" w:hAnsi="Calibri"/>
                <w:color w:val="000000"/>
                <w:sz w:val="16"/>
                <w:szCs w:val="16"/>
              </w:rPr>
              <w:t xml:space="preserve">Hamas finance director; controls Istanbul investment portfolio</w:t>
            </w:r>
          </w:p>
        </w:tc>
        <w:tc>
          <w:tcPr>
            <w:tcW w:type="dxa" w:w="1800"/>
            <w:shd w:val="clear" w:color="auto" w:fill="FFFFFF"/>
          </w:tcPr>
          <w:p>
            <w:pPr>
              <w:spacing w:before="40" w:after="40"/>
            </w:pPr>
            <w:r>
              <w:rPr>
                <w:rFonts w:ascii="Calibri" w:cs="Calibri" w:hAnsi="Calibri"/>
                <w:b/>
                <w:bCs/>
                <w:color w:val="8B0000"/>
                <w:sz w:val="16"/>
                <w:szCs w:val="16"/>
              </w:rPr>
              <w:t xml:space="preserve">YES</w:t>
            </w:r>
          </w:p>
        </w:tc>
        <w:tc>
          <w:tcPr>
            <w:tcW w:type="dxa" w:w="1600"/>
            <w:shd w:val="clear" w:color="auto" w:fill="FFFFFF"/>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FFFFFF"/>
          </w:tcPr>
          <w:p>
            <w:pPr>
              <w:spacing w:before="40" w:after="40"/>
            </w:pPr>
            <w:r>
              <w:rPr>
                <w:rFonts w:ascii="Calibri" w:cs="Calibri" w:hAnsi="Calibri"/>
                <w:color w:val="000000"/>
                <w:sz w:val="16"/>
                <w:szCs w:val="16"/>
              </w:rPr>
              <w:t xml:space="preserve">Jabarin portfolio: ~$500M Turkish real estate and stocks; multiple investment companies</w:t>
            </w:r>
          </w:p>
        </w:tc>
        <w:tc>
          <w:tcPr>
            <w:tcW w:type="dxa" w:w="2800"/>
            <w:shd w:val="clear" w:color="auto" w:fill="FFFFFF"/>
          </w:tcPr>
          <w:p>
            <w:pPr>
              <w:spacing w:before="40" w:after="40"/>
            </w:pPr>
            <w:r>
              <w:rPr>
                <w:rFonts w:ascii="Calibri" w:cs="Calibri" w:hAnsi="Calibri"/>
                <w:color w:val="000000"/>
                <w:sz w:val="16"/>
                <w:szCs w:val="16"/>
              </w:rPr>
              <w:t xml:space="preserve">Designated. Hamas political bureau expelled from Qatar; Jabarin portfolio operationally independent of political leadership location. Single highest-value Hamas financial asset.</w:t>
            </w:r>
          </w:p>
        </w:tc>
      </w:tr>
      <w:tr>
        <w:tc>
          <w:tcPr>
            <w:tcW w:type="dxa" w:w="2200"/>
            <w:shd w:val="clear" w:color="auto" w:fill="EEF2F8"/>
          </w:tcPr>
          <w:p>
            <w:pPr>
              <w:spacing w:before="40" w:after="40"/>
            </w:pPr>
            <w:r>
              <w:rPr>
                <w:rFonts w:ascii="Calibri" w:cs="Calibri" w:hAnsi="Calibri"/>
                <w:b/>
                <w:bCs/>
                <w:color w:val="1C2B4A"/>
                <w:sz w:val="16"/>
                <w:szCs w:val="16"/>
              </w:rPr>
              <w:t xml:space="preserve">Muhammad Ahmad Abd Al-Dayim Nasrallah</w:t>
            </w:r>
          </w:p>
        </w:tc>
        <w:tc>
          <w:tcPr>
            <w:tcW w:type="dxa" w:w="2000"/>
            <w:shd w:val="clear" w:color="auto" w:fill="EEF2F8"/>
          </w:tcPr>
          <w:p>
            <w:pPr>
              <w:spacing w:before="40" w:after="40"/>
            </w:pPr>
            <w:r>
              <w:rPr>
                <w:rFonts w:ascii="Calibri" w:cs="Calibri" w:hAnsi="Calibri"/>
                <w:color w:val="000000"/>
                <w:sz w:val="16"/>
                <w:szCs w:val="16"/>
              </w:rPr>
              <w:t xml:space="preserve">Qatar-based Hamas operative; IRGC-QF financial liaison</w:t>
            </w:r>
          </w:p>
        </w:tc>
        <w:tc>
          <w:tcPr>
            <w:tcW w:type="dxa" w:w="1800"/>
            <w:shd w:val="clear" w:color="auto" w:fill="EEF2F8"/>
          </w:tcPr>
          <w:p>
            <w:pPr>
              <w:spacing w:before="40" w:after="40"/>
            </w:pPr>
            <w:r>
              <w:rPr>
                <w:rFonts w:ascii="Calibri" w:cs="Calibri" w:hAnsi="Calibri"/>
                <w:b/>
                <w:bCs/>
                <w:color w:val="8B0000"/>
                <w:sz w:val="16"/>
                <w:szCs w:val="16"/>
              </w:rPr>
              <w:t xml:space="preserve">YES</w:t>
            </w:r>
          </w:p>
        </w:tc>
        <w:tc>
          <w:tcPr>
            <w:tcW w:type="dxa" w:w="1600"/>
            <w:shd w:val="clear" w:color="auto" w:fill="EEF2F8"/>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EEF2F8"/>
          </w:tcPr>
          <w:p>
            <w:pPr>
              <w:spacing w:before="40" w:after="40"/>
            </w:pPr>
            <w:r>
              <w:rPr>
                <w:rFonts w:ascii="Calibri" w:cs="Calibri" w:hAnsi="Calibri"/>
                <w:color w:val="000000"/>
                <w:sz w:val="16"/>
                <w:szCs w:val="16"/>
              </w:rPr>
              <w:t xml:space="preserve">Qatar-based; close Iranian regime ties</w:t>
            </w:r>
          </w:p>
        </w:tc>
        <w:tc>
          <w:tcPr>
            <w:tcW w:type="dxa" w:w="2800"/>
            <w:shd w:val="clear" w:color="auto" w:fill="EEF2F8"/>
          </w:tcPr>
          <w:p>
            <w:pPr>
              <w:spacing w:before="40" w:after="40"/>
            </w:pPr>
            <w:r>
              <w:rPr>
                <w:rFonts w:ascii="Calibri" w:cs="Calibri" w:hAnsi="Calibri"/>
                <w:color w:val="000000"/>
                <w:sz w:val="16"/>
                <w:szCs w:val="16"/>
              </w:rPr>
              <w:t xml:space="preserve">Designated Oct 2023. Responsible for tens of millions in transfers to Hamas including Qassam Brigade. Dual Hamas-Iran alignment.</w:t>
            </w:r>
          </w:p>
        </w:tc>
      </w:tr>
      <w:tr>
        <w:tc>
          <w:tcPr>
            <w:tcW w:type="dxa" w:w="2200"/>
            <w:shd w:val="clear" w:color="auto" w:fill="FFFFFF"/>
          </w:tcPr>
          <w:p>
            <w:pPr>
              <w:spacing w:before="40" w:after="40"/>
            </w:pPr>
            <w:r>
              <w:rPr>
                <w:rFonts w:ascii="Calibri" w:cs="Calibri" w:hAnsi="Calibri"/>
                <w:b/>
                <w:bCs/>
                <w:color w:val="1C2B4A"/>
                <w:sz w:val="16"/>
                <w:szCs w:val="16"/>
              </w:rPr>
              <w:t xml:space="preserve">Zuhair Shamlakh</w:t>
            </w:r>
          </w:p>
        </w:tc>
        <w:tc>
          <w:tcPr>
            <w:tcW w:type="dxa" w:w="2000"/>
            <w:shd w:val="clear" w:color="auto" w:fill="FFFFFF"/>
          </w:tcPr>
          <w:p>
            <w:pPr>
              <w:spacing w:before="40" w:after="40"/>
            </w:pPr>
            <w:r>
              <w:rPr>
                <w:rFonts w:ascii="Calibri" w:cs="Calibri" w:hAnsi="Calibri"/>
                <w:color w:val="000000"/>
                <w:sz w:val="16"/>
                <w:szCs w:val="16"/>
              </w:rPr>
              <w:t xml:space="preserve">Gaza-based moneychanger; primary IRGC-QF-to-Hamas fund conduit</w:t>
            </w:r>
          </w:p>
        </w:tc>
        <w:tc>
          <w:tcPr>
            <w:tcW w:type="dxa" w:w="1800"/>
            <w:shd w:val="clear" w:color="auto" w:fill="FFFFFF"/>
          </w:tcPr>
          <w:p>
            <w:pPr>
              <w:spacing w:before="40" w:after="40"/>
            </w:pPr>
            <w:r>
              <w:rPr>
                <w:rFonts w:ascii="Calibri" w:cs="Calibri" w:hAnsi="Calibri"/>
                <w:b/>
                <w:bCs/>
                <w:color w:val="8B0000"/>
                <w:sz w:val="16"/>
                <w:szCs w:val="16"/>
              </w:rPr>
              <w:t xml:space="preserve">YES</w:t>
            </w:r>
          </w:p>
        </w:tc>
        <w:tc>
          <w:tcPr>
            <w:tcW w:type="dxa" w:w="1600"/>
            <w:shd w:val="clear" w:color="auto" w:fill="FFFFFF"/>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FFFFFF"/>
          </w:tcPr>
          <w:p>
            <w:pPr>
              <w:spacing w:before="40" w:after="40"/>
            </w:pPr>
            <w:r>
              <w:rPr>
                <w:rFonts w:ascii="Calibri" w:cs="Calibri" w:hAnsi="Calibri"/>
                <w:color w:val="000000"/>
                <w:sz w:val="16"/>
                <w:szCs w:val="16"/>
              </w:rPr>
              <w:t xml:space="preserve">Gaza exchange house network</w:t>
            </w:r>
          </w:p>
        </w:tc>
        <w:tc>
          <w:tcPr>
            <w:tcW w:type="dxa" w:w="2800"/>
            <w:shd w:val="clear" w:color="auto" w:fill="FFFFFF"/>
          </w:tcPr>
          <w:p>
            <w:pPr>
              <w:spacing w:before="40" w:after="40"/>
            </w:pPr>
            <w:r>
              <w:rPr>
                <w:rFonts w:ascii="Calibri" w:cs="Calibri" w:hAnsi="Calibri"/>
                <w:color w:val="000000"/>
                <w:sz w:val="16"/>
                <w:szCs w:val="16"/>
              </w:rPr>
              <w:t xml:space="preserve">Designated Jan 2024. Facilitates tens of millions from Iran to Hamas and PIJ. Family controls primary Gaza endpoint for IRGC-QF transfers.</w:t>
            </w:r>
          </w:p>
        </w:tc>
      </w:tr>
      <w:tr>
        <w:tc>
          <w:tcPr>
            <w:tcW w:type="dxa" w:w="2200"/>
            <w:shd w:val="clear" w:color="auto" w:fill="EEF2F8"/>
          </w:tcPr>
          <w:p>
            <w:pPr>
              <w:spacing w:before="40" w:after="40"/>
            </w:pPr>
            <w:r>
              <w:rPr>
                <w:rFonts w:ascii="Calibri" w:cs="Calibri" w:hAnsi="Calibri"/>
                <w:b/>
                <w:bCs/>
                <w:color w:val="1C2B4A"/>
                <w:sz w:val="16"/>
                <w:szCs w:val="16"/>
              </w:rPr>
              <w:t xml:space="preserve">Kim Jong Un</w:t>
            </w:r>
          </w:p>
        </w:tc>
        <w:tc>
          <w:tcPr>
            <w:tcW w:type="dxa" w:w="2000"/>
            <w:shd w:val="clear" w:color="auto" w:fill="EEF2F8"/>
          </w:tcPr>
          <w:p>
            <w:pPr>
              <w:spacing w:before="40" w:after="40"/>
            </w:pPr>
            <w:r>
              <w:rPr>
                <w:rFonts w:ascii="Calibri" w:cs="Calibri" w:hAnsi="Calibri"/>
                <w:color w:val="000000"/>
                <w:sz w:val="16"/>
                <w:szCs w:val="16"/>
              </w:rPr>
              <w:t xml:space="preserve">Supreme Leader, DPRK; ultimate controller of Lazarus Group/RGB</w:t>
            </w:r>
          </w:p>
        </w:tc>
        <w:tc>
          <w:tcPr>
            <w:tcW w:type="dxa" w:w="1800"/>
            <w:shd w:val="clear" w:color="auto" w:fill="EEF2F8"/>
          </w:tcPr>
          <w:p>
            <w:pPr>
              <w:spacing w:before="40" w:after="40"/>
            </w:pPr>
            <w:r>
              <w:rPr>
                <w:rFonts w:ascii="Calibri" w:cs="Calibri" w:hAnsi="Calibri"/>
                <w:b/>
                <w:bCs/>
                <w:color w:val="2E5090"/>
                <w:sz w:val="16"/>
                <w:szCs w:val="16"/>
              </w:rPr>
              <w:t xml:space="preserve">NO</w:t>
            </w:r>
          </w:p>
        </w:tc>
        <w:tc>
          <w:tcPr>
            <w:tcW w:type="dxa" w:w="1600"/>
            <w:shd w:val="clear" w:color="auto" w:fill="EEF2F8"/>
          </w:tcPr>
          <w:p>
            <w:pPr>
              <w:spacing w:before="40" w:after="40"/>
            </w:pPr>
            <w:r>
              <w:rPr>
                <w:rFonts w:ascii="Calibri" w:cs="Calibri" w:hAnsi="Calibri"/>
                <w:b/>
                <w:bCs/>
                <w:color w:val="2E5090"/>
                <w:sz w:val="16"/>
                <w:szCs w:val="16"/>
              </w:rPr>
              <w:t xml:space="preserve">NO</w:t>
            </w:r>
          </w:p>
        </w:tc>
        <w:tc>
          <w:tcPr>
            <w:tcW w:type="dxa" w:w="14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1400"/>
            <w:shd w:val="clear" w:color="auto" w:fill="EEF2F8"/>
          </w:tcPr>
          <w:p>
            <w:pPr>
              <w:spacing w:before="40" w:after="40"/>
            </w:pPr>
            <w:r>
              <w:rPr>
                <w:rFonts w:ascii="Calibri" w:cs="Calibri" w:hAnsi="Calibri"/>
                <w:color w:val="000000"/>
                <w:sz w:val="16"/>
                <w:szCs w:val="16"/>
              </w:rPr>
              <w:t xml:space="preserve">DPRK state apparatus</w:t>
            </w:r>
          </w:p>
        </w:tc>
        <w:tc>
          <w:tcPr>
            <w:tcW w:type="dxa" w:w="2800"/>
            <w:shd w:val="clear" w:color="auto" w:fill="EEF2F8"/>
          </w:tcPr>
          <w:p>
            <w:pPr>
              <w:spacing w:before="40" w:after="40"/>
            </w:pPr>
            <w:r>
              <w:rPr>
                <w:rFonts w:ascii="Calibri" w:cs="Calibri" w:hAnsi="Calibri"/>
                <w:color w:val="000000"/>
                <w:sz w:val="16"/>
                <w:szCs w:val="16"/>
              </w:rPr>
              <w:t xml:space="preserve">Not individually designated under cyber/crypto authorities though DPRK state entities fully designated. RGB (Lazarus parent) designated. Monitor for personal designation under NKSPEA senior official authority.</w:t>
            </w:r>
          </w:p>
        </w:tc>
      </w:tr>
      <w:tr>
        <w:tc>
          <w:tcPr>
            <w:tcW w:type="dxa" w:w="2200"/>
            <w:shd w:val="clear" w:color="auto" w:fill="FFFFFF"/>
          </w:tcPr>
          <w:p>
            <w:pPr>
              <w:spacing w:before="40" w:after="40"/>
            </w:pPr>
            <w:r>
              <w:rPr>
                <w:rFonts w:ascii="Calibri" w:cs="Calibri" w:hAnsi="Calibri"/>
                <w:b/>
                <w:bCs/>
                <w:color w:val="1C2B4A"/>
                <w:sz w:val="16"/>
                <w:szCs w:val="16"/>
              </w:rPr>
              <w:t xml:space="preserve">Sa'id al-Jamal (IRGC-QF/Houthi)</w:t>
            </w:r>
          </w:p>
        </w:tc>
        <w:tc>
          <w:tcPr>
            <w:tcW w:type="dxa" w:w="2000"/>
            <w:shd w:val="clear" w:color="auto" w:fill="FFFFFF"/>
          </w:tcPr>
          <w:p>
            <w:pPr>
              <w:spacing w:before="40" w:after="40"/>
            </w:pPr>
            <w:r>
              <w:rPr>
                <w:rFonts w:ascii="Calibri" w:cs="Calibri" w:hAnsi="Calibri"/>
                <w:color w:val="000000"/>
                <w:sz w:val="16"/>
                <w:szCs w:val="16"/>
              </w:rPr>
              <w:t xml:space="preserve">Primary Houthi financial official; Iranian oil-to-Houthi revenue architect</w:t>
            </w:r>
          </w:p>
        </w:tc>
        <w:tc>
          <w:tcPr>
            <w:tcW w:type="dxa" w:w="1800"/>
            <w:shd w:val="clear" w:color="auto" w:fill="FFFFFF"/>
          </w:tcPr>
          <w:p>
            <w:pPr>
              <w:spacing w:before="40" w:after="40"/>
            </w:pPr>
            <w:r>
              <w:rPr>
                <w:rFonts w:ascii="Calibri" w:cs="Calibri" w:hAnsi="Calibri"/>
                <w:b/>
                <w:bCs/>
                <w:color w:val="8B0000"/>
                <w:sz w:val="16"/>
                <w:szCs w:val="16"/>
              </w:rPr>
              <w:t xml:space="preserve">YES</w:t>
            </w:r>
          </w:p>
        </w:tc>
        <w:tc>
          <w:tcPr>
            <w:tcW w:type="dxa" w:w="1600"/>
            <w:shd w:val="clear" w:color="auto" w:fill="FFFFFF"/>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FFFFFF"/>
          </w:tcPr>
          <w:p>
            <w:pPr>
              <w:spacing w:before="40" w:after="40"/>
            </w:pPr>
            <w:r>
              <w:rPr>
                <w:rFonts w:ascii="Calibri" w:cs="Calibri" w:hAnsi="Calibri"/>
                <w:color w:val="000000"/>
                <w:sz w:val="16"/>
                <w:szCs w:val="16"/>
              </w:rPr>
              <w:t xml:space="preserve">Iranian oil smuggling network; UAE front companies; crypto wallets (5 designated)</w:t>
            </w:r>
          </w:p>
        </w:tc>
        <w:tc>
          <w:tcPr>
            <w:tcW w:type="dxa" w:w="2800"/>
            <w:shd w:val="clear" w:color="auto" w:fill="FFFFFF"/>
          </w:tcPr>
          <w:p>
            <w:pPr>
              <w:spacing w:before="40" w:after="40"/>
            </w:pPr>
            <w:r>
              <w:rPr>
                <w:rFonts w:ascii="Calibri" w:cs="Calibri" w:hAnsi="Calibri"/>
                <w:color w:val="000000"/>
                <w:sz w:val="16"/>
                <w:szCs w:val="16"/>
              </w:rPr>
              <w:t xml:space="preserve">Designated. Operates vast Iranian oil smuggling scheme generating $2B+/yr for Houthis. 5 crypto wallet addresses designated. Al-Jamal network cashed out $200M+ through mainstream exchanges.</w:t>
            </w:r>
          </w:p>
        </w:tc>
      </w:tr>
      <w:tr>
        <w:tc>
          <w:tcPr>
            <w:tcW w:type="dxa" w:w="2200"/>
            <w:shd w:val="clear" w:color="auto" w:fill="EEF2F8"/>
          </w:tcPr>
          <w:p>
            <w:pPr>
              <w:spacing w:before="40" w:after="40"/>
            </w:pPr>
            <w:r>
              <w:rPr>
                <w:rFonts w:ascii="Calibri" w:cs="Calibri" w:hAnsi="Calibri"/>
                <w:b/>
                <w:bCs/>
                <w:color w:val="1C2B4A"/>
                <w:sz w:val="16"/>
                <w:szCs w:val="16"/>
              </w:rPr>
              <w:t xml:space="preserve">Esmail Qaani</w:t>
            </w:r>
          </w:p>
        </w:tc>
        <w:tc>
          <w:tcPr>
            <w:tcW w:type="dxa" w:w="2000"/>
            <w:shd w:val="clear" w:color="auto" w:fill="EEF2F8"/>
          </w:tcPr>
          <w:p>
            <w:pPr>
              <w:spacing w:before="40" w:after="40"/>
            </w:pPr>
            <w:r>
              <w:rPr>
                <w:rFonts w:ascii="Calibri" w:cs="Calibri" w:hAnsi="Calibri"/>
                <w:color w:val="000000"/>
                <w:sz w:val="16"/>
                <w:szCs w:val="16"/>
              </w:rPr>
              <w:t xml:space="preserve">Commander, IRGC-Quds Force (since Jan 2020)</w:t>
            </w:r>
          </w:p>
        </w:tc>
        <w:tc>
          <w:tcPr>
            <w:tcW w:type="dxa" w:w="1800"/>
            <w:shd w:val="clear" w:color="auto" w:fill="EEF2F8"/>
          </w:tcPr>
          <w:p>
            <w:pPr>
              <w:spacing w:before="40" w:after="40"/>
            </w:pPr>
            <w:r>
              <w:rPr>
                <w:rFonts w:ascii="Calibri" w:cs="Calibri" w:hAnsi="Calibri"/>
                <w:b/>
                <w:bCs/>
                <w:color w:val="8B0000"/>
                <w:sz w:val="16"/>
                <w:szCs w:val="16"/>
              </w:rPr>
              <w:t xml:space="preserve">YES</w:t>
            </w:r>
          </w:p>
        </w:tc>
        <w:tc>
          <w:tcPr>
            <w:tcW w:type="dxa" w:w="1600"/>
            <w:shd w:val="clear" w:color="auto" w:fill="EEF2F8"/>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EEF2F8"/>
          </w:tcPr>
          <w:p>
            <w:pPr>
              <w:spacing w:before="40" w:after="40"/>
            </w:pPr>
            <w:r>
              <w:rPr>
                <w:rFonts w:ascii="Calibri" w:cs="Calibri" w:hAnsi="Calibri"/>
                <w:color w:val="000000"/>
                <w:sz w:val="16"/>
                <w:szCs w:val="16"/>
              </w:rPr>
              <w:t xml:space="preserve">IRGC-QF command structure</w:t>
            </w:r>
          </w:p>
        </w:tc>
        <w:tc>
          <w:tcPr>
            <w:tcW w:type="dxa" w:w="2800"/>
            <w:shd w:val="clear" w:color="auto" w:fill="EEF2F8"/>
          </w:tcPr>
          <w:p>
            <w:pPr>
              <w:spacing w:before="40" w:after="40"/>
            </w:pPr>
            <w:r>
              <w:rPr>
                <w:rFonts w:ascii="Calibri" w:cs="Calibri" w:hAnsi="Calibri"/>
                <w:color w:val="000000"/>
                <w:sz w:val="16"/>
                <w:szCs w:val="16"/>
              </w:rPr>
              <w:t xml:space="preserve">Designated. Successor to Qasem Soleimani. Controls Hezbollah, Hamas, Houthi, Iraqi PMF financing and weapons supply chains. Highest-value uneliminated IRGC-QF principal.</w:t>
            </w:r>
          </w:p>
        </w:tc>
      </w:tr>
      <w:tr>
        <w:tc>
          <w:tcPr>
            <w:tcW w:type="dxa" w:w="2200"/>
            <w:shd w:val="clear" w:color="auto" w:fill="FFFFFF"/>
          </w:tcPr>
          <w:p>
            <w:pPr>
              <w:spacing w:before="40" w:after="40"/>
            </w:pPr>
            <w:r>
              <w:rPr>
                <w:rFonts w:ascii="Calibri" w:cs="Calibri" w:hAnsi="Calibri"/>
                <w:b/>
                <w:bCs/>
                <w:color w:val="1C2B4A"/>
                <w:sz w:val="16"/>
                <w:szCs w:val="16"/>
              </w:rPr>
              <w:t xml:space="preserve">Mohammad Reza Zahedi (deceased Apr 2024)</w:t>
            </w:r>
          </w:p>
        </w:tc>
        <w:tc>
          <w:tcPr>
            <w:tcW w:type="dxa" w:w="2000"/>
            <w:shd w:val="clear" w:color="auto" w:fill="FFFFFF"/>
          </w:tcPr>
          <w:p>
            <w:pPr>
              <w:spacing w:before="40" w:after="40"/>
            </w:pPr>
            <w:r>
              <w:rPr>
                <w:rFonts w:ascii="Calibri" w:cs="Calibri" w:hAnsi="Calibri"/>
                <w:color w:val="000000"/>
                <w:sz w:val="16"/>
                <w:szCs w:val="16"/>
              </w:rPr>
              <w:t xml:space="preserve">Senior IRGC-QF commander; Syria/Lebanon operations</w:t>
            </w:r>
          </w:p>
        </w:tc>
        <w:tc>
          <w:tcPr>
            <w:tcW w:type="dxa" w:w="1800"/>
            <w:shd w:val="clear" w:color="auto" w:fill="FFFFFF"/>
          </w:tcPr>
          <w:p>
            <w:pPr>
              <w:spacing w:before="40" w:after="40"/>
            </w:pPr>
            <w:r>
              <w:rPr>
                <w:rFonts w:ascii="Calibri" w:cs="Calibri" w:hAnsi="Calibri"/>
                <w:b/>
                <w:bCs/>
                <w:color w:val="8B0000"/>
                <w:sz w:val="16"/>
                <w:szCs w:val="16"/>
              </w:rPr>
              <w:t xml:space="preserve">YES</w:t>
            </w:r>
          </w:p>
        </w:tc>
        <w:tc>
          <w:tcPr>
            <w:tcW w:type="dxa" w:w="1600"/>
            <w:shd w:val="clear" w:color="auto" w:fill="FFFFFF"/>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FFFFFF"/>
          </w:tcPr>
          <w:p>
            <w:pPr>
              <w:spacing w:before="40" w:after="40"/>
            </w:pPr>
            <w:r>
              <w:rPr>
                <w:rFonts w:ascii="Calibri" w:cs="Calibri" w:hAnsi="Calibri"/>
                <w:color w:val="000000"/>
                <w:sz w:val="16"/>
                <w:szCs w:val="16"/>
              </w:rPr>
              <w:t xml:space="preserve">IRGC-QF Syria/Lebanon network</w:t>
            </w:r>
          </w:p>
        </w:tc>
        <w:tc>
          <w:tcPr>
            <w:tcW w:type="dxa" w:w="2800"/>
            <w:shd w:val="clear" w:color="auto" w:fill="FFFFFF"/>
          </w:tcPr>
          <w:p>
            <w:pPr>
              <w:spacing w:before="40" w:after="40"/>
            </w:pPr>
            <w:r>
              <w:rPr>
                <w:rFonts w:ascii="Calibri" w:cs="Calibri" w:hAnsi="Calibri"/>
                <w:color w:val="000000"/>
                <w:sz w:val="16"/>
                <w:szCs w:val="16"/>
              </w:rPr>
              <w:t xml:space="preserve">Designated. Killed in Israeli strike on Iranian consulate Damascus Apr 2024. Monitor for successor appointment to Syria/Lebanon operational role.</w:t>
            </w:r>
          </w:p>
        </w:tc>
      </w:tr>
      <w:tr>
        <w:tc>
          <w:tcPr>
            <w:tcW w:type="dxa" w:w="2200"/>
            <w:shd w:val="clear" w:color="auto" w:fill="EEF2F8"/>
          </w:tcPr>
          <w:p>
            <w:pPr>
              <w:spacing w:before="40" w:after="40"/>
            </w:pPr>
            <w:r>
              <w:rPr>
                <w:rFonts w:ascii="Calibri" w:cs="Calibri" w:hAnsi="Calibri"/>
                <w:b/>
                <w:bCs/>
                <w:color w:val="1C2B4A"/>
                <w:sz w:val="16"/>
                <w:szCs w:val="16"/>
              </w:rPr>
              <w:t xml:space="preserve">Nicolas Maduro</w:t>
            </w:r>
          </w:p>
        </w:tc>
        <w:tc>
          <w:tcPr>
            <w:tcW w:type="dxa" w:w="2000"/>
            <w:shd w:val="clear" w:color="auto" w:fill="EEF2F8"/>
          </w:tcPr>
          <w:p>
            <w:pPr>
              <w:spacing w:before="40" w:after="40"/>
            </w:pPr>
            <w:r>
              <w:rPr>
                <w:rFonts w:ascii="Calibri" w:cs="Calibri" w:hAnsi="Calibri"/>
                <w:color w:val="000000"/>
                <w:sz w:val="16"/>
                <w:szCs w:val="16"/>
              </w:rPr>
              <w:t xml:space="preserve">Former President Venezuela (captured Jan 3 2026)</w:t>
            </w:r>
          </w:p>
        </w:tc>
        <w:tc>
          <w:tcPr>
            <w:tcW w:type="dxa" w:w="1800"/>
            <w:shd w:val="clear" w:color="auto" w:fill="EEF2F8"/>
          </w:tcPr>
          <w:p>
            <w:pPr>
              <w:spacing w:before="40" w:after="40"/>
            </w:pPr>
            <w:r>
              <w:rPr>
                <w:rFonts w:ascii="Calibri" w:cs="Calibri" w:hAnsi="Calibri"/>
                <w:b/>
                <w:bCs/>
                <w:color w:val="8B0000"/>
                <w:sz w:val="16"/>
                <w:szCs w:val="16"/>
              </w:rPr>
              <w:t xml:space="preserve">YES</w:t>
            </w:r>
          </w:p>
        </w:tc>
        <w:tc>
          <w:tcPr>
            <w:tcW w:type="dxa" w:w="1600"/>
            <w:shd w:val="clear" w:color="auto" w:fill="EEF2F8"/>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444444"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SEIZED</w:t>
            </w:r>
          </w:p>
        </w:tc>
        <w:tc>
          <w:tcPr>
            <w:tcW w:type="dxa" w:w="1400"/>
            <w:shd w:val="clear" w:color="auto" w:fill="EEF2F8"/>
          </w:tcPr>
          <w:p>
            <w:pPr>
              <w:spacing w:before="40" w:after="40"/>
            </w:pPr>
            <w:r>
              <w:rPr>
                <w:rFonts w:ascii="Calibri" w:cs="Calibri" w:hAnsi="Calibri"/>
                <w:color w:val="000000"/>
                <w:sz w:val="16"/>
                <w:szCs w:val="16"/>
              </w:rPr>
              <w:t xml:space="preserve">Venezuelan state apparatus; PDVSA; Cartel de los Suns patronage network</w:t>
            </w:r>
          </w:p>
        </w:tc>
        <w:tc>
          <w:tcPr>
            <w:tcW w:type="dxa" w:w="2800"/>
            <w:shd w:val="clear" w:color="auto" w:fill="EEF2F8"/>
          </w:tcPr>
          <w:p>
            <w:pPr>
              <w:spacing w:before="40" w:after="40"/>
            </w:pPr>
            <w:r>
              <w:rPr>
                <w:rFonts w:ascii="Calibri" w:cs="Calibri" w:hAnsi="Calibri"/>
                <w:color w:val="000000"/>
                <w:sz w:val="16"/>
                <w:szCs w:val="16"/>
              </w:rPr>
              <w:t xml:space="preserve">In US custody. Facing SDNY charges including narco-terrorism and cocaine trafficking conspiracy. Capture disrupts but does not eliminate Venezuelan military narco-corruption network.</w:t>
            </w:r>
          </w:p>
        </w:tc>
      </w:tr>
      <w:tr>
        <w:tc>
          <w:tcPr>
            <w:tcW w:type="dxa" w:w="2200"/>
            <w:shd w:val="clear" w:color="auto" w:fill="FFFFFF"/>
          </w:tcPr>
          <w:p>
            <w:pPr>
              <w:spacing w:before="40" w:after="40"/>
            </w:pPr>
            <w:r>
              <w:rPr>
                <w:rFonts w:ascii="Calibri" w:cs="Calibri" w:hAnsi="Calibri"/>
                <w:b/>
                <w:bCs/>
                <w:color w:val="1C2B4A"/>
                <w:sz w:val="16"/>
                <w:szCs w:val="16"/>
              </w:rPr>
              <w:t xml:space="preserve">Diosdado Cabello</w:t>
            </w:r>
          </w:p>
        </w:tc>
        <w:tc>
          <w:tcPr>
            <w:tcW w:type="dxa" w:w="2000"/>
            <w:shd w:val="clear" w:color="auto" w:fill="FFFFFF"/>
          </w:tcPr>
          <w:p>
            <w:pPr>
              <w:spacing w:before="40" w:after="40"/>
            </w:pPr>
            <w:r>
              <w:rPr>
                <w:rFonts w:ascii="Calibri" w:cs="Calibri" w:hAnsi="Calibri"/>
                <w:color w:val="000000"/>
                <w:sz w:val="16"/>
                <w:szCs w:val="16"/>
              </w:rPr>
              <w:t xml:space="preserve">Senior PSUV official; Cartel de los Soles network</w:t>
            </w:r>
          </w:p>
        </w:tc>
        <w:tc>
          <w:tcPr>
            <w:tcW w:type="dxa" w:w="1800"/>
            <w:shd w:val="clear" w:color="auto" w:fill="FFFFFF"/>
          </w:tcPr>
          <w:p>
            <w:pPr>
              <w:spacing w:before="40" w:after="40"/>
            </w:pPr>
            <w:r>
              <w:rPr>
                <w:rFonts w:ascii="Calibri" w:cs="Calibri" w:hAnsi="Calibri"/>
                <w:b/>
                <w:bCs/>
                <w:color w:val="8B0000"/>
                <w:sz w:val="16"/>
                <w:szCs w:val="16"/>
              </w:rPr>
              <w:t xml:space="preserve">YES</w:t>
            </w:r>
          </w:p>
        </w:tc>
        <w:tc>
          <w:tcPr>
            <w:tcW w:type="dxa" w:w="1600"/>
            <w:shd w:val="clear" w:color="auto" w:fill="FFFFFF"/>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FFFFFF"/>
          </w:tcPr>
          <w:p>
            <w:pPr>
              <w:spacing w:before="40" w:after="40"/>
            </w:pPr>
            <w:r>
              <w:rPr>
                <w:rFonts w:ascii="Calibri" w:cs="Calibri" w:hAnsi="Calibri"/>
                <w:color w:val="000000"/>
                <w:sz w:val="16"/>
                <w:szCs w:val="16"/>
              </w:rPr>
              <w:t xml:space="preserve">Venezuelan military/political network</w:t>
            </w:r>
          </w:p>
        </w:tc>
        <w:tc>
          <w:tcPr>
            <w:tcW w:type="dxa" w:w="2800"/>
            <w:shd w:val="clear" w:color="auto" w:fill="FFFFFF"/>
          </w:tcPr>
          <w:p>
            <w:pPr>
              <w:spacing w:before="40" w:after="40"/>
            </w:pPr>
            <w:r>
              <w:rPr>
                <w:rFonts w:ascii="Calibri" w:cs="Calibri" w:hAnsi="Calibri"/>
                <w:color w:val="000000"/>
                <w:sz w:val="16"/>
                <w:szCs w:val="16"/>
              </w:rPr>
              <w:t xml:space="preserve">US/EU-designated. Primary Cartel de los Soles operational figure post-Maduro capture. Remains in Venezuela. Continued designation enforcement priority.</w:t>
            </w:r>
          </w:p>
        </w:tc>
      </w:tr>
      <w:tr>
        <w:tc>
          <w:tcPr>
            <w:tcW w:type="dxa" w:w="2200"/>
            <w:shd w:val="clear" w:color="auto" w:fill="EEF2F8"/>
          </w:tcPr>
          <w:p>
            <w:pPr>
              <w:spacing w:before="40" w:after="40"/>
            </w:pPr>
            <w:r>
              <w:rPr>
                <w:rFonts w:ascii="Calibri" w:cs="Calibri" w:hAnsi="Calibri"/>
                <w:b/>
                <w:bCs/>
                <w:color w:val="1C2B4A"/>
                <w:sz w:val="16"/>
                <w:szCs w:val="16"/>
              </w:rPr>
              <w:t xml:space="preserve">Nicolas Maduro Guerra</w:t>
            </w:r>
          </w:p>
        </w:tc>
        <w:tc>
          <w:tcPr>
            <w:tcW w:type="dxa" w:w="2000"/>
            <w:shd w:val="clear" w:color="auto" w:fill="EEF2F8"/>
          </w:tcPr>
          <w:p>
            <w:pPr>
              <w:spacing w:before="40" w:after="40"/>
            </w:pPr>
            <w:r>
              <w:rPr>
                <w:rFonts w:ascii="Calibri" w:cs="Calibri" w:hAnsi="Calibri"/>
                <w:color w:val="000000"/>
                <w:sz w:val="16"/>
                <w:szCs w:val="16"/>
              </w:rPr>
              <w:t xml:space="preserve">Son of Nicolas Maduro; PSUV deputy</w:t>
            </w:r>
          </w:p>
        </w:tc>
        <w:tc>
          <w:tcPr>
            <w:tcW w:type="dxa" w:w="1800"/>
            <w:shd w:val="clear" w:color="auto" w:fill="EEF2F8"/>
          </w:tcPr>
          <w:p>
            <w:pPr>
              <w:spacing w:before="40" w:after="40"/>
            </w:pPr>
            <w:r>
              <w:rPr>
                <w:rFonts w:ascii="Calibri" w:cs="Calibri" w:hAnsi="Calibri"/>
                <w:b/>
                <w:bCs/>
                <w:color w:val="8B0000"/>
                <w:sz w:val="16"/>
                <w:szCs w:val="16"/>
              </w:rPr>
              <w:t xml:space="preserve">YES</w:t>
            </w:r>
          </w:p>
        </w:tc>
        <w:tc>
          <w:tcPr>
            <w:tcW w:type="dxa" w:w="1600"/>
            <w:shd w:val="clear" w:color="auto" w:fill="EEF2F8"/>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EEF2F8"/>
          </w:tcPr>
          <w:p>
            <w:pPr>
              <w:spacing w:before="40" w:after="40"/>
            </w:pPr>
            <w:r>
              <w:rPr>
                <w:rFonts w:ascii="Calibri" w:cs="Calibri" w:hAnsi="Calibri"/>
                <w:color w:val="000000"/>
                <w:sz w:val="16"/>
                <w:szCs w:val="16"/>
              </w:rPr>
              <w:t xml:space="preserve">Maduro family financial network</w:t>
            </w:r>
          </w:p>
        </w:tc>
        <w:tc>
          <w:tcPr>
            <w:tcW w:type="dxa" w:w="2800"/>
            <w:shd w:val="clear" w:color="auto" w:fill="EEF2F8"/>
          </w:tcPr>
          <w:p>
            <w:pPr>
              <w:spacing w:before="40" w:after="40"/>
            </w:pPr>
            <w:r>
              <w:rPr>
                <w:rFonts w:ascii="Calibri" w:cs="Calibri" w:hAnsi="Calibri"/>
                <w:color w:val="000000"/>
                <w:sz w:val="16"/>
                <w:szCs w:val="16"/>
              </w:rPr>
              <w:t xml:space="preserve">US-designated. Part of Maduro family financial network. Monitor for role in post-capture Venezuelan transition government.</w:t>
            </w:r>
          </w:p>
        </w:tc>
      </w:tr>
      <w:tr>
        <w:tc>
          <w:tcPr>
            <w:tcW w:type="dxa" w:w="2200"/>
            <w:shd w:val="clear" w:color="auto" w:fill="FFFFFF"/>
          </w:tcPr>
          <w:p>
            <w:pPr>
              <w:spacing w:before="40" w:after="40"/>
            </w:pPr>
            <w:r>
              <w:rPr>
                <w:rFonts w:ascii="Calibri" w:cs="Calibri" w:hAnsi="Calibri"/>
                <w:b/>
                <w:bCs/>
                <w:color w:val="1C2B4A"/>
                <w:sz w:val="16"/>
                <w:szCs w:val="16"/>
              </w:rPr>
              <w:t xml:space="preserve">Luis Alberto Rodriguez Lopez-Calleja</w:t>
            </w:r>
          </w:p>
        </w:tc>
        <w:tc>
          <w:tcPr>
            <w:tcW w:type="dxa" w:w="2000"/>
            <w:shd w:val="clear" w:color="auto" w:fill="FFFFFF"/>
          </w:tcPr>
          <w:p>
            <w:pPr>
              <w:spacing w:before="40" w:after="40"/>
            </w:pPr>
            <w:r>
              <w:rPr>
                <w:rFonts w:ascii="Calibri" w:cs="Calibri" w:hAnsi="Calibri"/>
                <w:color w:val="000000"/>
                <w:sz w:val="16"/>
                <w:szCs w:val="16"/>
              </w:rPr>
              <w:t xml:space="preserve">President, GAESA; controls Cuban military economic empire</w:t>
            </w:r>
          </w:p>
        </w:tc>
        <w:tc>
          <w:tcPr>
            <w:tcW w:type="dxa" w:w="1800"/>
            <w:shd w:val="clear" w:color="auto" w:fill="FFFFFF"/>
          </w:tcPr>
          <w:p>
            <w:pPr>
              <w:spacing w:before="40" w:after="40"/>
            </w:pPr>
            <w:r>
              <w:rPr>
                <w:rFonts w:ascii="Calibri" w:cs="Calibri" w:hAnsi="Calibri"/>
                <w:b/>
                <w:bCs/>
                <w:color w:val="8B0000"/>
                <w:sz w:val="16"/>
                <w:szCs w:val="16"/>
              </w:rPr>
              <w:t xml:space="preserve">YES</w:t>
            </w:r>
          </w:p>
        </w:tc>
        <w:tc>
          <w:tcPr>
            <w:tcW w:type="dxa" w:w="1600"/>
            <w:shd w:val="clear" w:color="auto" w:fill="FFFFFF"/>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FFFFFF"/>
          </w:tcPr>
          <w:p>
            <w:pPr>
              <w:spacing w:before="40" w:after="40"/>
            </w:pPr>
            <w:r>
              <w:rPr>
                <w:rFonts w:ascii="Calibri" w:cs="Calibri" w:hAnsi="Calibri"/>
                <w:color w:val="000000"/>
                <w:sz w:val="16"/>
                <w:szCs w:val="16"/>
              </w:rPr>
              <w:t xml:space="preserve">GAESA holding company; Gaviota; TRD; ETECSA (indirect)</w:t>
            </w:r>
          </w:p>
        </w:tc>
        <w:tc>
          <w:tcPr>
            <w:tcW w:type="dxa" w:w="2800"/>
            <w:shd w:val="clear" w:color="auto" w:fill="FFFFFF"/>
          </w:tcPr>
          <w:p>
            <w:pPr>
              <w:spacing w:before="40" w:after="40"/>
            </w:pPr>
            <w:r>
              <w:rPr>
                <w:rFonts w:ascii="Calibri" w:cs="Calibri" w:hAnsi="Calibri"/>
                <w:color w:val="000000"/>
                <w:sz w:val="16"/>
                <w:szCs w:val="16"/>
              </w:rPr>
              <w:t xml:space="preserve">Designated. Controls 60-80% of Cuban foreign-currency economy through GAESA subsidiaries. Most important individual enforcement target in Cuban sanctions architecture.</w:t>
            </w:r>
          </w:p>
        </w:tc>
      </w:tr>
      <w:tr>
        <w:tc>
          <w:tcPr>
            <w:tcW w:type="dxa" w:w="2200"/>
            <w:shd w:val="clear" w:color="auto" w:fill="EEF2F8"/>
          </w:tcPr>
          <w:p>
            <w:pPr>
              <w:spacing w:before="40" w:after="40"/>
            </w:pPr>
            <w:r>
              <w:rPr>
                <w:rFonts w:ascii="Calibri" w:cs="Calibri" w:hAnsi="Calibri"/>
                <w:b/>
                <w:bCs/>
                <w:color w:val="1C2B4A"/>
                <w:sz w:val="16"/>
                <w:szCs w:val="16"/>
              </w:rPr>
              <w:t xml:space="preserve">Ismael "El Mayo" Zambada Garcia</w:t>
            </w:r>
          </w:p>
        </w:tc>
        <w:tc>
          <w:tcPr>
            <w:tcW w:type="dxa" w:w="2000"/>
            <w:shd w:val="clear" w:color="auto" w:fill="EEF2F8"/>
          </w:tcPr>
          <w:p>
            <w:pPr>
              <w:spacing w:before="40" w:after="40"/>
            </w:pPr>
            <w:r>
              <w:rPr>
                <w:rFonts w:ascii="Calibri" w:cs="Calibri" w:hAnsi="Calibri"/>
                <w:color w:val="000000"/>
                <w:sz w:val="16"/>
                <w:szCs w:val="16"/>
              </w:rPr>
              <w:t xml:space="preserve">Co-founder/leader Sinaloa Cartel</w:t>
            </w:r>
          </w:p>
        </w:tc>
        <w:tc>
          <w:tcPr>
            <w:tcW w:type="dxa" w:w="1800"/>
            <w:shd w:val="clear" w:color="auto" w:fill="EEF2F8"/>
          </w:tcPr>
          <w:p>
            <w:pPr>
              <w:spacing w:before="40" w:after="40"/>
            </w:pPr>
            <w:r>
              <w:rPr>
                <w:rFonts w:ascii="Calibri" w:cs="Calibri" w:hAnsi="Calibri"/>
                <w:b/>
                <w:bCs/>
                <w:color w:val="8B0000"/>
                <w:sz w:val="16"/>
                <w:szCs w:val="16"/>
              </w:rPr>
              <w:t xml:space="preserve">YES</w:t>
            </w:r>
          </w:p>
        </w:tc>
        <w:tc>
          <w:tcPr>
            <w:tcW w:type="dxa" w:w="1600"/>
            <w:shd w:val="clear" w:color="auto" w:fill="EEF2F8"/>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EEF2F8"/>
          </w:tcPr>
          <w:p>
            <w:pPr>
              <w:spacing w:before="40" w:after="40"/>
            </w:pPr>
            <w:r>
              <w:rPr>
                <w:rFonts w:ascii="Calibri" w:cs="Calibri" w:hAnsi="Calibri"/>
                <w:color w:val="000000"/>
                <w:sz w:val="16"/>
                <w:szCs w:val="16"/>
              </w:rPr>
              <w:t xml:space="preserve">Sinaloa Cartel organizational structure</w:t>
            </w:r>
          </w:p>
        </w:tc>
        <w:tc>
          <w:tcPr>
            <w:tcW w:type="dxa" w:w="2800"/>
            <w:shd w:val="clear" w:color="auto" w:fill="EEF2F8"/>
          </w:tcPr>
          <w:p>
            <w:pPr>
              <w:spacing w:before="40" w:after="40"/>
            </w:pPr>
            <w:r>
              <w:rPr>
                <w:rFonts w:ascii="Calibri" w:cs="Calibri" w:hAnsi="Calibri"/>
                <w:color w:val="000000"/>
                <w:sz w:val="16"/>
                <w:szCs w:val="16"/>
              </w:rPr>
              <w:t xml:space="preserve">Kingpin Act / SDN designated. Arrested in US Jul 2024 following Joaquin Guzmán Lopez defection. Facing federal prosecution. Sinaloa leadership succession disrupted.</w:t>
            </w:r>
          </w:p>
        </w:tc>
      </w:tr>
      <w:tr>
        <w:tc>
          <w:tcPr>
            <w:tcW w:type="dxa" w:w="2200"/>
            <w:shd w:val="clear" w:color="auto" w:fill="FFFFFF"/>
          </w:tcPr>
          <w:p>
            <w:pPr>
              <w:spacing w:before="40" w:after="40"/>
            </w:pPr>
            <w:r>
              <w:rPr>
                <w:rFonts w:ascii="Calibri" w:cs="Calibri" w:hAnsi="Calibri"/>
                <w:b/>
                <w:bCs/>
                <w:color w:val="1C2B4A"/>
                <w:sz w:val="16"/>
                <w:szCs w:val="16"/>
              </w:rPr>
              <w:t xml:space="preserve">Nemesio Oseguera Cervantes "El Mencho"</w:t>
            </w:r>
          </w:p>
        </w:tc>
        <w:tc>
          <w:tcPr>
            <w:tcW w:type="dxa" w:w="2000"/>
            <w:shd w:val="clear" w:color="auto" w:fill="FFFFFF"/>
          </w:tcPr>
          <w:p>
            <w:pPr>
              <w:spacing w:before="40" w:after="40"/>
            </w:pPr>
            <w:r>
              <w:rPr>
                <w:rFonts w:ascii="Calibri" w:cs="Calibri" w:hAnsi="Calibri"/>
                <w:color w:val="000000"/>
                <w:sz w:val="16"/>
                <w:szCs w:val="16"/>
              </w:rPr>
              <w:t xml:space="preserve">Founder/leader CJNG</w:t>
            </w:r>
          </w:p>
        </w:tc>
        <w:tc>
          <w:tcPr>
            <w:tcW w:type="dxa" w:w="1800"/>
            <w:shd w:val="clear" w:color="auto" w:fill="FFFFFF"/>
          </w:tcPr>
          <w:p>
            <w:pPr>
              <w:spacing w:before="40" w:after="40"/>
            </w:pPr>
            <w:r>
              <w:rPr>
                <w:rFonts w:ascii="Calibri" w:cs="Calibri" w:hAnsi="Calibri"/>
                <w:b/>
                <w:bCs/>
                <w:color w:val="8B0000"/>
                <w:sz w:val="16"/>
                <w:szCs w:val="16"/>
              </w:rPr>
              <w:t xml:space="preserve">YES</w:t>
            </w:r>
          </w:p>
        </w:tc>
        <w:tc>
          <w:tcPr>
            <w:tcW w:type="dxa" w:w="1600"/>
            <w:shd w:val="clear" w:color="auto" w:fill="FFFFFF"/>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FFFFFF"/>
          </w:tcPr>
          <w:p>
            <w:pPr>
              <w:spacing w:before="40" w:after="40"/>
            </w:pPr>
            <w:r>
              <w:rPr>
                <w:rFonts w:ascii="Calibri" w:cs="Calibri" w:hAnsi="Calibri"/>
                <w:color w:val="000000"/>
                <w:sz w:val="16"/>
                <w:szCs w:val="16"/>
              </w:rPr>
              <w:t xml:space="preserve">CJNG organizational structure; $10M US reward</w:t>
            </w:r>
          </w:p>
        </w:tc>
        <w:tc>
          <w:tcPr>
            <w:tcW w:type="dxa" w:w="2800"/>
            <w:shd w:val="clear" w:color="auto" w:fill="FFFFFF"/>
          </w:tcPr>
          <w:p>
            <w:pPr>
              <w:spacing w:before="40" w:after="40"/>
            </w:pPr>
            <w:r>
              <w:rPr>
                <w:rFonts w:ascii="Calibri" w:cs="Calibri" w:hAnsi="Calibri"/>
                <w:color w:val="000000"/>
                <w:sz w:val="16"/>
                <w:szCs w:val="16"/>
              </w:rPr>
              <w:t xml:space="preserve">Kingpin Act / SDN designated. $10M US reward. Most wanted drug trafficker. FTO designation (Feb 2025) creates §2339B material support exposure for all facilitators.</w:t>
            </w:r>
          </w:p>
        </w:tc>
      </w:tr>
      <w:tr>
        <w:tc>
          <w:tcPr>
            <w:tcW w:type="dxa" w:w="2200"/>
            <w:shd w:val="clear" w:color="auto" w:fill="EEF2F8"/>
          </w:tcPr>
          <w:p>
            <w:pPr>
              <w:spacing w:before="40" w:after="40"/>
            </w:pPr>
            <w:r>
              <w:rPr>
                <w:rFonts w:ascii="Calibri" w:cs="Calibri" w:hAnsi="Calibri"/>
                <w:b/>
                <w:bCs/>
                <w:color w:val="1C2B4A"/>
                <w:sz w:val="16"/>
                <w:szCs w:val="16"/>
              </w:rPr>
              <w:t xml:space="preserve">Andrei Troshev "Sedoi"</w:t>
            </w:r>
          </w:p>
        </w:tc>
        <w:tc>
          <w:tcPr>
            <w:tcW w:type="dxa" w:w="2000"/>
            <w:shd w:val="clear" w:color="auto" w:fill="EEF2F8"/>
          </w:tcPr>
          <w:p>
            <w:pPr>
              <w:spacing w:before="40" w:after="40"/>
            </w:pPr>
            <w:r>
              <w:rPr>
                <w:rFonts w:ascii="Calibri" w:cs="Calibri" w:hAnsi="Calibri"/>
                <w:color w:val="000000"/>
                <w:sz w:val="16"/>
                <w:szCs w:val="16"/>
              </w:rPr>
              <w:t xml:space="preserve">Operational commander, Africa Corps (Wagner successor)</w:t>
            </w:r>
          </w:p>
        </w:tc>
        <w:tc>
          <w:tcPr>
            <w:tcW w:type="dxa" w:w="1800"/>
            <w:shd w:val="clear" w:color="auto" w:fill="EEF2F8"/>
          </w:tcPr>
          <w:p>
            <w:pPr>
              <w:spacing w:before="40" w:after="40"/>
            </w:pPr>
            <w:r>
              <w:rPr>
                <w:rFonts w:ascii="Calibri" w:cs="Calibri" w:hAnsi="Calibri"/>
                <w:b/>
                <w:bCs/>
                <w:color w:val="8B0000"/>
                <w:sz w:val="16"/>
                <w:szCs w:val="16"/>
              </w:rPr>
              <w:t xml:space="preserve">YES</w:t>
            </w:r>
          </w:p>
        </w:tc>
        <w:tc>
          <w:tcPr>
            <w:tcW w:type="dxa" w:w="1600"/>
            <w:shd w:val="clear" w:color="auto" w:fill="EEF2F8"/>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EEF2F8"/>
          </w:tcPr>
          <w:p>
            <w:pPr>
              <w:spacing w:before="40" w:after="40"/>
            </w:pPr>
            <w:r>
              <w:rPr>
                <w:rFonts w:ascii="Calibri" w:cs="Calibri" w:hAnsi="Calibri"/>
                <w:color w:val="000000"/>
                <w:sz w:val="16"/>
                <w:szCs w:val="16"/>
              </w:rPr>
              <w:t xml:space="preserve">Africa Corps / Russian MoD direct control</w:t>
            </w:r>
          </w:p>
        </w:tc>
        <w:tc>
          <w:tcPr>
            <w:tcW w:type="dxa" w:w="2800"/>
            <w:shd w:val="clear" w:color="auto" w:fill="EEF2F8"/>
          </w:tcPr>
          <w:p>
            <w:pPr>
              <w:spacing w:before="40" w:after="40"/>
            </w:pPr>
            <w:r>
              <w:rPr>
                <w:rFonts w:ascii="Calibri" w:cs="Calibri" w:hAnsi="Calibri"/>
                <w:color w:val="000000"/>
                <w:sz w:val="16"/>
                <w:szCs w:val="16"/>
              </w:rPr>
              <w:t xml:space="preserve">US/EU-designated. Primary operational commander following Prigozhin death Aug 2023. Africa Corps now directly under Russian MoD. HARM Act 2.0 (H.R. 7415) pending for expanded Africa Corps designations.</w:t>
            </w:r>
          </w:p>
        </w:tc>
      </w:tr>
      <w:tr>
        <w:tc>
          <w:tcPr>
            <w:tcW w:type="dxa" w:w="2200"/>
            <w:shd w:val="clear" w:color="auto" w:fill="FFFFFF"/>
          </w:tcPr>
          <w:p>
            <w:pPr>
              <w:spacing w:before="40" w:after="40"/>
            </w:pPr>
            <w:r>
              <w:rPr>
                <w:rFonts w:ascii="Calibri" w:cs="Calibri" w:hAnsi="Calibri"/>
                <w:b/>
                <w:bCs/>
                <w:color w:val="1C2B4A"/>
                <w:sz w:val="16"/>
                <w:szCs w:val="16"/>
              </w:rPr>
              <w:t xml:space="preserve">Yevgeny Prigozhin (deceased Aug 2023)</w:t>
            </w:r>
          </w:p>
        </w:tc>
        <w:tc>
          <w:tcPr>
            <w:tcW w:type="dxa" w:w="2000"/>
            <w:shd w:val="clear" w:color="auto" w:fill="FFFFFF"/>
          </w:tcPr>
          <w:p>
            <w:pPr>
              <w:spacing w:before="40" w:after="40"/>
            </w:pPr>
            <w:r>
              <w:rPr>
                <w:rFonts w:ascii="Calibri" w:cs="Calibri" w:hAnsi="Calibri"/>
                <w:color w:val="000000"/>
                <w:sz w:val="16"/>
                <w:szCs w:val="16"/>
              </w:rPr>
              <w:t xml:space="preserve">Founder Wagner Group</w:t>
            </w:r>
          </w:p>
        </w:tc>
        <w:tc>
          <w:tcPr>
            <w:tcW w:type="dxa" w:w="1800"/>
            <w:shd w:val="clear" w:color="auto" w:fill="FFFFFF"/>
          </w:tcPr>
          <w:p>
            <w:pPr>
              <w:spacing w:before="40" w:after="40"/>
            </w:pPr>
            <w:r>
              <w:rPr>
                <w:rFonts w:ascii="Calibri" w:cs="Calibri" w:hAnsi="Calibri"/>
                <w:b/>
                <w:bCs/>
                <w:color w:val="8B0000"/>
                <w:sz w:val="16"/>
                <w:szCs w:val="16"/>
              </w:rPr>
              <w:t xml:space="preserve">YES</w:t>
            </w:r>
          </w:p>
        </w:tc>
        <w:tc>
          <w:tcPr>
            <w:tcW w:type="dxa" w:w="1600"/>
            <w:shd w:val="clear" w:color="auto" w:fill="FFFFFF"/>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FFFFFF"/>
          </w:tcPr>
          <w:p>
            <w:pPr>
              <w:spacing w:before="40" w:after="40"/>
            </w:pPr>
            <w:r>
              <w:rPr>
                <w:rFonts w:ascii="Calibri" w:cs="Calibri" w:hAnsi="Calibri"/>
                <w:color w:val="000000"/>
                <w:sz w:val="16"/>
                <w:szCs w:val="16"/>
              </w:rPr>
              <w:t xml:space="preserve">Wagner Group; Concord Management; IRA (Internet Research Agency)</w:t>
            </w:r>
          </w:p>
        </w:tc>
        <w:tc>
          <w:tcPr>
            <w:tcW w:type="dxa" w:w="2800"/>
            <w:shd w:val="clear" w:color="auto" w:fill="FFFFFF"/>
          </w:tcPr>
          <w:p>
            <w:pPr>
              <w:spacing w:before="40" w:after="40"/>
            </w:pPr>
            <w:r>
              <w:rPr>
                <w:rFonts w:ascii="Calibri" w:cs="Calibri" w:hAnsi="Calibri"/>
                <w:color w:val="000000"/>
                <w:sz w:val="16"/>
                <w:szCs w:val="16"/>
              </w:rPr>
              <w:t xml:space="preserve">Deceased. Killed in plane crash Aug 23 2023. Designated under multiple authorities. Legacy: Wagner restructured into Africa Corps under MoD control; financial networks partially reconstituted through new entities.</w:t>
            </w:r>
          </w:p>
        </w:tc>
      </w:tr>
      <w:tr>
        <w:tc>
          <w:tcPr>
            <w:tcW w:type="dxa" w:w="2200"/>
            <w:shd w:val="clear" w:color="auto" w:fill="EEF2F8"/>
          </w:tcPr>
          <w:p>
            <w:pPr>
              <w:spacing w:before="40" w:after="40"/>
            </w:pPr>
            <w:r>
              <w:rPr>
                <w:rFonts w:ascii="Calibri" w:cs="Calibri" w:hAnsi="Calibri"/>
                <w:b/>
                <w:bCs/>
                <w:color w:val="1C2B4A"/>
                <w:sz w:val="16"/>
                <w:szCs w:val="16"/>
              </w:rPr>
              <w:t xml:space="preserve">Abdul-Malik al-Houthi</w:t>
            </w:r>
          </w:p>
        </w:tc>
        <w:tc>
          <w:tcPr>
            <w:tcW w:type="dxa" w:w="2000"/>
            <w:shd w:val="clear" w:color="auto" w:fill="EEF2F8"/>
          </w:tcPr>
          <w:p>
            <w:pPr>
              <w:spacing w:before="40" w:after="40"/>
            </w:pPr>
            <w:r>
              <w:rPr>
                <w:rFonts w:ascii="Calibri" w:cs="Calibri" w:hAnsi="Calibri"/>
                <w:color w:val="000000"/>
                <w:sz w:val="16"/>
                <w:szCs w:val="16"/>
              </w:rPr>
              <w:t xml:space="preserve">Supreme Leader, Ansarallah (Houthis)</w:t>
            </w:r>
          </w:p>
        </w:tc>
        <w:tc>
          <w:tcPr>
            <w:tcW w:type="dxa" w:w="1800"/>
            <w:shd w:val="clear" w:color="auto" w:fill="EEF2F8"/>
          </w:tcPr>
          <w:p>
            <w:pPr>
              <w:spacing w:before="40" w:after="40"/>
            </w:pPr>
            <w:r>
              <w:rPr>
                <w:rFonts w:ascii="Calibri" w:cs="Calibri" w:hAnsi="Calibri"/>
                <w:b/>
                <w:bCs/>
                <w:color w:val="8B0000"/>
                <w:sz w:val="16"/>
                <w:szCs w:val="16"/>
              </w:rPr>
              <w:t xml:space="preserve">YES</w:t>
            </w:r>
          </w:p>
        </w:tc>
        <w:tc>
          <w:tcPr>
            <w:tcW w:type="dxa" w:w="1600"/>
            <w:shd w:val="clear" w:color="auto" w:fill="EEF2F8"/>
          </w:tcPr>
          <w:p>
            <w:pPr>
              <w:spacing w:before="40" w:after="40"/>
            </w:pPr>
            <w:r>
              <w:rPr>
                <w:rFonts w:ascii="Calibri" w:cs="Calibri" w:hAnsi="Calibri"/>
                <w:b/>
                <w:bCs/>
                <w:color w:val="8B0000"/>
                <w:sz w:val="16"/>
                <w:szCs w:val="16"/>
              </w:rPr>
              <w:t xml:space="preserve">YES</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EEF2F8"/>
          </w:tcPr>
          <w:p>
            <w:pPr>
              <w:spacing w:before="40" w:after="40"/>
            </w:pPr>
            <w:r>
              <w:rPr>
                <w:rFonts w:ascii="Calibri" w:cs="Calibri" w:hAnsi="Calibri"/>
                <w:color w:val="000000"/>
                <w:sz w:val="16"/>
                <w:szCs w:val="16"/>
              </w:rPr>
              <w:t xml:space="preserve">Houthi organizational/military command</w:t>
            </w:r>
          </w:p>
        </w:tc>
        <w:tc>
          <w:tcPr>
            <w:tcW w:type="dxa" w:w="2800"/>
            <w:shd w:val="clear" w:color="auto" w:fill="EEF2F8"/>
          </w:tcPr>
          <w:p>
            <w:pPr>
              <w:spacing w:before="40" w:after="40"/>
            </w:pPr>
            <w:r>
              <w:rPr>
                <w:rFonts w:ascii="Calibri" w:cs="Calibri" w:hAnsi="Calibri"/>
                <w:color w:val="000000"/>
                <w:sz w:val="16"/>
                <w:szCs w:val="16"/>
              </w:rPr>
              <w:t xml:space="preserve">Designated. Overall Houthi leader. FTO designation (Mar 5 2025) created §2339B material support exposure for all Houthi facilitators globally. Primary target for coalition pressure.</w:t>
            </w:r>
          </w:p>
        </w:tc>
      </w:tr>
      <w:tr>
        <w:tc>
          <w:tcPr>
            <w:tcW w:type="dxa" w:w="2200"/>
            <w:shd w:val="clear" w:color="auto" w:fill="FFFFFF"/>
          </w:tcPr>
          <w:p>
            <w:pPr>
              <w:spacing w:before="40" w:after="40"/>
            </w:pPr>
            <w:r>
              <w:rPr>
                <w:rFonts w:ascii="Calibri" w:cs="Calibri" w:hAnsi="Calibri"/>
                <w:b/>
                <w:bCs/>
                <w:color w:val="1C2B4A"/>
                <w:sz w:val="16"/>
                <w:szCs w:val="16"/>
              </w:rPr>
              <w:t xml:space="preserve">Muhammad Al-Sunaydar</w:t>
            </w:r>
          </w:p>
        </w:tc>
        <w:tc>
          <w:tcPr>
            <w:tcW w:type="dxa" w:w="2000"/>
            <w:shd w:val="clear" w:color="auto" w:fill="FFFFFF"/>
          </w:tcPr>
          <w:p>
            <w:pPr>
              <w:spacing w:before="40" w:after="40"/>
            </w:pPr>
            <w:r>
              <w:rPr>
                <w:rFonts w:ascii="Calibri" w:cs="Calibri" w:hAnsi="Calibri"/>
                <w:color w:val="000000"/>
                <w:sz w:val="16"/>
                <w:szCs w:val="16"/>
              </w:rPr>
              <w:t xml:space="preserve">Houthi-aligned Yemeni businessman; aviation/shipping coordinator</w:t>
            </w:r>
          </w:p>
        </w:tc>
        <w:tc>
          <w:tcPr>
            <w:tcW w:type="dxa" w:w="1800"/>
            <w:shd w:val="clear" w:color="auto" w:fill="FFFFFF"/>
          </w:tcPr>
          <w:p>
            <w:pPr>
              <w:spacing w:before="40" w:after="40"/>
            </w:pPr>
            <w:r>
              <w:rPr>
                <w:rFonts w:ascii="Calibri" w:cs="Calibri" w:hAnsi="Calibri"/>
                <w:b/>
                <w:bCs/>
                <w:color w:val="8B0000"/>
                <w:sz w:val="16"/>
                <w:szCs w:val="16"/>
              </w:rPr>
              <w:t xml:space="preserve">YES</w:t>
            </w:r>
          </w:p>
        </w:tc>
        <w:tc>
          <w:tcPr>
            <w:tcW w:type="dxa" w:w="1600"/>
            <w:shd w:val="clear" w:color="auto" w:fill="FFFFFF"/>
          </w:tcPr>
          <w:p>
            <w:pPr>
              <w:spacing w:before="40" w:after="40"/>
            </w:pPr>
            <w:r>
              <w:rPr>
                <w:rFonts w:ascii="Calibri" w:cs="Calibri" w:hAnsi="Calibri"/>
                <w:b/>
                <w:bCs/>
                <w:color w:val="2E5090"/>
                <w:sz w:val="16"/>
                <w:szCs w:val="16"/>
              </w:rPr>
              <w:t xml:space="preserve">NO</w:t>
            </w:r>
          </w:p>
        </w:tc>
        <w:tc>
          <w:tcPr>
            <w:tcW w:type="dxa" w:w="14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400"/>
            <w:shd w:val="clear" w:color="auto" w:fill="FFFFFF"/>
          </w:tcPr>
          <w:p>
            <w:pPr>
              <w:spacing w:before="40" w:after="40"/>
            </w:pPr>
            <w:r>
              <w:rPr>
                <w:rFonts w:ascii="Calibri" w:cs="Calibri" w:hAnsi="Calibri"/>
                <w:color w:val="000000"/>
                <w:sz w:val="16"/>
                <w:szCs w:val="16"/>
              </w:rPr>
              <w:t xml:space="preserve">Tyba Ship Management DMCC (Dubai); Barash Aviation; Sama Airline</w:t>
            </w:r>
          </w:p>
        </w:tc>
        <w:tc>
          <w:tcPr>
            <w:tcW w:type="dxa" w:w="2800"/>
            <w:shd w:val="clear" w:color="auto" w:fill="FFFFFF"/>
          </w:tcPr>
          <w:p>
            <w:pPr>
              <w:spacing w:before="40" w:after="40"/>
            </w:pPr>
            <w:r>
              <w:rPr>
                <w:rFonts w:ascii="Calibri" w:cs="Calibri" w:hAnsi="Calibri"/>
                <w:color w:val="000000"/>
                <w:sz w:val="16"/>
                <w:szCs w:val="16"/>
              </w:rPr>
              <w:t xml:space="preserve">US-designated Jul 22 2025. Coordinates Houthi airline acquisition including attempted Viktor Bout aircraft purchase contact (early 2025). UAE-based operational logistics coordinator.</w:t>
            </w:r>
          </w:p>
        </w:tc>
      </w:tr>
    </w:tbl>
    <w:p>
      <w:pPr>
        <w:spacing w:before="60" w:after="60"/>
      </w:pPr>
      <w:r>
        <w:rPr>
          <w:rFonts w:ascii="Calibri" w:cs="Calibri" w:hAnsi="Calibri"/>
          <w:color w:val="000000"/>
          <w:sz w:val="18"/>
          <w:szCs w:val="18"/>
        </w:rPr>
        <w:t xml:space="preserve"/>
      </w:r>
    </w:p>
    <w:p>
      <w:pPr>
        <w:spacing w:before="60" w:after="60"/>
      </w:pPr>
      <w:r>
        <w:rPr>
          <w:rFonts w:ascii="Calibri" w:cs="Calibri" w:hAnsi="Calibri"/>
          <w:color w:val="000000"/>
          <w:sz w:val="18"/>
          <w:szCs w:val="18"/>
        </w:rPr>
        <w:t xml:space="preserve">Section XXXI added March 2026. Covers key persons across Hezbollah (Nasrallah succession, Jaber/Qasir/Kasbar finance team, Nazem Said Ahmad diamond network), Hamas/PIJ (Jabarin Istanbul portfolio, Shamlakh Gaza conduit), DPRK (Kim Jong Un, RGB/Lazarus command), Houthis (al-Houthi, al-Jamal, al-Sunaydar), Iran IRGC-QF (Qaani, Zahedi), Venezuela (Maduro in US custody, Cabello), Cuba GAESA (Rodriguez Lopez-Calleja), Sinaloa/CJNG (Zambada, El Mencho), and Wagner/Africa Corps (Troshev, Prigozhin legacy). Status designations verified against OFAC SDN and EU consolidated lists as of March 2026.</w:t>
      </w:r>
    </w:p>
    <w:p>
      <w:r>
        <w:br w:type="page"/>
      </w:r>
    </w:p>
    <w:p>
      <w:pPr>
        <w:spacing w:before="240" w:after="120"/>
      </w:pPr>
      <w:r>
        <w:rPr>
          <w:rFonts w:ascii="Calibri" w:cs="Calibri" w:hAnsi="Calibri"/>
          <w:b/>
          <w:bCs/>
          <w:color w:val="1C2B4A"/>
          <w:sz w:val="30"/>
          <w:szCs w:val="30"/>
        </w:rPr>
        <w:t xml:space="preserve">XXXII. Iraqi Popular Mobilization Forces (PMF / Hashd al-Shaabi) — Iran-Directed Financial and Military Networks</w:t>
      </w:r>
    </w:p>
    <w:p>
      <w:pPr>
        <w:spacing w:before="60" w:after="60"/>
      </w:pPr>
      <w:r>
        <w:rPr>
          <w:rFonts w:ascii="Calibri" w:cs="Calibri" w:hAnsi="Calibri"/>
          <w:color w:val="000000"/>
          <w:sz w:val="18"/>
          <w:szCs w:val="18"/>
        </w:rPr>
        <w:t xml:space="preserve">The Iraqi PMF (Hashd al-Shaabi) is a state-recognized paramilitary umbrella comprising 67+ factions, approximately 20 of which are directly directed and financed by IRGC-QF. Annual budget drawn from Iraqi state appropriations (~$2.5B/yr through Prime Minister's office) supplemented by IRGC-QF transfers, toll collection, border taxation, and oil field revenue diversion. Designated factions include Kata'ib Hezbollah (KH), Asa'ib Ahl al-Haq (AAH), Harakat Hezbollah al-Nujaba (HHN), and Kata'ib Sayyid al-Shuhada (KSS). KH designated as FTO Jan 2009; AAH designated Oct 2019. Iranian-aligned PMF factions conducted drone and rocket attacks on US forces in Iraq and Syria 160+ times between Oct 2023 and Feb 2024.</w:t>
      </w:r>
    </w:p>
    <w:tbl>
      <w:tblPr>
        <w:tblW w:type="dxa" w:w="14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1400"/>
        <w:gridCol w:w="1200"/>
        <w:gridCol w:w="1800"/>
        <w:gridCol w:w="4000"/>
      </w:tblGrid>
      <w:tr>
        <w:tc>
          <w:tcPr>
            <w:tcW w:type="dxa" w:w="2400"/>
            <w:shd w:val="clear" w:color="auto" w:fill="1C2B4A"/>
          </w:tcPr>
          <w:p>
            <w:pPr>
              <w:jc w:val="center"/>
            </w:pPr>
            <w:r>
              <w:rPr>
                <w:rFonts w:ascii="Calibri" w:cs="Calibri" w:hAnsi="Calibri"/>
                <w:b/>
                <w:bCs/>
                <w:color w:val="FFFFFF"/>
                <w:sz w:val="16"/>
                <w:szCs w:val="16"/>
              </w:rPr>
              <w:t xml:space="preserve">NODE</w:t>
            </w:r>
          </w:p>
        </w:tc>
        <w:tc>
          <w:tcPr>
            <w:tcW w:type="dxa" w:w="1400"/>
            <w:shd w:val="clear" w:color="auto" w:fill="1C2B4A"/>
          </w:tcPr>
          <w:p>
            <w:pPr>
              <w:jc w:val="center"/>
            </w:pPr>
            <w:r>
              <w:rPr>
                <w:rFonts w:ascii="Calibri" w:cs="Calibri" w:hAnsi="Calibri"/>
                <w:b/>
                <w:bCs/>
                <w:color w:val="FFFFFF"/>
                <w:sz w:val="16"/>
                <w:szCs w:val="16"/>
              </w:rPr>
              <w:t xml:space="preserve">LOCATION</w:t>
            </w:r>
          </w:p>
        </w:tc>
        <w:tc>
          <w:tcPr>
            <w:tcW w:type="dxa" w:w="2000"/>
            <w:shd w:val="clear" w:color="auto" w:fill="1C2B4A"/>
          </w:tcPr>
          <w:p>
            <w:pPr>
              <w:jc w:val="center"/>
            </w:pPr>
            <w:r>
              <w:rPr>
                <w:rFonts w:ascii="Calibri" w:cs="Calibri" w:hAnsi="Calibri"/>
                <w:b/>
                <w:bCs/>
                <w:color w:val="FFFFFF"/>
                <w:sz w:val="16"/>
                <w:szCs w:val="16"/>
              </w:rPr>
              <w:t xml:space="preserve">OPERATOR / STRUCTURE</w:t>
            </w:r>
          </w:p>
        </w:tc>
        <w:tc>
          <w:tcPr>
            <w:tcW w:type="dxa" w:w="1400"/>
            <w:shd w:val="clear" w:color="auto" w:fill="1C2B4A"/>
          </w:tcPr>
          <w:p>
            <w:pPr>
              <w:jc w:val="center"/>
            </w:pPr>
            <w:r>
              <w:rPr>
                <w:rFonts w:ascii="Calibri" w:cs="Calibri" w:hAnsi="Calibri"/>
                <w:b/>
                <w:bCs/>
                <w:color w:val="FFFFFF"/>
                <w:sz w:val="16"/>
                <w:szCs w:val="16"/>
              </w:rPr>
              <w:t xml:space="preserve">CATEGORY</w:t>
            </w:r>
          </w:p>
        </w:tc>
        <w:tc>
          <w:tcPr>
            <w:tcW w:type="dxa" w:w="1200"/>
            <w:shd w:val="clear" w:color="auto" w:fill="1C2B4A"/>
          </w:tcPr>
          <w:p>
            <w:pPr>
              <w:jc w:val="center"/>
            </w:pPr>
            <w:r>
              <w:rPr>
                <w:rFonts w:ascii="Calibri" w:cs="Calibri" w:hAnsi="Calibri"/>
                <w:b/>
                <w:bCs/>
                <w:color w:val="FFFFFF"/>
                <w:sz w:val="16"/>
                <w:szCs w:val="16"/>
              </w:rPr>
              <w:t xml:space="preserve">STATUS</w:t>
            </w:r>
          </w:p>
        </w:tc>
        <w:tc>
          <w:tcPr>
            <w:tcW w:type="dxa" w:w="1800"/>
            <w:shd w:val="clear" w:color="auto" w:fill="1C2B4A"/>
          </w:tcPr>
          <w:p>
            <w:pPr>
              <w:jc w:val="center"/>
            </w:pPr>
            <w:r>
              <w:rPr>
                <w:rFonts w:ascii="Calibri" w:cs="Calibri" w:hAnsi="Calibri"/>
                <w:b/>
                <w:bCs/>
                <w:color w:val="FFFFFF"/>
                <w:sz w:val="16"/>
                <w:szCs w:val="16"/>
              </w:rPr>
              <w:t xml:space="preserve">LEGAL AUTHORITY</w:t>
            </w:r>
          </w:p>
        </w:tc>
        <w:tc>
          <w:tcPr>
            <w:tcW w:type="dxa" w:w="4000"/>
            <w:shd w:val="clear" w:color="auto" w:fill="1C2B4A"/>
          </w:tcPr>
          <w:p>
            <w:pPr>
              <w:jc w:val="center"/>
            </w:pPr>
            <w:r>
              <w:rPr>
                <w:rFonts w:ascii="Calibri" w:cs="Calibri" w:hAnsi="Calibri"/>
                <w:b/>
                <w:bCs/>
                <w:color w:val="FFFFFF"/>
                <w:sz w:val="16"/>
                <w:szCs w:val="16"/>
              </w:rPr>
              <w:t xml:space="preserve">ENFORCEMENT THEORY AND ACTION</w:t>
            </w:r>
          </w:p>
        </w:tc>
      </w:tr>
      <w:tr>
        <w:tc>
          <w:tcPr>
            <w:tcW w:type="dxa" w:w="2400"/>
            <w:shd w:val="clear" w:color="auto" w:fill="EEF2F8"/>
          </w:tcPr>
          <w:p>
            <w:pPr>
              <w:spacing w:before="40" w:after="40"/>
            </w:pPr>
            <w:r>
              <w:rPr>
                <w:rFonts w:ascii="Calibri" w:cs="Calibri" w:hAnsi="Calibri"/>
                <w:b/>
                <w:bCs/>
                <w:color w:val="1C2B4A"/>
                <w:sz w:val="16"/>
                <w:szCs w:val="16"/>
              </w:rPr>
              <w:t xml:space="preserve">Iraqi State PMF Budget Appropriation</w:t>
            </w:r>
          </w:p>
        </w:tc>
        <w:tc>
          <w:tcPr>
            <w:tcW w:type="dxa" w:w="1400"/>
            <w:shd w:val="clear" w:color="auto" w:fill="EEF2F8"/>
          </w:tcPr>
          <w:p>
            <w:pPr>
              <w:spacing w:before="40" w:after="40"/>
            </w:pPr>
            <w:r>
              <w:rPr>
                <w:rFonts w:ascii="Calibri" w:cs="Calibri" w:hAnsi="Calibri"/>
                <w:color w:val="000000"/>
                <w:sz w:val="16"/>
                <w:szCs w:val="16"/>
              </w:rPr>
              <w:t xml:space="preserve">Baghdad, Iraq</w:t>
            </w:r>
          </w:p>
        </w:tc>
        <w:tc>
          <w:tcPr>
            <w:tcW w:type="dxa" w:w="2000"/>
            <w:shd w:val="clear" w:color="auto" w:fill="EEF2F8"/>
          </w:tcPr>
          <w:p>
            <w:pPr>
              <w:spacing w:before="40" w:after="40"/>
            </w:pPr>
            <w:r>
              <w:rPr>
                <w:rFonts w:ascii="Calibri" w:cs="Calibri" w:hAnsi="Calibri"/>
                <w:color w:val="000000"/>
                <w:sz w:val="16"/>
                <w:szCs w:val="16"/>
              </w:rPr>
              <w:t xml:space="preserve">PMM (PMF Commission); Abu Fadak (Secretary-General); Iranian-aligned faction commanders</w:t>
            </w:r>
          </w:p>
        </w:tc>
        <w:tc>
          <w:tcPr>
            <w:tcW w:type="dxa" w:w="1400"/>
            <w:shd w:val="clear" w:color="auto" w:fill="EEF2F8"/>
          </w:tcPr>
          <w:p>
            <w:pPr>
              <w:spacing w:before="40" w:after="40"/>
            </w:pPr>
            <w:r>
              <w:rPr>
                <w:rFonts w:ascii="Calibri" w:cs="Calibri" w:hAnsi="Calibri"/>
                <w:color w:val="000000"/>
                <w:sz w:val="16"/>
                <w:szCs w:val="16"/>
              </w:rPr>
              <w:t xml:space="preserve">State Finance / IRGC-QF pipeline</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shd w:val="clear" w:color="auto" w:fill="EEF2F8"/>
          </w:tcPr>
          <w:p>
            <w:pPr>
              <w:spacing w:before="40" w:after="40"/>
            </w:pPr>
            <w:r>
              <w:rPr>
                <w:rFonts w:ascii="Calibri" w:cs="Calibri" w:hAnsi="Calibri"/>
                <w:color w:val="000000"/>
                <w:sz w:val="16"/>
                <w:szCs w:val="16"/>
              </w:rPr>
              <w:t xml:space="preserve">EO 13224; EO 14024 (material support); CAATSA §226</w:t>
            </w:r>
          </w:p>
        </w:tc>
        <w:tc>
          <w:tcPr>
            <w:tcW w:type="dxa" w:w="4000"/>
            <w:shd w:val="clear" w:color="auto" w:fill="EEF2F8"/>
          </w:tcPr>
          <w:p>
            <w:pPr>
              <w:spacing w:before="40" w:after="40"/>
            </w:pPr>
            <w:r>
              <w:rPr>
                <w:rFonts w:ascii="Calibri" w:cs="Calibri" w:hAnsi="Calibri"/>
                <w:color w:val="000000"/>
                <w:sz w:val="16"/>
                <w:szCs w:val="16"/>
              </w:rPr>
              <w:t xml:space="preserve">Iraqi state budget allocates ~$2.5B/yr to PMF. Iranian-aligned factions receive disproportionate share. Treasury has designated individual faction leaders but not the PMF budget mechanism itself. OFAC action: designate PMM as material support conduit under EO 13224 §1(c).</w:t>
            </w:r>
          </w:p>
        </w:tc>
      </w:tr>
      <w:tr>
        <w:tc>
          <w:tcPr>
            <w:tcW w:type="dxa" w:w="2400"/>
            <w:shd w:val="clear" w:color="auto" w:fill="FFFFFF"/>
          </w:tcPr>
          <w:p>
            <w:pPr>
              <w:spacing w:before="40" w:after="40"/>
            </w:pPr>
            <w:r>
              <w:rPr>
                <w:rFonts w:ascii="Calibri" w:cs="Calibri" w:hAnsi="Calibri"/>
                <w:b/>
                <w:bCs/>
                <w:color w:val="1C2B4A"/>
                <w:sz w:val="16"/>
                <w:szCs w:val="16"/>
              </w:rPr>
              <w:t xml:space="preserve">Kata'ib Hezbollah (KH) Financial Network</w:t>
            </w:r>
          </w:p>
        </w:tc>
        <w:tc>
          <w:tcPr>
            <w:tcW w:type="dxa" w:w="1400"/>
            <w:shd w:val="clear" w:color="auto" w:fill="FFFFFF"/>
          </w:tcPr>
          <w:p>
            <w:pPr>
              <w:spacing w:before="40" w:after="40"/>
            </w:pPr>
            <w:r>
              <w:rPr>
                <w:rFonts w:ascii="Calibri" w:cs="Calibri" w:hAnsi="Calibri"/>
                <w:color w:val="000000"/>
                <w:sz w:val="16"/>
                <w:szCs w:val="16"/>
              </w:rPr>
              <w:t xml:space="preserve">Iraq / Iran / Syria</w:t>
            </w:r>
          </w:p>
        </w:tc>
        <w:tc>
          <w:tcPr>
            <w:tcW w:type="dxa" w:w="2000"/>
            <w:shd w:val="clear" w:color="auto" w:fill="FFFFFF"/>
          </w:tcPr>
          <w:p>
            <w:pPr>
              <w:spacing w:before="40" w:after="40"/>
            </w:pPr>
            <w:r>
              <w:rPr>
                <w:rFonts w:ascii="Calibri" w:cs="Calibri" w:hAnsi="Calibri"/>
                <w:color w:val="000000"/>
                <w:sz w:val="16"/>
                <w:szCs w:val="16"/>
              </w:rPr>
              <w:t xml:space="preserve">Abu Mahdi al-Muhandis (deceased); current KH leadership; IRGC-QF Quds Force</w:t>
            </w:r>
          </w:p>
        </w:tc>
        <w:tc>
          <w:tcPr>
            <w:tcW w:type="dxa" w:w="1400"/>
            <w:shd w:val="clear" w:color="auto" w:fill="FFFFFF"/>
          </w:tcPr>
          <w:p>
            <w:pPr>
              <w:spacing w:before="40" w:after="40"/>
            </w:pPr>
            <w:r>
              <w:rPr>
                <w:rFonts w:ascii="Calibri" w:cs="Calibri" w:hAnsi="Calibri"/>
                <w:color w:val="000000"/>
                <w:sz w:val="16"/>
                <w:szCs w:val="16"/>
              </w:rPr>
              <w:t xml:space="preserve">Terrorist Financing / Weapons Procurement</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FFFFFF"/>
          </w:tcPr>
          <w:p>
            <w:pPr>
              <w:spacing w:before="40" w:after="40"/>
            </w:pPr>
            <w:r>
              <w:rPr>
                <w:rFonts w:ascii="Calibri" w:cs="Calibri" w:hAnsi="Calibri"/>
                <w:color w:val="000000"/>
                <w:sz w:val="16"/>
                <w:szCs w:val="16"/>
              </w:rPr>
              <w:t xml:space="preserve">EO 13224; FTO designation (Jan 2009); UNSCR 1267 list</w:t>
            </w:r>
          </w:p>
        </w:tc>
        <w:tc>
          <w:tcPr>
            <w:tcW w:type="dxa" w:w="4000"/>
            <w:shd w:val="clear" w:color="auto" w:fill="FFFFFF"/>
          </w:tcPr>
          <w:p>
            <w:pPr>
              <w:spacing w:before="40" w:after="40"/>
            </w:pPr>
            <w:r>
              <w:rPr>
                <w:rFonts w:ascii="Calibri" w:cs="Calibri" w:hAnsi="Calibri"/>
                <w:color w:val="000000"/>
                <w:sz w:val="16"/>
                <w:szCs w:val="16"/>
              </w:rPr>
              <w:t xml:space="preserve">KH designated FTO and SDGT. Receives weapons, funding, and direction from IRGC-QF. Conducted Oct 2023–Feb 2024 drone/rocket campaign against US forces. Monitor for new financial facilitation structures post-Muhandis (killed Jan 2020).</w:t>
            </w:r>
          </w:p>
        </w:tc>
      </w:tr>
      <w:tr>
        <w:tc>
          <w:tcPr>
            <w:tcW w:type="dxa" w:w="2400"/>
            <w:shd w:val="clear" w:color="auto" w:fill="EEF2F8"/>
          </w:tcPr>
          <w:p>
            <w:pPr>
              <w:spacing w:before="40" w:after="40"/>
            </w:pPr>
            <w:r>
              <w:rPr>
                <w:rFonts w:ascii="Calibri" w:cs="Calibri" w:hAnsi="Calibri"/>
                <w:b/>
                <w:bCs/>
                <w:color w:val="1C2B4A"/>
                <w:sz w:val="16"/>
                <w:szCs w:val="16"/>
              </w:rPr>
              <w:t xml:space="preserve">Asa'ib Ahl al-Haq (AAH) Revenue Network</w:t>
            </w:r>
          </w:p>
        </w:tc>
        <w:tc>
          <w:tcPr>
            <w:tcW w:type="dxa" w:w="1400"/>
            <w:shd w:val="clear" w:color="auto" w:fill="EEF2F8"/>
          </w:tcPr>
          <w:p>
            <w:pPr>
              <w:spacing w:before="40" w:after="40"/>
            </w:pPr>
            <w:r>
              <w:rPr>
                <w:rFonts w:ascii="Calibri" w:cs="Calibri" w:hAnsi="Calibri"/>
                <w:color w:val="000000"/>
                <w:sz w:val="16"/>
                <w:szCs w:val="16"/>
              </w:rPr>
              <w:t xml:space="preserve">Iraq / Lebanon</w:t>
            </w:r>
          </w:p>
        </w:tc>
        <w:tc>
          <w:tcPr>
            <w:tcW w:type="dxa" w:w="2000"/>
            <w:shd w:val="clear" w:color="auto" w:fill="EEF2F8"/>
          </w:tcPr>
          <w:p>
            <w:pPr>
              <w:spacing w:before="40" w:after="40"/>
            </w:pPr>
            <w:r>
              <w:rPr>
                <w:rFonts w:ascii="Calibri" w:cs="Calibri" w:hAnsi="Calibri"/>
                <w:color w:val="000000"/>
                <w:sz w:val="16"/>
                <w:szCs w:val="16"/>
              </w:rPr>
              <w:t xml:space="preserve">Qais al-Khazali (AAH Secretary-General, designated); IRGC-QF liaison officers</w:t>
            </w:r>
          </w:p>
        </w:tc>
        <w:tc>
          <w:tcPr>
            <w:tcW w:type="dxa" w:w="1400"/>
            <w:shd w:val="clear" w:color="auto" w:fill="EEF2F8"/>
          </w:tcPr>
          <w:p>
            <w:pPr>
              <w:spacing w:before="40" w:after="40"/>
            </w:pPr>
            <w:r>
              <w:rPr>
                <w:rFonts w:ascii="Calibri" w:cs="Calibri" w:hAnsi="Calibri"/>
                <w:color w:val="000000"/>
                <w:sz w:val="16"/>
                <w:szCs w:val="16"/>
              </w:rPr>
              <w:t xml:space="preserve">Terrorist Financing / Political Influence</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EEF2F8"/>
          </w:tcPr>
          <w:p>
            <w:pPr>
              <w:spacing w:before="40" w:after="40"/>
            </w:pPr>
            <w:r>
              <w:rPr>
                <w:rFonts w:ascii="Calibri" w:cs="Calibri" w:hAnsi="Calibri"/>
                <w:color w:val="000000"/>
                <w:sz w:val="16"/>
                <w:szCs w:val="16"/>
              </w:rPr>
              <w:t xml:space="preserve">EO 13224 (Oct 2019); FTO designation (Oct 2019)</w:t>
            </w:r>
          </w:p>
        </w:tc>
        <w:tc>
          <w:tcPr>
            <w:tcW w:type="dxa" w:w="4000"/>
            <w:shd w:val="clear" w:color="auto" w:fill="EEF2F8"/>
          </w:tcPr>
          <w:p>
            <w:pPr>
              <w:spacing w:before="40" w:after="40"/>
            </w:pPr>
            <w:r>
              <w:rPr>
                <w:rFonts w:ascii="Calibri" w:cs="Calibri" w:hAnsi="Calibri"/>
                <w:color w:val="000000"/>
                <w:sz w:val="16"/>
                <w:szCs w:val="16"/>
              </w:rPr>
              <w:t xml:space="preserve">AAH designated FTO/SDGT Oct 2019. Qais al-Khazali designated. Operates legal political party (Sadiqoun) and media network (Al-Ahd TV) as revenue and influence layer. Designate Al-Ahd TV and Sadiqoun financial structures under EO 13224 material support provisions.</w:t>
            </w:r>
          </w:p>
        </w:tc>
      </w:tr>
      <w:tr>
        <w:tc>
          <w:tcPr>
            <w:tcW w:type="dxa" w:w="2400"/>
            <w:shd w:val="clear" w:color="auto" w:fill="FFFFFF"/>
          </w:tcPr>
          <w:p>
            <w:pPr>
              <w:spacing w:before="40" w:after="40"/>
            </w:pPr>
            <w:r>
              <w:rPr>
                <w:rFonts w:ascii="Calibri" w:cs="Calibri" w:hAnsi="Calibri"/>
                <w:b/>
                <w:bCs/>
                <w:color w:val="1C2B4A"/>
                <w:sz w:val="16"/>
                <w:szCs w:val="16"/>
              </w:rPr>
              <w:t xml:space="preserve">Harakat Hezbollah al-Nujaba (HHN)</w:t>
            </w:r>
          </w:p>
        </w:tc>
        <w:tc>
          <w:tcPr>
            <w:tcW w:type="dxa" w:w="1400"/>
            <w:shd w:val="clear" w:color="auto" w:fill="FFFFFF"/>
          </w:tcPr>
          <w:p>
            <w:pPr>
              <w:spacing w:before="40" w:after="40"/>
            </w:pPr>
            <w:r>
              <w:rPr>
                <w:rFonts w:ascii="Calibri" w:cs="Calibri" w:hAnsi="Calibri"/>
                <w:color w:val="000000"/>
                <w:sz w:val="16"/>
                <w:szCs w:val="16"/>
              </w:rPr>
              <w:t xml:space="preserve">Iraq / Syria</w:t>
            </w:r>
          </w:p>
        </w:tc>
        <w:tc>
          <w:tcPr>
            <w:tcW w:type="dxa" w:w="2000"/>
            <w:shd w:val="clear" w:color="auto" w:fill="FFFFFF"/>
          </w:tcPr>
          <w:p>
            <w:pPr>
              <w:spacing w:before="40" w:after="40"/>
            </w:pPr>
            <w:r>
              <w:rPr>
                <w:rFonts w:ascii="Calibri" w:cs="Calibri" w:hAnsi="Calibri"/>
                <w:color w:val="000000"/>
                <w:sz w:val="16"/>
                <w:szCs w:val="16"/>
              </w:rPr>
              <w:t xml:space="preserve">Akram al-Kaabi (HHN Secretary-General, designated)</w:t>
            </w:r>
          </w:p>
        </w:tc>
        <w:tc>
          <w:tcPr>
            <w:tcW w:type="dxa" w:w="1400"/>
            <w:shd w:val="clear" w:color="auto" w:fill="FFFFFF"/>
          </w:tcPr>
          <w:p>
            <w:pPr>
              <w:spacing w:before="40" w:after="40"/>
            </w:pPr>
            <w:r>
              <w:rPr>
                <w:rFonts w:ascii="Calibri" w:cs="Calibri" w:hAnsi="Calibri"/>
                <w:color w:val="000000"/>
                <w:sz w:val="16"/>
                <w:szCs w:val="16"/>
              </w:rPr>
              <w:t xml:space="preserve">Terrorist Financing / Syria Operations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FFFFFF"/>
          </w:tcPr>
          <w:p>
            <w:pPr>
              <w:spacing w:before="40" w:after="40"/>
            </w:pPr>
            <w:r>
              <w:rPr>
                <w:rFonts w:ascii="Calibri" w:cs="Calibri" w:hAnsi="Calibri"/>
                <w:color w:val="000000"/>
                <w:sz w:val="16"/>
                <w:szCs w:val="16"/>
              </w:rPr>
              <w:t xml:space="preserve">EO 13224 (Jan 2020); FTO designation (Jan 2020)</w:t>
            </w:r>
          </w:p>
        </w:tc>
        <w:tc>
          <w:tcPr>
            <w:tcW w:type="dxa" w:w="4000"/>
            <w:shd w:val="clear" w:color="auto" w:fill="FFFFFF"/>
          </w:tcPr>
          <w:p>
            <w:pPr>
              <w:spacing w:before="40" w:after="40"/>
            </w:pPr>
            <w:r>
              <w:rPr>
                <w:rFonts w:ascii="Calibri" w:cs="Calibri" w:hAnsi="Calibri"/>
                <w:color w:val="000000"/>
                <w:sz w:val="16"/>
                <w:szCs w:val="16"/>
              </w:rPr>
              <w:t xml:space="preserve">HHN and al-Kaabi designated Jan 2020. Operates in Syria under IRGC-QF direction. Publicly called for attacks on US forces and Israel. Monitor for front company financial structures in Iraq and Lebanon.</w:t>
            </w:r>
          </w:p>
        </w:tc>
      </w:tr>
      <w:tr>
        <w:tc>
          <w:tcPr>
            <w:tcW w:type="dxa" w:w="2400"/>
            <w:shd w:val="clear" w:color="auto" w:fill="EEF2F8"/>
          </w:tcPr>
          <w:p>
            <w:pPr>
              <w:spacing w:before="40" w:after="40"/>
            </w:pPr>
            <w:r>
              <w:rPr>
                <w:rFonts w:ascii="Calibri" w:cs="Calibri" w:hAnsi="Calibri"/>
                <w:b/>
                <w:bCs/>
                <w:color w:val="1C2B4A"/>
                <w:sz w:val="16"/>
                <w:szCs w:val="16"/>
              </w:rPr>
              <w:t xml:space="preserve">PMF Oil Revenue Diversion — Kirkuk / Basra Fields</w:t>
            </w:r>
          </w:p>
        </w:tc>
        <w:tc>
          <w:tcPr>
            <w:tcW w:type="dxa" w:w="1400"/>
            <w:shd w:val="clear" w:color="auto" w:fill="EEF2F8"/>
          </w:tcPr>
          <w:p>
            <w:pPr>
              <w:spacing w:before="40" w:after="40"/>
            </w:pPr>
            <w:r>
              <w:rPr>
                <w:rFonts w:ascii="Calibri" w:cs="Calibri" w:hAnsi="Calibri"/>
                <w:color w:val="000000"/>
                <w:sz w:val="16"/>
                <w:szCs w:val="16"/>
              </w:rPr>
              <w:t xml:space="preserve">Northern and Southern Iraq</w:t>
            </w:r>
          </w:p>
        </w:tc>
        <w:tc>
          <w:tcPr>
            <w:tcW w:type="dxa" w:w="2000"/>
            <w:shd w:val="clear" w:color="auto" w:fill="EEF2F8"/>
          </w:tcPr>
          <w:p>
            <w:pPr>
              <w:spacing w:before="40" w:after="40"/>
            </w:pPr>
            <w:r>
              <w:rPr>
                <w:rFonts w:ascii="Calibri" w:cs="Calibri" w:hAnsi="Calibri"/>
                <w:color w:val="000000"/>
                <w:sz w:val="16"/>
                <w:szCs w:val="16"/>
              </w:rPr>
              <w:t xml:space="preserve">Iranian-aligned PMF faction commanders; oil field checkpoint operators</w:t>
            </w:r>
          </w:p>
        </w:tc>
        <w:tc>
          <w:tcPr>
            <w:tcW w:type="dxa" w:w="1400"/>
            <w:shd w:val="clear" w:color="auto" w:fill="EEF2F8"/>
          </w:tcPr>
          <w:p>
            <w:pPr>
              <w:spacing w:before="40" w:after="40"/>
            </w:pPr>
            <w:r>
              <w:rPr>
                <w:rFonts w:ascii="Calibri" w:cs="Calibri" w:hAnsi="Calibri"/>
                <w:color w:val="000000"/>
                <w:sz w:val="16"/>
                <w:szCs w:val="16"/>
              </w:rPr>
              <w:t xml:space="preserve">Revenue Diversion / Smuggling</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shd w:val="clear" w:color="auto" w:fill="EEF2F8"/>
          </w:tcPr>
          <w:p>
            <w:pPr>
              <w:spacing w:before="40" w:after="40"/>
            </w:pPr>
            <w:r>
              <w:rPr>
                <w:rFonts w:ascii="Calibri" w:cs="Calibri" w:hAnsi="Calibri"/>
                <w:color w:val="000000"/>
                <w:sz w:val="16"/>
                <w:szCs w:val="16"/>
              </w:rPr>
              <w:t xml:space="preserve">EO 13224 §1(c); IEEPA §1702; Iraqi law enforcement cooperation</w:t>
            </w:r>
          </w:p>
        </w:tc>
        <w:tc>
          <w:tcPr>
            <w:tcW w:type="dxa" w:w="4000"/>
            <w:shd w:val="clear" w:color="auto" w:fill="EEF2F8"/>
          </w:tcPr>
          <w:p>
            <w:pPr>
              <w:spacing w:before="40" w:after="40"/>
            </w:pPr>
            <w:r>
              <w:rPr>
                <w:rFonts w:ascii="Calibri" w:cs="Calibri" w:hAnsi="Calibri"/>
                <w:color w:val="000000"/>
                <w:sz w:val="16"/>
                <w:szCs w:val="16"/>
              </w:rPr>
              <w:t xml:space="preserve">Iranian-aligned PMF factions extract informal tolls and divert crude from Kirkuk and Basra fields. Estimated $500M–$1B/yr diverted outside Iraqi state budget. Coordinate with Iraqi CBI and KRG to map diversion points; designate controlling faction commanders.</w:t>
            </w:r>
          </w:p>
        </w:tc>
      </w:tr>
      <w:tr>
        <w:tc>
          <w:tcPr>
            <w:tcW w:type="dxa" w:w="2400"/>
            <w:shd w:val="clear" w:color="auto" w:fill="FFFFFF"/>
          </w:tcPr>
          <w:p>
            <w:pPr>
              <w:spacing w:before="40" w:after="40"/>
            </w:pPr>
            <w:r>
              <w:rPr>
                <w:rFonts w:ascii="Calibri" w:cs="Calibri" w:hAnsi="Calibri"/>
                <w:b/>
                <w:bCs/>
                <w:color w:val="1C2B4A"/>
                <w:sz w:val="16"/>
                <w:szCs w:val="16"/>
              </w:rPr>
              <w:t xml:space="preserve">PMF Border Taxation — Syria-Iraq Corridor</w:t>
            </w:r>
          </w:p>
        </w:tc>
        <w:tc>
          <w:tcPr>
            <w:tcW w:type="dxa" w:w="1400"/>
            <w:shd w:val="clear" w:color="auto" w:fill="FFFFFF"/>
          </w:tcPr>
          <w:p>
            <w:pPr>
              <w:spacing w:before="40" w:after="40"/>
            </w:pPr>
            <w:r>
              <w:rPr>
                <w:rFonts w:ascii="Calibri" w:cs="Calibri" w:hAnsi="Calibri"/>
                <w:color w:val="000000"/>
                <w:sz w:val="16"/>
                <w:szCs w:val="16"/>
              </w:rPr>
              <w:t xml:space="preserve">Al-Qaim / Abu Kamal crossing</w:t>
            </w:r>
          </w:p>
        </w:tc>
        <w:tc>
          <w:tcPr>
            <w:tcW w:type="dxa" w:w="2000"/>
            <w:shd w:val="clear" w:color="auto" w:fill="FFFFFF"/>
          </w:tcPr>
          <w:p>
            <w:pPr>
              <w:spacing w:before="40" w:after="40"/>
            </w:pPr>
            <w:r>
              <w:rPr>
                <w:rFonts w:ascii="Calibri" w:cs="Calibri" w:hAnsi="Calibri"/>
                <w:color w:val="000000"/>
                <w:sz w:val="16"/>
                <w:szCs w:val="16"/>
              </w:rPr>
              <w:t xml:space="preserve">Kata'ib Hezbollah checkpoint operators; IRGC-QF logistics officers</w:t>
            </w:r>
          </w:p>
        </w:tc>
        <w:tc>
          <w:tcPr>
            <w:tcW w:type="dxa" w:w="1400"/>
            <w:shd w:val="clear" w:color="auto" w:fill="FFFFFF"/>
          </w:tcPr>
          <w:p>
            <w:pPr>
              <w:spacing w:before="40" w:after="40"/>
            </w:pPr>
            <w:r>
              <w:rPr>
                <w:rFonts w:ascii="Calibri" w:cs="Calibri" w:hAnsi="Calibri"/>
                <w:color w:val="000000"/>
                <w:sz w:val="16"/>
                <w:szCs w:val="16"/>
              </w:rPr>
              <w:t xml:space="preserve">Smuggling / Revenue Collection</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shd w:val="clear" w:color="auto" w:fill="FFFFFF"/>
          </w:tcPr>
          <w:p>
            <w:pPr>
              <w:spacing w:before="40" w:after="40"/>
            </w:pPr>
            <w:r>
              <w:rPr>
                <w:rFonts w:ascii="Calibri" w:cs="Calibri" w:hAnsi="Calibri"/>
                <w:color w:val="000000"/>
                <w:sz w:val="16"/>
                <w:szCs w:val="16"/>
              </w:rPr>
              <w:t xml:space="preserve">EO 13224; IEEPA §1702 (infrastructure-level authority)</w:t>
            </w:r>
          </w:p>
        </w:tc>
        <w:tc>
          <w:tcPr>
            <w:tcW w:type="dxa" w:w="4000"/>
            <w:shd w:val="clear" w:color="auto" w:fill="FFFFFF"/>
          </w:tcPr>
          <w:p>
            <w:pPr>
              <w:spacing w:before="40" w:after="40"/>
            </w:pPr>
            <w:r>
              <w:rPr>
                <w:rFonts w:ascii="Calibri" w:cs="Calibri" w:hAnsi="Calibri"/>
                <w:color w:val="000000"/>
                <w:sz w:val="16"/>
                <w:szCs w:val="16"/>
              </w:rPr>
              <w:t xml:space="preserve">KH controls the Al-Qaim crossing — primary Iran-Iraq-Syria land corridor. Extracts taxation on all cross-border goods movement. Key node for weapons, personnel, and currency transfer between IRGC-QF, KH, and Hezbollah. Designate crossing operator entities and identified checkpoint commanders.</w:t>
            </w:r>
          </w:p>
        </w:tc>
      </w:tr>
      <w:tr>
        <w:tc>
          <w:tcPr>
            <w:tcW w:type="dxa" w:w="2400"/>
            <w:shd w:val="clear" w:color="auto" w:fill="EEF2F8"/>
          </w:tcPr>
          <w:p>
            <w:pPr>
              <w:spacing w:before="40" w:after="40"/>
            </w:pPr>
            <w:r>
              <w:rPr>
                <w:rFonts w:ascii="Calibri" w:cs="Calibri" w:hAnsi="Calibri"/>
                <w:b/>
                <w:bCs/>
                <w:color w:val="1C2B4A"/>
                <w:sz w:val="16"/>
                <w:szCs w:val="16"/>
              </w:rPr>
              <w:t xml:space="preserve">Al-Nujaba / KH Crypto Fundraising Layer</w:t>
            </w:r>
          </w:p>
        </w:tc>
        <w:tc>
          <w:tcPr>
            <w:tcW w:type="dxa" w:w="1400"/>
            <w:shd w:val="clear" w:color="auto" w:fill="EEF2F8"/>
          </w:tcPr>
          <w:p>
            <w:pPr>
              <w:spacing w:before="40" w:after="40"/>
            </w:pPr>
            <w:r>
              <w:rPr>
                <w:rFonts w:ascii="Calibri" w:cs="Calibri" w:hAnsi="Calibri"/>
                <w:color w:val="000000"/>
                <w:sz w:val="16"/>
                <w:szCs w:val="16"/>
              </w:rPr>
              <w:t xml:space="preserve">Global (Iraq, Lebanon, Iran)</w:t>
            </w:r>
          </w:p>
        </w:tc>
        <w:tc>
          <w:tcPr>
            <w:tcW w:type="dxa" w:w="2000"/>
            <w:shd w:val="clear" w:color="auto" w:fill="EEF2F8"/>
          </w:tcPr>
          <w:p>
            <w:pPr>
              <w:spacing w:before="40" w:after="40"/>
            </w:pPr>
            <w:r>
              <w:rPr>
                <w:rFonts w:ascii="Calibri" w:cs="Calibri" w:hAnsi="Calibri"/>
                <w:color w:val="000000"/>
                <w:sz w:val="16"/>
                <w:szCs w:val="16"/>
              </w:rPr>
              <w:t xml:space="preserve">Undisclosed PMF-affiliated crypto facilitators; Hezbollah-linked exchange houses</w:t>
            </w:r>
          </w:p>
        </w:tc>
        <w:tc>
          <w:tcPr>
            <w:tcW w:type="dxa" w:w="1400"/>
            <w:shd w:val="clear" w:color="auto" w:fill="EEF2F8"/>
          </w:tcPr>
          <w:p>
            <w:pPr>
              <w:spacing w:before="40" w:after="40"/>
            </w:pPr>
            <w:r>
              <w:rPr>
                <w:rFonts w:ascii="Calibri" w:cs="Calibri" w:hAnsi="Calibri"/>
                <w:color w:val="000000"/>
                <w:sz w:val="16"/>
                <w:szCs w:val="16"/>
              </w:rPr>
              <w:t xml:space="preserve">Crypto Fundraising / Evasion</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shd w:val="clear" w:color="auto" w:fill="EEF2F8"/>
          </w:tcPr>
          <w:p>
            <w:pPr>
              <w:spacing w:before="40" w:after="40"/>
            </w:pPr>
            <w:r>
              <w:rPr>
                <w:rFonts w:ascii="Calibri" w:cs="Calibri" w:hAnsi="Calibri"/>
                <w:color w:val="000000"/>
                <w:sz w:val="16"/>
                <w:szCs w:val="16"/>
              </w:rPr>
              <w:t xml:space="preserve">EO 13224; GENIUS Act §4(a)(5)(A); BSA §5318A</w:t>
            </w:r>
          </w:p>
        </w:tc>
        <w:tc>
          <w:tcPr>
            <w:tcW w:type="dxa" w:w="4000"/>
            <w:shd w:val="clear" w:color="auto" w:fill="EEF2F8"/>
          </w:tcPr>
          <w:p>
            <w:pPr>
              <w:spacing w:before="40" w:after="40"/>
            </w:pPr>
            <w:r>
              <w:rPr>
                <w:rFonts w:ascii="Calibri" w:cs="Calibri" w:hAnsi="Calibri"/>
                <w:color w:val="000000"/>
                <w:sz w:val="16"/>
                <w:szCs w:val="16"/>
              </w:rPr>
              <w:t xml:space="preserve">IRGC-aligned PMF factions have adopted crypto fundraising following SWIFT exclusion. TRM Labs has traced PMF-linked wallet clusters. Task OFAC to issue crypto wallet designations for identified PMF-affiliated addresses.</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XXXIII. MS-13 (Mara Salvatrucha) and Tren de Aragua — US Domestic Financial Infrastructure</w:t>
      </w:r>
    </w:p>
    <w:p>
      <w:pPr>
        <w:spacing w:before="60" w:after="60"/>
      </w:pPr>
      <w:r>
        <w:rPr>
          <w:rFonts w:ascii="Calibri" w:cs="Calibri" w:hAnsi="Calibri"/>
          <w:color w:val="000000"/>
          <w:sz w:val="18"/>
          <w:szCs w:val="18"/>
        </w:rPr>
        <w:t xml:space="preserve">MS-13 designated FTO Jan 2012 and SDGT (Kingpin Act) Oct 2012. Tren de Aragua (TdA) designated FTO and SDGT Feb 2025 under EO 13224 and the Kingpin Act. Both designations create §2339B material support criminal exposure (20-year maximum) for any knowing financial facilitator. MS-13 operates in 40+ US states with ~10,000 members domestically; primary revenue from drug trafficking, extortion, human smuggling, and contract violence. TdA expanded from Venezuela prison origins to 16+ countries with documented US presence in 25+ states following 2022–2024 Venezuelan migration wave. TdA US operations include hotel/apartment extortion networks, sex trafficking, and narcotics retail.</w:t>
      </w:r>
    </w:p>
    <w:tbl>
      <w:tblPr>
        <w:tblW w:type="dxa" w:w="14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1400"/>
        <w:gridCol w:w="1200"/>
        <w:gridCol w:w="1800"/>
        <w:gridCol w:w="4000"/>
      </w:tblGrid>
      <w:tr>
        <w:tc>
          <w:tcPr>
            <w:tcW w:type="dxa" w:w="2400"/>
            <w:shd w:val="clear" w:color="auto" w:fill="1C2B4A"/>
          </w:tcPr>
          <w:p>
            <w:pPr>
              <w:jc w:val="center"/>
            </w:pPr>
            <w:r>
              <w:rPr>
                <w:rFonts w:ascii="Calibri" w:cs="Calibri" w:hAnsi="Calibri"/>
                <w:b/>
                <w:bCs/>
                <w:color w:val="FFFFFF"/>
                <w:sz w:val="16"/>
                <w:szCs w:val="16"/>
              </w:rPr>
              <w:t xml:space="preserve">NODE</w:t>
            </w:r>
          </w:p>
        </w:tc>
        <w:tc>
          <w:tcPr>
            <w:tcW w:type="dxa" w:w="1400"/>
            <w:shd w:val="clear" w:color="auto" w:fill="1C2B4A"/>
          </w:tcPr>
          <w:p>
            <w:pPr>
              <w:jc w:val="center"/>
            </w:pPr>
            <w:r>
              <w:rPr>
                <w:rFonts w:ascii="Calibri" w:cs="Calibri" w:hAnsi="Calibri"/>
                <w:b/>
                <w:bCs/>
                <w:color w:val="FFFFFF"/>
                <w:sz w:val="16"/>
                <w:szCs w:val="16"/>
              </w:rPr>
              <w:t xml:space="preserve">LOCATION</w:t>
            </w:r>
          </w:p>
        </w:tc>
        <w:tc>
          <w:tcPr>
            <w:tcW w:type="dxa" w:w="2000"/>
            <w:shd w:val="clear" w:color="auto" w:fill="1C2B4A"/>
          </w:tcPr>
          <w:p>
            <w:pPr>
              <w:jc w:val="center"/>
            </w:pPr>
            <w:r>
              <w:rPr>
                <w:rFonts w:ascii="Calibri" w:cs="Calibri" w:hAnsi="Calibri"/>
                <w:b/>
                <w:bCs/>
                <w:color w:val="FFFFFF"/>
                <w:sz w:val="16"/>
                <w:szCs w:val="16"/>
              </w:rPr>
              <w:t xml:space="preserve">OPERATOR / STRUCTURE</w:t>
            </w:r>
          </w:p>
        </w:tc>
        <w:tc>
          <w:tcPr>
            <w:tcW w:type="dxa" w:w="1400"/>
            <w:shd w:val="clear" w:color="auto" w:fill="1C2B4A"/>
          </w:tcPr>
          <w:p>
            <w:pPr>
              <w:jc w:val="center"/>
            </w:pPr>
            <w:r>
              <w:rPr>
                <w:rFonts w:ascii="Calibri" w:cs="Calibri" w:hAnsi="Calibri"/>
                <w:b/>
                <w:bCs/>
                <w:color w:val="FFFFFF"/>
                <w:sz w:val="16"/>
                <w:szCs w:val="16"/>
              </w:rPr>
              <w:t xml:space="preserve">CATEGORY</w:t>
            </w:r>
          </w:p>
        </w:tc>
        <w:tc>
          <w:tcPr>
            <w:tcW w:type="dxa" w:w="1200"/>
            <w:shd w:val="clear" w:color="auto" w:fill="1C2B4A"/>
          </w:tcPr>
          <w:p>
            <w:pPr>
              <w:jc w:val="center"/>
            </w:pPr>
            <w:r>
              <w:rPr>
                <w:rFonts w:ascii="Calibri" w:cs="Calibri" w:hAnsi="Calibri"/>
                <w:b/>
                <w:bCs/>
                <w:color w:val="FFFFFF"/>
                <w:sz w:val="16"/>
                <w:szCs w:val="16"/>
              </w:rPr>
              <w:t xml:space="preserve">STATUS</w:t>
            </w:r>
          </w:p>
        </w:tc>
        <w:tc>
          <w:tcPr>
            <w:tcW w:type="dxa" w:w="1800"/>
            <w:shd w:val="clear" w:color="auto" w:fill="1C2B4A"/>
          </w:tcPr>
          <w:p>
            <w:pPr>
              <w:jc w:val="center"/>
            </w:pPr>
            <w:r>
              <w:rPr>
                <w:rFonts w:ascii="Calibri" w:cs="Calibri" w:hAnsi="Calibri"/>
                <w:b/>
                <w:bCs/>
                <w:color w:val="FFFFFF"/>
                <w:sz w:val="16"/>
                <w:szCs w:val="16"/>
              </w:rPr>
              <w:t xml:space="preserve">LEGAL AUTHORITY</w:t>
            </w:r>
          </w:p>
        </w:tc>
        <w:tc>
          <w:tcPr>
            <w:tcW w:type="dxa" w:w="4000"/>
            <w:shd w:val="clear" w:color="auto" w:fill="1C2B4A"/>
          </w:tcPr>
          <w:p>
            <w:pPr>
              <w:jc w:val="center"/>
            </w:pPr>
            <w:r>
              <w:rPr>
                <w:rFonts w:ascii="Calibri" w:cs="Calibri" w:hAnsi="Calibri"/>
                <w:b/>
                <w:bCs/>
                <w:color w:val="FFFFFF"/>
                <w:sz w:val="16"/>
                <w:szCs w:val="16"/>
              </w:rPr>
              <w:t xml:space="preserve">ENFORCEMENT THEORY AND ACTION</w:t>
            </w:r>
          </w:p>
        </w:tc>
      </w:tr>
      <w:tr>
        <w:tc>
          <w:tcPr>
            <w:tcW w:type="dxa" w:w="2400"/>
            <w:shd w:val="clear" w:color="auto" w:fill="EEF2F8"/>
          </w:tcPr>
          <w:p>
            <w:pPr>
              <w:spacing w:before="40" w:after="40"/>
            </w:pPr>
            <w:r>
              <w:rPr>
                <w:rFonts w:ascii="Calibri" w:cs="Calibri" w:hAnsi="Calibri"/>
                <w:b/>
                <w:bCs/>
                <w:color w:val="1C2B4A"/>
                <w:sz w:val="16"/>
                <w:szCs w:val="16"/>
              </w:rPr>
              <w:t xml:space="preserve">MS-13 US Clique Financial Network</w:t>
            </w:r>
          </w:p>
        </w:tc>
        <w:tc>
          <w:tcPr>
            <w:tcW w:type="dxa" w:w="1400"/>
            <w:shd w:val="clear" w:color="auto" w:fill="EEF2F8"/>
          </w:tcPr>
          <w:p>
            <w:pPr>
              <w:spacing w:before="40" w:after="40"/>
            </w:pPr>
            <w:r>
              <w:rPr>
                <w:rFonts w:ascii="Calibri" w:cs="Calibri" w:hAnsi="Calibri"/>
                <w:color w:val="000000"/>
                <w:sz w:val="16"/>
                <w:szCs w:val="16"/>
              </w:rPr>
              <w:t xml:space="preserve">El Salvador / US (NY, VA, MD, CA, TX)</w:t>
            </w:r>
          </w:p>
        </w:tc>
        <w:tc>
          <w:tcPr>
            <w:tcW w:type="dxa" w:w="2000"/>
            <w:shd w:val="clear" w:color="auto" w:fill="EEF2F8"/>
          </w:tcPr>
          <w:p>
            <w:pPr>
              <w:spacing w:before="40" w:after="40"/>
            </w:pPr>
            <w:r>
              <w:rPr>
                <w:rFonts w:ascii="Calibri" w:cs="Calibri" w:hAnsi="Calibri"/>
                <w:color w:val="000000"/>
                <w:sz w:val="16"/>
                <w:szCs w:val="16"/>
              </w:rPr>
              <w:t xml:space="preserve">MS-13 clique leaders (multiple designated); Salvadoran leadership nodes</w:t>
            </w:r>
          </w:p>
        </w:tc>
        <w:tc>
          <w:tcPr>
            <w:tcW w:type="dxa" w:w="1400"/>
            <w:shd w:val="clear" w:color="auto" w:fill="EEF2F8"/>
          </w:tcPr>
          <w:p>
            <w:pPr>
              <w:spacing w:before="40" w:after="40"/>
            </w:pPr>
            <w:r>
              <w:rPr>
                <w:rFonts w:ascii="Calibri" w:cs="Calibri" w:hAnsi="Calibri"/>
                <w:color w:val="000000"/>
                <w:sz w:val="16"/>
                <w:szCs w:val="16"/>
              </w:rPr>
              <w:t xml:space="preserve">Gang Finance / Drug Trafficking</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EEF2F8"/>
          </w:tcPr>
          <w:p>
            <w:pPr>
              <w:spacing w:before="40" w:after="40"/>
            </w:pPr>
            <w:r>
              <w:rPr>
                <w:rFonts w:ascii="Calibri" w:cs="Calibri" w:hAnsi="Calibri"/>
                <w:color w:val="000000"/>
                <w:sz w:val="16"/>
                <w:szCs w:val="16"/>
              </w:rPr>
              <w:t xml:space="preserve">EO 13224; Kingpin Act; 18 U.S.C. §2339B (post-FTO)</w:t>
            </w:r>
          </w:p>
        </w:tc>
        <w:tc>
          <w:tcPr>
            <w:tcW w:type="dxa" w:w="4000"/>
            <w:shd w:val="clear" w:color="auto" w:fill="EEF2F8"/>
          </w:tcPr>
          <w:p>
            <w:pPr>
              <w:spacing w:before="40" w:after="40"/>
            </w:pPr>
            <w:r>
              <w:rPr>
                <w:rFonts w:ascii="Calibri" w:cs="Calibri" w:hAnsi="Calibri"/>
                <w:color w:val="000000"/>
                <w:sz w:val="16"/>
                <w:szCs w:val="16"/>
              </w:rPr>
              <w:t xml:space="preserve">MS-13 designated FTO/SDGT. Kingpin designations cover leadership nodes. US clique finances flow through informal value transfer to El Salvador. Coordinate with FinCEN for SAR pattern analysis on identified MS-13 remittance corridors.</w:t>
            </w:r>
          </w:p>
        </w:tc>
      </w:tr>
      <w:tr>
        <w:tc>
          <w:tcPr>
            <w:tcW w:type="dxa" w:w="2400"/>
            <w:shd w:val="clear" w:color="auto" w:fill="FFFFFF"/>
          </w:tcPr>
          <w:p>
            <w:pPr>
              <w:spacing w:before="40" w:after="40"/>
            </w:pPr>
            <w:r>
              <w:rPr>
                <w:rFonts w:ascii="Calibri" w:cs="Calibri" w:hAnsi="Calibri"/>
                <w:b/>
                <w:bCs/>
                <w:color w:val="1C2B4A"/>
                <w:sz w:val="16"/>
                <w:szCs w:val="16"/>
              </w:rPr>
              <w:t xml:space="preserve">Tren de Aragua US Extortion Network</w:t>
            </w:r>
          </w:p>
        </w:tc>
        <w:tc>
          <w:tcPr>
            <w:tcW w:type="dxa" w:w="1400"/>
            <w:shd w:val="clear" w:color="auto" w:fill="FFFFFF"/>
          </w:tcPr>
          <w:p>
            <w:pPr>
              <w:spacing w:before="40" w:after="40"/>
            </w:pPr>
            <w:r>
              <w:rPr>
                <w:rFonts w:ascii="Calibri" w:cs="Calibri" w:hAnsi="Calibri"/>
                <w:color w:val="000000"/>
                <w:sz w:val="16"/>
                <w:szCs w:val="16"/>
              </w:rPr>
              <w:t xml:space="preserve">US (TX, NY, FL, CO, CA — 25+ states)</w:t>
            </w:r>
          </w:p>
        </w:tc>
        <w:tc>
          <w:tcPr>
            <w:tcW w:type="dxa" w:w="2000"/>
            <w:shd w:val="clear" w:color="auto" w:fill="FFFFFF"/>
          </w:tcPr>
          <w:p>
            <w:pPr>
              <w:spacing w:before="40" w:after="40"/>
            </w:pPr>
            <w:r>
              <w:rPr>
                <w:rFonts w:ascii="Calibri" w:cs="Calibri" w:hAnsi="Calibri"/>
                <w:color w:val="000000"/>
                <w:sz w:val="16"/>
                <w:szCs w:val="16"/>
              </w:rPr>
              <w:t xml:space="preserve">TdA cell leaders; Venezuelan community-based extortion operators</w:t>
            </w:r>
          </w:p>
        </w:tc>
        <w:tc>
          <w:tcPr>
            <w:tcW w:type="dxa" w:w="1400"/>
            <w:shd w:val="clear" w:color="auto" w:fill="FFFFFF"/>
          </w:tcPr>
          <w:p>
            <w:pPr>
              <w:spacing w:before="40" w:after="40"/>
            </w:pPr>
            <w:r>
              <w:rPr>
                <w:rFonts w:ascii="Calibri" w:cs="Calibri" w:hAnsi="Calibri"/>
                <w:color w:val="000000"/>
                <w:sz w:val="16"/>
                <w:szCs w:val="16"/>
              </w:rPr>
              <w:t xml:space="preserve">Extortion / Sex Trafficking / Narcotics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FFFFFF"/>
          </w:tcPr>
          <w:p>
            <w:pPr>
              <w:spacing w:before="40" w:after="40"/>
            </w:pPr>
            <w:r>
              <w:rPr>
                <w:rFonts w:ascii="Calibri" w:cs="Calibri" w:hAnsi="Calibri"/>
                <w:color w:val="000000"/>
                <w:sz w:val="16"/>
                <w:szCs w:val="16"/>
              </w:rPr>
              <w:t xml:space="preserve">EO 13224; Kingpin Act; 18 U.S.C. §2339B; 18 U.S.C. §1591 (sex trafficking)</w:t>
            </w:r>
          </w:p>
        </w:tc>
        <w:tc>
          <w:tcPr>
            <w:tcW w:type="dxa" w:w="4000"/>
            <w:shd w:val="clear" w:color="auto" w:fill="FFFFFF"/>
          </w:tcPr>
          <w:p>
            <w:pPr>
              <w:spacing w:before="40" w:after="40"/>
            </w:pPr>
            <w:r>
              <w:rPr>
                <w:rFonts w:ascii="Calibri" w:cs="Calibri" w:hAnsi="Calibri"/>
                <w:color w:val="000000"/>
                <w:sz w:val="16"/>
                <w:szCs w:val="16"/>
              </w:rPr>
              <w:t xml:space="preserve">TdA designated FTO/SDGT Feb 2025. US operations center on hotel/apartment complex extortion in migrant-dense areas. Active SDNY, EDVA, and NDTX prosecutions. FinCEN: issue SAR guidance for TdA-linked cash structuring patterns.</w:t>
            </w:r>
          </w:p>
        </w:tc>
      </w:tr>
      <w:tr>
        <w:tc>
          <w:tcPr>
            <w:tcW w:type="dxa" w:w="2400"/>
            <w:shd w:val="clear" w:color="auto" w:fill="EEF2F8"/>
          </w:tcPr>
          <w:p>
            <w:pPr>
              <w:spacing w:before="40" w:after="40"/>
            </w:pPr>
            <w:r>
              <w:rPr>
                <w:rFonts w:ascii="Calibri" w:cs="Calibri" w:hAnsi="Calibri"/>
                <w:b/>
                <w:bCs/>
                <w:color w:val="1C2B4A"/>
                <w:sz w:val="16"/>
                <w:szCs w:val="16"/>
              </w:rPr>
              <w:t xml:space="preserve">TdA Venezuela-US Financial Corridor</w:t>
            </w:r>
          </w:p>
        </w:tc>
        <w:tc>
          <w:tcPr>
            <w:tcW w:type="dxa" w:w="1400"/>
            <w:shd w:val="clear" w:color="auto" w:fill="EEF2F8"/>
          </w:tcPr>
          <w:p>
            <w:pPr>
              <w:spacing w:before="40" w:after="40"/>
            </w:pPr>
            <w:r>
              <w:rPr>
                <w:rFonts w:ascii="Calibri" w:cs="Calibri" w:hAnsi="Calibri"/>
                <w:color w:val="000000"/>
                <w:sz w:val="16"/>
                <w:szCs w:val="16"/>
              </w:rPr>
              <w:t xml:space="preserve">Venezuela / Colombia / US</w:t>
            </w:r>
          </w:p>
        </w:tc>
        <w:tc>
          <w:tcPr>
            <w:tcW w:type="dxa" w:w="2000"/>
            <w:shd w:val="clear" w:color="auto" w:fill="EEF2F8"/>
          </w:tcPr>
          <w:p>
            <w:pPr>
              <w:spacing w:before="40" w:after="40"/>
            </w:pPr>
            <w:r>
              <w:rPr>
                <w:rFonts w:ascii="Calibri" w:cs="Calibri" w:hAnsi="Calibri"/>
                <w:color w:val="000000"/>
                <w:sz w:val="16"/>
                <w:szCs w:val="16"/>
              </w:rPr>
              <w:t xml:space="preserve">TdA financial facilitators; Venezuelan money service businesses</w:t>
            </w:r>
          </w:p>
        </w:tc>
        <w:tc>
          <w:tcPr>
            <w:tcW w:type="dxa" w:w="1400"/>
            <w:shd w:val="clear" w:color="auto" w:fill="EEF2F8"/>
          </w:tcPr>
          <w:p>
            <w:pPr>
              <w:spacing w:before="40" w:after="40"/>
            </w:pPr>
            <w:r>
              <w:rPr>
                <w:rFonts w:ascii="Calibri" w:cs="Calibri" w:hAnsi="Calibri"/>
                <w:color w:val="000000"/>
                <w:sz w:val="16"/>
                <w:szCs w:val="16"/>
              </w:rPr>
              <w:t xml:space="preserve">Money Laundering / TBML</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shd w:val="clear" w:color="auto" w:fill="EEF2F8"/>
          </w:tcPr>
          <w:p>
            <w:pPr>
              <w:spacing w:before="40" w:after="40"/>
            </w:pPr>
            <w:r>
              <w:rPr>
                <w:rFonts w:ascii="Calibri" w:cs="Calibri" w:hAnsi="Calibri"/>
                <w:color w:val="000000"/>
                <w:sz w:val="16"/>
                <w:szCs w:val="16"/>
              </w:rPr>
              <w:t xml:space="preserve">EO 13224; EO 13692 (Venezuela); Kingpin Act; BSA §5318A</w:t>
            </w:r>
          </w:p>
        </w:tc>
        <w:tc>
          <w:tcPr>
            <w:tcW w:type="dxa" w:w="4000"/>
            <w:shd w:val="clear" w:color="auto" w:fill="EEF2F8"/>
          </w:tcPr>
          <w:p>
            <w:pPr>
              <w:spacing w:before="40" w:after="40"/>
            </w:pPr>
            <w:r>
              <w:rPr>
                <w:rFonts w:ascii="Calibri" w:cs="Calibri" w:hAnsi="Calibri"/>
                <w:color w:val="000000"/>
                <w:sz w:val="16"/>
                <w:szCs w:val="16"/>
              </w:rPr>
              <w:t xml:space="preserve">TdA revenue generated in US repatriated to Venezuela through informal value transfer and cryptocurrency. Coordinate with OFAC Venezuela desk for joint designation package targeting identified financial facilitators in both jurisdictions.</w:t>
            </w:r>
          </w:p>
        </w:tc>
      </w:tr>
      <w:tr>
        <w:tc>
          <w:tcPr>
            <w:tcW w:type="dxa" w:w="2400"/>
            <w:shd w:val="clear" w:color="auto" w:fill="FFFFFF"/>
          </w:tcPr>
          <w:p>
            <w:pPr>
              <w:spacing w:before="40" w:after="40"/>
            </w:pPr>
            <w:r>
              <w:rPr>
                <w:rFonts w:ascii="Calibri" w:cs="Calibri" w:hAnsi="Calibri"/>
                <w:b/>
                <w:bCs/>
                <w:color w:val="1C2B4A"/>
                <w:sz w:val="16"/>
                <w:szCs w:val="16"/>
              </w:rPr>
              <w:t xml:space="preserve">MS-13 Drug Trafficking Revenue — US Distribution</w:t>
            </w:r>
          </w:p>
        </w:tc>
        <w:tc>
          <w:tcPr>
            <w:tcW w:type="dxa" w:w="1400"/>
            <w:shd w:val="clear" w:color="auto" w:fill="FFFFFF"/>
          </w:tcPr>
          <w:p>
            <w:pPr>
              <w:spacing w:before="40" w:after="40"/>
            </w:pPr>
            <w:r>
              <w:rPr>
                <w:rFonts w:ascii="Calibri" w:cs="Calibri" w:hAnsi="Calibri"/>
                <w:color w:val="000000"/>
                <w:sz w:val="16"/>
                <w:szCs w:val="16"/>
              </w:rPr>
              <w:t xml:space="preserve">US national (NY, VA, MD primary)</w:t>
            </w:r>
          </w:p>
        </w:tc>
        <w:tc>
          <w:tcPr>
            <w:tcW w:type="dxa" w:w="2000"/>
            <w:shd w:val="clear" w:color="auto" w:fill="FFFFFF"/>
          </w:tcPr>
          <w:p>
            <w:pPr>
              <w:spacing w:before="40" w:after="40"/>
            </w:pPr>
            <w:r>
              <w:rPr>
                <w:rFonts w:ascii="Calibri" w:cs="Calibri" w:hAnsi="Calibri"/>
                <w:color w:val="000000"/>
                <w:sz w:val="16"/>
                <w:szCs w:val="16"/>
              </w:rPr>
              <w:t xml:space="preserve">MS-13 clique-level drug distributors; Sinaloa/CJNG wholesale suppliers</w:t>
            </w:r>
          </w:p>
        </w:tc>
        <w:tc>
          <w:tcPr>
            <w:tcW w:type="dxa" w:w="1400"/>
            <w:shd w:val="clear" w:color="auto" w:fill="FFFFFF"/>
          </w:tcPr>
          <w:p>
            <w:pPr>
              <w:spacing w:before="40" w:after="40"/>
            </w:pPr>
            <w:r>
              <w:rPr>
                <w:rFonts w:ascii="Calibri" w:cs="Calibri" w:hAnsi="Calibri"/>
                <w:color w:val="000000"/>
                <w:sz w:val="16"/>
                <w:szCs w:val="16"/>
              </w:rPr>
              <w:t xml:space="preserve">Drug Revenue / Wholesale Supply</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shd w:val="clear" w:color="auto" w:fill="FFFFFF"/>
          </w:tcPr>
          <w:p>
            <w:pPr>
              <w:spacing w:before="40" w:after="40"/>
            </w:pPr>
            <w:r>
              <w:rPr>
                <w:rFonts w:ascii="Calibri" w:cs="Calibri" w:hAnsi="Calibri"/>
                <w:color w:val="000000"/>
                <w:sz w:val="16"/>
                <w:szCs w:val="16"/>
              </w:rPr>
              <w:t xml:space="preserve">18 U.S.C. §2339B; Kingpin Act; FEND Off Fentanyl Act (upstream)</w:t>
            </w:r>
          </w:p>
        </w:tc>
        <w:tc>
          <w:tcPr>
            <w:tcW w:type="dxa" w:w="4000"/>
            <w:shd w:val="clear" w:color="auto" w:fill="FFFFFF"/>
          </w:tcPr>
          <w:p>
            <w:pPr>
              <w:spacing w:before="40" w:after="40"/>
            </w:pPr>
            <w:r>
              <w:rPr>
                <w:rFonts w:ascii="Calibri" w:cs="Calibri" w:hAnsi="Calibri"/>
                <w:color w:val="000000"/>
                <w:sz w:val="16"/>
                <w:szCs w:val="16"/>
              </w:rPr>
              <w:t xml:space="preserve">MS-13 retail distribution funded by Sinaloa/CJNG wholesale. Post-FTO designation, Sinaloa/CJNG supply of MS-13 constitutes §2339B material support. Coordinate DEA/OFAC joint enforcement targeting wholesale-to-retail financial linkages.</w:t>
            </w:r>
          </w:p>
        </w:tc>
      </w:tr>
      <w:tr>
        <w:tc>
          <w:tcPr>
            <w:tcW w:type="dxa" w:w="2400"/>
            <w:shd w:val="clear" w:color="auto" w:fill="EEF2F8"/>
          </w:tcPr>
          <w:p>
            <w:pPr>
              <w:spacing w:before="40" w:after="40"/>
            </w:pPr>
            <w:r>
              <w:rPr>
                <w:rFonts w:ascii="Calibri" w:cs="Calibri" w:hAnsi="Calibri"/>
                <w:b/>
                <w:bCs/>
                <w:color w:val="1C2B4A"/>
                <w:sz w:val="16"/>
                <w:szCs w:val="16"/>
              </w:rPr>
              <w:t xml:space="preserve">TdA Sex Trafficking Financial Infrastructure</w:t>
            </w:r>
          </w:p>
        </w:tc>
        <w:tc>
          <w:tcPr>
            <w:tcW w:type="dxa" w:w="1400"/>
            <w:shd w:val="clear" w:color="auto" w:fill="EEF2F8"/>
          </w:tcPr>
          <w:p>
            <w:pPr>
              <w:spacing w:before="40" w:after="40"/>
            </w:pPr>
            <w:r>
              <w:rPr>
                <w:rFonts w:ascii="Calibri" w:cs="Calibri" w:hAnsi="Calibri"/>
                <w:color w:val="000000"/>
                <w:sz w:val="16"/>
                <w:szCs w:val="16"/>
              </w:rPr>
              <w:t xml:space="preserve">US (TX, NY, CO, FL)</w:t>
            </w:r>
          </w:p>
        </w:tc>
        <w:tc>
          <w:tcPr>
            <w:tcW w:type="dxa" w:w="2000"/>
            <w:shd w:val="clear" w:color="auto" w:fill="EEF2F8"/>
          </w:tcPr>
          <w:p>
            <w:pPr>
              <w:spacing w:before="40" w:after="40"/>
            </w:pPr>
            <w:r>
              <w:rPr>
                <w:rFonts w:ascii="Calibri" w:cs="Calibri" w:hAnsi="Calibri"/>
                <w:color w:val="000000"/>
                <w:sz w:val="16"/>
                <w:szCs w:val="16"/>
              </w:rPr>
              <w:t xml:space="preserve">TdA sex trafficking cell leaders; hotel/apartment management complicit parties</w:t>
            </w:r>
          </w:p>
        </w:tc>
        <w:tc>
          <w:tcPr>
            <w:tcW w:type="dxa" w:w="1400"/>
            <w:shd w:val="clear" w:color="auto" w:fill="EEF2F8"/>
          </w:tcPr>
          <w:p>
            <w:pPr>
              <w:spacing w:before="40" w:after="40"/>
            </w:pPr>
            <w:r>
              <w:rPr>
                <w:rFonts w:ascii="Calibri" w:cs="Calibri" w:hAnsi="Calibri"/>
                <w:color w:val="000000"/>
                <w:sz w:val="16"/>
                <w:szCs w:val="16"/>
              </w:rPr>
              <w:t xml:space="preserve">Sex Trafficking Revenue</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shd w:val="clear" w:color="auto" w:fill="EEF2F8"/>
          </w:tcPr>
          <w:p>
            <w:pPr>
              <w:spacing w:before="40" w:after="40"/>
            </w:pPr>
            <w:r>
              <w:rPr>
                <w:rFonts w:ascii="Calibri" w:cs="Calibri" w:hAnsi="Calibri"/>
                <w:color w:val="000000"/>
                <w:sz w:val="16"/>
                <w:szCs w:val="16"/>
              </w:rPr>
              <w:t xml:space="preserve">18 U.S.C. §2339B; 18 U.S.C. §1591; Kingpin Act; EO 13224</w:t>
            </w:r>
          </w:p>
        </w:tc>
        <w:tc>
          <w:tcPr>
            <w:tcW w:type="dxa" w:w="4000"/>
            <w:shd w:val="clear" w:color="auto" w:fill="EEF2F8"/>
          </w:tcPr>
          <w:p>
            <w:pPr>
              <w:spacing w:before="40" w:after="40"/>
            </w:pPr>
            <w:r>
              <w:rPr>
                <w:rFonts w:ascii="Calibri" w:cs="Calibri" w:hAnsi="Calibri"/>
                <w:color w:val="000000"/>
                <w:sz w:val="16"/>
                <w:szCs w:val="16"/>
              </w:rPr>
              <w:t xml:space="preserve">TdA sex trafficking operations generate significant US-based revenue. FinCEN SAR data shows cash-intensive patterns consistent with trafficking operations. Active federal prosecutions in SDTX and CDCA. Identify and designate top-tier TdA sex trafficking financial controllers under Kingpin Act.</w:t>
            </w:r>
          </w:p>
        </w:tc>
      </w:tr>
      <w:tr>
        <w:tc>
          <w:tcPr>
            <w:tcW w:type="dxa" w:w="2400"/>
            <w:shd w:val="clear" w:color="auto" w:fill="FFFFFF"/>
          </w:tcPr>
          <w:p>
            <w:pPr>
              <w:spacing w:before="40" w:after="40"/>
            </w:pPr>
            <w:r>
              <w:rPr>
                <w:rFonts w:ascii="Calibri" w:cs="Calibri" w:hAnsi="Calibri"/>
                <w:b/>
                <w:bCs/>
                <w:color w:val="1C2B4A"/>
                <w:sz w:val="16"/>
                <w:szCs w:val="16"/>
              </w:rPr>
              <w:t xml:space="preserve">MS-13 / TdA Cryptocurrency Adoption Layer</w:t>
            </w:r>
          </w:p>
        </w:tc>
        <w:tc>
          <w:tcPr>
            <w:tcW w:type="dxa" w:w="1400"/>
            <w:shd w:val="clear" w:color="auto" w:fill="FFFFFF"/>
          </w:tcPr>
          <w:p>
            <w:pPr>
              <w:spacing w:before="40" w:after="40"/>
            </w:pPr>
            <w:r>
              <w:rPr>
                <w:rFonts w:ascii="Calibri" w:cs="Calibri" w:hAnsi="Calibri"/>
                <w:color w:val="000000"/>
                <w:sz w:val="16"/>
                <w:szCs w:val="16"/>
              </w:rPr>
              <w:t xml:space="preserve">Global / US</w:t>
            </w:r>
          </w:p>
        </w:tc>
        <w:tc>
          <w:tcPr>
            <w:tcW w:type="dxa" w:w="2000"/>
            <w:shd w:val="clear" w:color="auto" w:fill="FFFFFF"/>
          </w:tcPr>
          <w:p>
            <w:pPr>
              <w:spacing w:before="40" w:after="40"/>
            </w:pPr>
            <w:r>
              <w:rPr>
                <w:rFonts w:ascii="Calibri" w:cs="Calibri" w:hAnsi="Calibri"/>
                <w:color w:val="000000"/>
                <w:sz w:val="16"/>
                <w:szCs w:val="16"/>
              </w:rPr>
              <w:t xml:space="preserve">Gang-affiliated crypto facilitators; peer-to-peer exchange operators</w:t>
            </w:r>
          </w:p>
        </w:tc>
        <w:tc>
          <w:tcPr>
            <w:tcW w:type="dxa" w:w="1400"/>
            <w:shd w:val="clear" w:color="auto" w:fill="FFFFFF"/>
          </w:tcPr>
          <w:p>
            <w:pPr>
              <w:spacing w:before="40" w:after="40"/>
            </w:pPr>
            <w:r>
              <w:rPr>
                <w:rFonts w:ascii="Calibri" w:cs="Calibri" w:hAnsi="Calibri"/>
                <w:color w:val="000000"/>
                <w:sz w:val="16"/>
                <w:szCs w:val="16"/>
              </w:rPr>
              <w:t xml:space="preserve">Crypto Laundering</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shd w:val="clear" w:color="auto" w:fill="FFFFFF"/>
          </w:tcPr>
          <w:p>
            <w:pPr>
              <w:spacing w:before="40" w:after="40"/>
            </w:pPr>
            <w:r>
              <w:rPr>
                <w:rFonts w:ascii="Calibri" w:cs="Calibri" w:hAnsi="Calibri"/>
                <w:color w:val="000000"/>
                <w:sz w:val="16"/>
                <w:szCs w:val="16"/>
              </w:rPr>
              <w:t xml:space="preserve">EO 13224; GENIUS Act; BSA §5318A; 18 U.S.C. §1956</w:t>
            </w:r>
          </w:p>
        </w:tc>
        <w:tc>
          <w:tcPr>
            <w:tcW w:type="dxa" w:w="4000"/>
            <w:shd w:val="clear" w:color="auto" w:fill="FFFFFF"/>
          </w:tcPr>
          <w:p>
            <w:pPr>
              <w:spacing w:before="40" w:after="40"/>
            </w:pPr>
            <w:r>
              <w:rPr>
                <w:rFonts w:ascii="Calibri" w:cs="Calibri" w:hAnsi="Calibri"/>
                <w:color w:val="000000"/>
                <w:sz w:val="16"/>
                <w:szCs w:val="16"/>
              </w:rPr>
              <w:t xml:space="preserve">Both MS-13 and TdA have adopted cryptocurrency for cross-border value transfer following increased hawala interdiction. TRM Labs and Chainalysis have identified associated wallet clusters. Issue OFAC crypto wallet designations for confirmed addresses.</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XXXIV. Clan del Golfo (AGC) and FARC Dissident Factions — Colombian Narco-Finance and European Supply Chain</w:t>
      </w:r>
    </w:p>
    <w:p>
      <w:pPr>
        <w:spacing w:before="60" w:after="60"/>
      </w:pPr>
      <w:r>
        <w:rPr>
          <w:rFonts w:ascii="Calibri" w:cs="Calibri" w:hAnsi="Calibri"/>
          <w:color w:val="000000"/>
          <w:sz w:val="18"/>
          <w:szCs w:val="18"/>
        </w:rPr>
        <w:t xml:space="preserve">Clan del Golfo (AGC — Autodefensas Gaitanistas de Colombia) is Colombia's largest criminal organization with ~8,000–10,000 members, designated SDGT Dec 2021 and Kingpin Feb 2022. Controls primary cocaine export corridors from Colombia's Pacific and Caribbean coasts, supplying ~70% of European cocaine market and significant US volumes. FARC dissident factions — principally Estado Mayor Central (EMC, FARC-EP continuation) and Segunda Marquetalia — continue narco-finance operations following 2016 peace accord fragmentation. EMC controls coca cultivation in Cauca, Nariño, and Meta departments. Segunda Marquetalia operates from Venezuela under Maduro/successor patronage. Combined Colombian dissident organizations produce ~90% of global cocaine supply (UNODC 2024).</w:t>
      </w:r>
    </w:p>
    <w:tbl>
      <w:tblPr>
        <w:tblW w:type="dxa" w:w="14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1400"/>
        <w:gridCol w:w="1200"/>
        <w:gridCol w:w="1800"/>
        <w:gridCol w:w="4000"/>
      </w:tblGrid>
      <w:tr>
        <w:tc>
          <w:tcPr>
            <w:tcW w:type="dxa" w:w="2400"/>
            <w:shd w:val="clear" w:color="auto" w:fill="1C2B4A"/>
          </w:tcPr>
          <w:p>
            <w:pPr>
              <w:jc w:val="center"/>
            </w:pPr>
            <w:r>
              <w:rPr>
                <w:rFonts w:ascii="Calibri" w:cs="Calibri" w:hAnsi="Calibri"/>
                <w:b/>
                <w:bCs/>
                <w:color w:val="FFFFFF"/>
                <w:sz w:val="16"/>
                <w:szCs w:val="16"/>
              </w:rPr>
              <w:t xml:space="preserve">NODE</w:t>
            </w:r>
          </w:p>
        </w:tc>
        <w:tc>
          <w:tcPr>
            <w:tcW w:type="dxa" w:w="1400"/>
            <w:shd w:val="clear" w:color="auto" w:fill="1C2B4A"/>
          </w:tcPr>
          <w:p>
            <w:pPr>
              <w:jc w:val="center"/>
            </w:pPr>
            <w:r>
              <w:rPr>
                <w:rFonts w:ascii="Calibri" w:cs="Calibri" w:hAnsi="Calibri"/>
                <w:b/>
                <w:bCs/>
                <w:color w:val="FFFFFF"/>
                <w:sz w:val="16"/>
                <w:szCs w:val="16"/>
              </w:rPr>
              <w:t xml:space="preserve">LOCATION</w:t>
            </w:r>
          </w:p>
        </w:tc>
        <w:tc>
          <w:tcPr>
            <w:tcW w:type="dxa" w:w="2000"/>
            <w:shd w:val="clear" w:color="auto" w:fill="1C2B4A"/>
          </w:tcPr>
          <w:p>
            <w:pPr>
              <w:jc w:val="center"/>
            </w:pPr>
            <w:r>
              <w:rPr>
                <w:rFonts w:ascii="Calibri" w:cs="Calibri" w:hAnsi="Calibri"/>
                <w:b/>
                <w:bCs/>
                <w:color w:val="FFFFFF"/>
                <w:sz w:val="16"/>
                <w:szCs w:val="16"/>
              </w:rPr>
              <w:t xml:space="preserve">OPERATOR / STRUCTURE</w:t>
            </w:r>
          </w:p>
        </w:tc>
        <w:tc>
          <w:tcPr>
            <w:tcW w:type="dxa" w:w="1400"/>
            <w:shd w:val="clear" w:color="auto" w:fill="1C2B4A"/>
          </w:tcPr>
          <w:p>
            <w:pPr>
              <w:jc w:val="center"/>
            </w:pPr>
            <w:r>
              <w:rPr>
                <w:rFonts w:ascii="Calibri" w:cs="Calibri" w:hAnsi="Calibri"/>
                <w:b/>
                <w:bCs/>
                <w:color w:val="FFFFFF"/>
                <w:sz w:val="16"/>
                <w:szCs w:val="16"/>
              </w:rPr>
              <w:t xml:space="preserve">CATEGORY</w:t>
            </w:r>
          </w:p>
        </w:tc>
        <w:tc>
          <w:tcPr>
            <w:tcW w:type="dxa" w:w="1200"/>
            <w:shd w:val="clear" w:color="auto" w:fill="1C2B4A"/>
          </w:tcPr>
          <w:p>
            <w:pPr>
              <w:jc w:val="center"/>
            </w:pPr>
            <w:r>
              <w:rPr>
                <w:rFonts w:ascii="Calibri" w:cs="Calibri" w:hAnsi="Calibri"/>
                <w:b/>
                <w:bCs/>
                <w:color w:val="FFFFFF"/>
                <w:sz w:val="16"/>
                <w:szCs w:val="16"/>
              </w:rPr>
              <w:t xml:space="preserve">STATUS</w:t>
            </w:r>
          </w:p>
        </w:tc>
        <w:tc>
          <w:tcPr>
            <w:tcW w:type="dxa" w:w="1800"/>
            <w:shd w:val="clear" w:color="auto" w:fill="1C2B4A"/>
          </w:tcPr>
          <w:p>
            <w:pPr>
              <w:jc w:val="center"/>
            </w:pPr>
            <w:r>
              <w:rPr>
                <w:rFonts w:ascii="Calibri" w:cs="Calibri" w:hAnsi="Calibri"/>
                <w:b/>
                <w:bCs/>
                <w:color w:val="FFFFFF"/>
                <w:sz w:val="16"/>
                <w:szCs w:val="16"/>
              </w:rPr>
              <w:t xml:space="preserve">LEGAL AUTHORITY</w:t>
            </w:r>
          </w:p>
        </w:tc>
        <w:tc>
          <w:tcPr>
            <w:tcW w:type="dxa" w:w="4000"/>
            <w:shd w:val="clear" w:color="auto" w:fill="1C2B4A"/>
          </w:tcPr>
          <w:p>
            <w:pPr>
              <w:jc w:val="center"/>
            </w:pPr>
            <w:r>
              <w:rPr>
                <w:rFonts w:ascii="Calibri" w:cs="Calibri" w:hAnsi="Calibri"/>
                <w:b/>
                <w:bCs/>
                <w:color w:val="FFFFFF"/>
                <w:sz w:val="16"/>
                <w:szCs w:val="16"/>
              </w:rPr>
              <w:t xml:space="preserve">ENFORCEMENT THEORY AND ACTION</w:t>
            </w:r>
          </w:p>
        </w:tc>
      </w:tr>
      <w:tr>
        <w:tc>
          <w:tcPr>
            <w:tcW w:type="dxa" w:w="2400"/>
            <w:shd w:val="clear" w:color="auto" w:fill="EEF2F8"/>
          </w:tcPr>
          <w:p>
            <w:pPr>
              <w:spacing w:before="40" w:after="40"/>
            </w:pPr>
            <w:r>
              <w:rPr>
                <w:rFonts w:ascii="Calibri" w:cs="Calibri" w:hAnsi="Calibri"/>
                <w:b/>
                <w:bCs/>
                <w:color w:val="1C2B4A"/>
                <w:sz w:val="16"/>
                <w:szCs w:val="16"/>
              </w:rPr>
              <w:t xml:space="preserve">Clan del Golfo (AGC) Cocaine Export Network</w:t>
            </w:r>
          </w:p>
        </w:tc>
        <w:tc>
          <w:tcPr>
            <w:tcW w:type="dxa" w:w="1400"/>
            <w:shd w:val="clear" w:color="auto" w:fill="EEF2F8"/>
          </w:tcPr>
          <w:p>
            <w:pPr>
              <w:spacing w:before="40" w:after="40"/>
            </w:pPr>
            <w:r>
              <w:rPr>
                <w:rFonts w:ascii="Calibri" w:cs="Calibri" w:hAnsi="Calibri"/>
                <w:color w:val="000000"/>
                <w:sz w:val="16"/>
                <w:szCs w:val="16"/>
              </w:rPr>
              <w:t xml:space="preserve">Colombia (Urabá, Chocó, Córdoba) / Panama / Mexico</w:t>
            </w:r>
          </w:p>
        </w:tc>
        <w:tc>
          <w:tcPr>
            <w:tcW w:type="dxa" w:w="2000"/>
            <w:shd w:val="clear" w:color="auto" w:fill="EEF2F8"/>
          </w:tcPr>
          <w:p>
            <w:pPr>
              <w:spacing w:before="40" w:after="40"/>
            </w:pPr>
            <w:r>
              <w:rPr>
                <w:rFonts w:ascii="Calibri" w:cs="Calibri" w:hAnsi="Calibri"/>
                <w:color w:val="000000"/>
                <w:sz w:val="16"/>
                <w:szCs w:val="16"/>
              </w:rPr>
              <w:t xml:space="preserve">Dairo Antonio Úsuga David "Otoniel" (extradited US 2022); current AGC leadership</w:t>
            </w:r>
          </w:p>
        </w:tc>
        <w:tc>
          <w:tcPr>
            <w:tcW w:type="dxa" w:w="1400"/>
            <w:shd w:val="clear" w:color="auto" w:fill="EEF2F8"/>
          </w:tcPr>
          <w:p>
            <w:pPr>
              <w:spacing w:before="40" w:after="40"/>
            </w:pPr>
            <w:r>
              <w:rPr>
                <w:rFonts w:ascii="Calibri" w:cs="Calibri" w:hAnsi="Calibri"/>
                <w:color w:val="000000"/>
                <w:sz w:val="16"/>
                <w:szCs w:val="16"/>
              </w:rPr>
              <w:t xml:space="preserve">Cocaine Export / Maritime Smuggling</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EEF2F8"/>
          </w:tcPr>
          <w:p>
            <w:pPr>
              <w:spacing w:before="40" w:after="40"/>
            </w:pPr>
            <w:r>
              <w:rPr>
                <w:rFonts w:ascii="Calibri" w:cs="Calibri" w:hAnsi="Calibri"/>
                <w:color w:val="000000"/>
                <w:sz w:val="16"/>
                <w:szCs w:val="16"/>
              </w:rPr>
              <w:t xml:space="preserve">Kingpin Act; EO 13224; 21 U.S.C. §959 (extraterritorial drug trafficking)</w:t>
            </w:r>
          </w:p>
        </w:tc>
        <w:tc>
          <w:tcPr>
            <w:tcW w:type="dxa" w:w="4000"/>
            <w:shd w:val="clear" w:color="auto" w:fill="EEF2F8"/>
          </w:tcPr>
          <w:p>
            <w:pPr>
              <w:spacing w:before="40" w:after="40"/>
            </w:pPr>
            <w:r>
              <w:rPr>
                <w:rFonts w:ascii="Calibri" w:cs="Calibri" w:hAnsi="Calibri"/>
                <w:color w:val="000000"/>
                <w:sz w:val="16"/>
                <w:szCs w:val="16"/>
              </w:rPr>
              <w:t xml:space="preserve">AGC designated Kingpin Feb 2022. Otoniel extradited and convicted in EDNY. Organization continues under successor leadership. Controls Pacific semi-submarine fleet and Caribbean speedboat corridors to Central America for onward US/EU shipment. Coordinate with Colombian DIJIN for successor leadership designation package.</w:t>
            </w:r>
          </w:p>
        </w:tc>
      </w:tr>
      <w:tr>
        <w:tc>
          <w:tcPr>
            <w:tcW w:type="dxa" w:w="2400"/>
            <w:shd w:val="clear" w:color="auto" w:fill="FFFFFF"/>
          </w:tcPr>
          <w:p>
            <w:pPr>
              <w:spacing w:before="40" w:after="40"/>
            </w:pPr>
            <w:r>
              <w:rPr>
                <w:rFonts w:ascii="Calibri" w:cs="Calibri" w:hAnsi="Calibri"/>
                <w:b/>
                <w:bCs/>
                <w:color w:val="1C2B4A"/>
                <w:sz w:val="16"/>
                <w:szCs w:val="16"/>
              </w:rPr>
              <w:t xml:space="preserve">AGC European Cocaine Supply Chain</w:t>
            </w:r>
          </w:p>
        </w:tc>
        <w:tc>
          <w:tcPr>
            <w:tcW w:type="dxa" w:w="1400"/>
            <w:shd w:val="clear" w:color="auto" w:fill="FFFFFF"/>
          </w:tcPr>
          <w:p>
            <w:pPr>
              <w:spacing w:before="40" w:after="40"/>
            </w:pPr>
            <w:r>
              <w:rPr>
                <w:rFonts w:ascii="Calibri" w:cs="Calibri" w:hAnsi="Calibri"/>
                <w:color w:val="000000"/>
                <w:sz w:val="16"/>
                <w:szCs w:val="16"/>
              </w:rPr>
              <w:t xml:space="preserve">Colombia / Spain / Netherlands / Belgium</w:t>
            </w:r>
          </w:p>
        </w:tc>
        <w:tc>
          <w:tcPr>
            <w:tcW w:type="dxa" w:w="2000"/>
            <w:shd w:val="clear" w:color="auto" w:fill="FFFFFF"/>
          </w:tcPr>
          <w:p>
            <w:pPr>
              <w:spacing w:before="40" w:after="40"/>
            </w:pPr>
            <w:r>
              <w:rPr>
                <w:rFonts w:ascii="Calibri" w:cs="Calibri" w:hAnsi="Calibri"/>
                <w:color w:val="000000"/>
                <w:sz w:val="16"/>
                <w:szCs w:val="16"/>
              </w:rPr>
              <w:t xml:space="preserve">AGC export coordinators; European port cartel contacts (Rotterdam, Antwerp, Algeciras)</w:t>
            </w:r>
          </w:p>
        </w:tc>
        <w:tc>
          <w:tcPr>
            <w:tcW w:type="dxa" w:w="1400"/>
            <w:shd w:val="clear" w:color="auto" w:fill="FFFFFF"/>
          </w:tcPr>
          <w:p>
            <w:pPr>
              <w:spacing w:before="40" w:after="40"/>
            </w:pPr>
            <w:r>
              <w:rPr>
                <w:rFonts w:ascii="Calibri" w:cs="Calibri" w:hAnsi="Calibri"/>
                <w:color w:val="000000"/>
                <w:sz w:val="16"/>
                <w:szCs w:val="16"/>
              </w:rPr>
              <w:t xml:space="preserve">Cocaine Export / Port Corruption</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shd w:val="clear" w:color="auto" w:fill="FFFFFF"/>
          </w:tcPr>
          <w:p>
            <w:pPr>
              <w:spacing w:before="40" w:after="40"/>
            </w:pPr>
            <w:r>
              <w:rPr>
                <w:rFonts w:ascii="Calibri" w:cs="Calibri" w:hAnsi="Calibri"/>
                <w:color w:val="000000"/>
                <w:sz w:val="16"/>
                <w:szCs w:val="16"/>
              </w:rPr>
              <w:t xml:space="preserve">Kingpin Act; 21 U.S.C. §959; EU narcotics enforcement cooperation</w:t>
            </w:r>
          </w:p>
        </w:tc>
        <w:tc>
          <w:tcPr>
            <w:tcW w:type="dxa" w:w="4000"/>
            <w:shd w:val="clear" w:color="auto" w:fill="FFFFFF"/>
          </w:tcPr>
          <w:p>
            <w:pPr>
              <w:spacing w:before="40" w:after="40"/>
            </w:pPr>
            <w:r>
              <w:rPr>
                <w:rFonts w:ascii="Calibri" w:cs="Calibri" w:hAnsi="Calibri"/>
                <w:color w:val="000000"/>
                <w:sz w:val="16"/>
                <w:szCs w:val="16"/>
              </w:rPr>
              <w:t xml:space="preserve">AGC supplies ~70% of European cocaine through Rotterdam, Antwerp, and Spanish ports. Corruption of port workers documented in Rotterdam and Antwerp. Coordinate OFAC/EUROJUST joint designation of identified European financial intermediaries and logistics controllers.</w:t>
            </w:r>
          </w:p>
        </w:tc>
      </w:tr>
      <w:tr>
        <w:tc>
          <w:tcPr>
            <w:tcW w:type="dxa" w:w="2400"/>
            <w:shd w:val="clear" w:color="auto" w:fill="EEF2F8"/>
          </w:tcPr>
          <w:p>
            <w:pPr>
              <w:spacing w:before="40" w:after="40"/>
            </w:pPr>
            <w:r>
              <w:rPr>
                <w:rFonts w:ascii="Calibri" w:cs="Calibri" w:hAnsi="Calibri"/>
                <w:b/>
                <w:bCs/>
                <w:color w:val="1C2B4A"/>
                <w:sz w:val="16"/>
                <w:szCs w:val="16"/>
              </w:rPr>
              <w:t xml:space="preserve">FARC EMC (Estado Mayor Central) Coca Revenue</w:t>
            </w:r>
          </w:p>
        </w:tc>
        <w:tc>
          <w:tcPr>
            <w:tcW w:type="dxa" w:w="1400"/>
            <w:shd w:val="clear" w:color="auto" w:fill="EEF2F8"/>
          </w:tcPr>
          <w:p>
            <w:pPr>
              <w:spacing w:before="40" w:after="40"/>
            </w:pPr>
            <w:r>
              <w:rPr>
                <w:rFonts w:ascii="Calibri" w:cs="Calibri" w:hAnsi="Calibri"/>
                <w:color w:val="000000"/>
                <w:sz w:val="16"/>
                <w:szCs w:val="16"/>
              </w:rPr>
              <w:t xml:space="preserve">Colombia (Cauca, Nariño, Meta, Putumayo)</w:t>
            </w:r>
          </w:p>
        </w:tc>
        <w:tc>
          <w:tcPr>
            <w:tcW w:type="dxa" w:w="2000"/>
            <w:shd w:val="clear" w:color="auto" w:fill="EEF2F8"/>
          </w:tcPr>
          <w:p>
            <w:pPr>
              <w:spacing w:before="40" w:after="40"/>
            </w:pPr>
            <w:r>
              <w:rPr>
                <w:rFonts w:ascii="Calibri" w:cs="Calibri" w:hAnsi="Calibri"/>
                <w:color w:val="000000"/>
                <w:sz w:val="16"/>
                <w:szCs w:val="16"/>
              </w:rPr>
              <w:t xml:space="preserve">Iván Mordisco (EMC commander); regional front commanders</w:t>
            </w:r>
          </w:p>
        </w:tc>
        <w:tc>
          <w:tcPr>
            <w:tcW w:type="dxa" w:w="1400"/>
            <w:shd w:val="clear" w:color="auto" w:fill="EEF2F8"/>
          </w:tcPr>
          <w:p>
            <w:pPr>
              <w:spacing w:before="40" w:after="40"/>
            </w:pPr>
            <w:r>
              <w:rPr>
                <w:rFonts w:ascii="Calibri" w:cs="Calibri" w:hAnsi="Calibri"/>
                <w:color w:val="000000"/>
                <w:sz w:val="16"/>
                <w:szCs w:val="16"/>
              </w:rPr>
              <w:t xml:space="preserve">Coca Cultivation / Cocaine Processing</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EEF2F8"/>
          </w:tcPr>
          <w:p>
            <w:pPr>
              <w:spacing w:before="40" w:after="40"/>
            </w:pPr>
            <w:r>
              <w:rPr>
                <w:rFonts w:ascii="Calibri" w:cs="Calibri" w:hAnsi="Calibri"/>
                <w:color w:val="000000"/>
                <w:sz w:val="16"/>
                <w:szCs w:val="16"/>
              </w:rPr>
              <w:t xml:space="preserve">EO 13224; FTO designation (FARC 1997, maintained for dissidents); Kingpin Act</w:t>
            </w:r>
          </w:p>
        </w:tc>
        <w:tc>
          <w:tcPr>
            <w:tcW w:type="dxa" w:w="4000"/>
            <w:shd w:val="clear" w:color="auto" w:fill="EEF2F8"/>
          </w:tcPr>
          <w:p>
            <w:pPr>
              <w:spacing w:before="40" w:after="40"/>
            </w:pPr>
            <w:r>
              <w:rPr>
                <w:rFonts w:ascii="Calibri" w:cs="Calibri" w:hAnsi="Calibri"/>
                <w:color w:val="000000"/>
                <w:sz w:val="16"/>
                <w:szCs w:val="16"/>
              </w:rPr>
              <w:t xml:space="preserve">EMC controls largest coca-growing departments post-accord fragmentation. Iván Mordisco designated. Revenues fund armed operations against Colombian state. Coordinate with Colombian UIAF for front company financial intelligence.</w:t>
            </w:r>
          </w:p>
        </w:tc>
      </w:tr>
      <w:tr>
        <w:tc>
          <w:tcPr>
            <w:tcW w:type="dxa" w:w="2400"/>
            <w:shd w:val="clear" w:color="auto" w:fill="FFFFFF"/>
          </w:tcPr>
          <w:p>
            <w:pPr>
              <w:spacing w:before="40" w:after="40"/>
            </w:pPr>
            <w:r>
              <w:rPr>
                <w:rFonts w:ascii="Calibri" w:cs="Calibri" w:hAnsi="Calibri"/>
                <w:b/>
                <w:bCs/>
                <w:color w:val="1C2B4A"/>
                <w:sz w:val="16"/>
                <w:szCs w:val="16"/>
              </w:rPr>
              <w:t xml:space="preserve">Segunda Marquetalia — Venezuela-Based Operations</w:t>
            </w:r>
          </w:p>
        </w:tc>
        <w:tc>
          <w:tcPr>
            <w:tcW w:type="dxa" w:w="1400"/>
            <w:shd w:val="clear" w:color="auto" w:fill="FFFFFF"/>
          </w:tcPr>
          <w:p>
            <w:pPr>
              <w:spacing w:before="40" w:after="40"/>
            </w:pPr>
            <w:r>
              <w:rPr>
                <w:rFonts w:ascii="Calibri" w:cs="Calibri" w:hAnsi="Calibri"/>
                <w:color w:val="000000"/>
                <w:sz w:val="16"/>
                <w:szCs w:val="16"/>
              </w:rPr>
              <w:t xml:space="preserve">Venezuela / Colombia / Ecuador</w:t>
            </w:r>
          </w:p>
        </w:tc>
        <w:tc>
          <w:tcPr>
            <w:tcW w:type="dxa" w:w="2000"/>
            <w:shd w:val="clear" w:color="auto" w:fill="FFFFFF"/>
          </w:tcPr>
          <w:p>
            <w:pPr>
              <w:spacing w:before="40" w:after="40"/>
            </w:pPr>
            <w:r>
              <w:rPr>
                <w:rFonts w:ascii="Calibri" w:cs="Calibri" w:hAnsi="Calibri"/>
                <w:color w:val="000000"/>
                <w:sz w:val="16"/>
                <w:szCs w:val="16"/>
              </w:rPr>
              <w:t xml:space="preserve">Iván Márquez (deceased 2023) / successor leadership; Venezuelan military protection</w:t>
            </w:r>
          </w:p>
        </w:tc>
        <w:tc>
          <w:tcPr>
            <w:tcW w:type="dxa" w:w="1400"/>
            <w:shd w:val="clear" w:color="auto" w:fill="FFFFFF"/>
          </w:tcPr>
          <w:p>
            <w:pPr>
              <w:spacing w:before="40" w:after="40"/>
            </w:pPr>
            <w:r>
              <w:rPr>
                <w:rFonts w:ascii="Calibri" w:cs="Calibri" w:hAnsi="Calibri"/>
                <w:color w:val="000000"/>
                <w:sz w:val="16"/>
                <w:szCs w:val="16"/>
              </w:rPr>
              <w:t xml:space="preserve">Cocaine Production / Venezuela Safe Haven</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FFFFFF"/>
          </w:tcPr>
          <w:p>
            <w:pPr>
              <w:spacing w:before="40" w:after="40"/>
            </w:pPr>
            <w:r>
              <w:rPr>
                <w:rFonts w:ascii="Calibri" w:cs="Calibri" w:hAnsi="Calibri"/>
                <w:color w:val="000000"/>
                <w:sz w:val="16"/>
                <w:szCs w:val="16"/>
              </w:rPr>
              <w:t xml:space="preserve">EO 13224; EO 13692 (Venezuela); FTO designation</w:t>
            </w:r>
          </w:p>
        </w:tc>
        <w:tc>
          <w:tcPr>
            <w:tcW w:type="dxa" w:w="4000"/>
            <w:shd w:val="clear" w:color="auto" w:fill="FFFFFF"/>
          </w:tcPr>
          <w:p>
            <w:pPr>
              <w:spacing w:before="40" w:after="40"/>
            </w:pPr>
            <w:r>
              <w:rPr>
                <w:rFonts w:ascii="Calibri" w:cs="Calibri" w:hAnsi="Calibri"/>
                <w:color w:val="000000"/>
                <w:sz w:val="16"/>
                <w:szCs w:val="16"/>
              </w:rPr>
              <w:t xml:space="preserve">Segunda Marquetalia operates from Venezuelan territory under state protection. Post-Maduro capture (Jan 2026), monitor for operational disruption. Designate Venezuelan military officers providing safe haven under EO 13692.</w:t>
            </w:r>
          </w:p>
        </w:tc>
      </w:tr>
      <w:tr>
        <w:tc>
          <w:tcPr>
            <w:tcW w:type="dxa" w:w="2400"/>
            <w:shd w:val="clear" w:color="auto" w:fill="EEF2F8"/>
          </w:tcPr>
          <w:p>
            <w:pPr>
              <w:spacing w:before="40" w:after="40"/>
            </w:pPr>
            <w:r>
              <w:rPr>
                <w:rFonts w:ascii="Calibri" w:cs="Calibri" w:hAnsi="Calibri"/>
                <w:b/>
                <w:bCs/>
                <w:color w:val="1C2B4A"/>
                <w:sz w:val="16"/>
                <w:szCs w:val="16"/>
              </w:rPr>
              <w:t xml:space="preserve">AGC / FARC Money Laundering — Colombian Financial System</w:t>
            </w:r>
          </w:p>
        </w:tc>
        <w:tc>
          <w:tcPr>
            <w:tcW w:type="dxa" w:w="1400"/>
            <w:shd w:val="clear" w:color="auto" w:fill="EEF2F8"/>
          </w:tcPr>
          <w:p>
            <w:pPr>
              <w:spacing w:before="40" w:after="40"/>
            </w:pPr>
            <w:r>
              <w:rPr>
                <w:rFonts w:ascii="Calibri" w:cs="Calibri" w:hAnsi="Calibri"/>
                <w:color w:val="000000"/>
                <w:sz w:val="16"/>
                <w:szCs w:val="16"/>
              </w:rPr>
              <w:t xml:space="preserve">Colombia / Panama / US</w:t>
            </w:r>
          </w:p>
        </w:tc>
        <w:tc>
          <w:tcPr>
            <w:tcW w:type="dxa" w:w="2000"/>
            <w:shd w:val="clear" w:color="auto" w:fill="EEF2F8"/>
          </w:tcPr>
          <w:p>
            <w:pPr>
              <w:spacing w:before="40" w:after="40"/>
            </w:pPr>
            <w:r>
              <w:rPr>
                <w:rFonts w:ascii="Calibri" w:cs="Calibri" w:hAnsi="Calibri"/>
                <w:color w:val="000000"/>
                <w:sz w:val="16"/>
                <w:szCs w:val="16"/>
              </w:rPr>
              <w:t xml:space="preserve">AGC financial controllers; Panama-based front companies; Colombian casas de cambio</w:t>
            </w:r>
          </w:p>
        </w:tc>
        <w:tc>
          <w:tcPr>
            <w:tcW w:type="dxa" w:w="1400"/>
            <w:shd w:val="clear" w:color="auto" w:fill="EEF2F8"/>
          </w:tcPr>
          <w:p>
            <w:pPr>
              <w:spacing w:before="40" w:after="40"/>
            </w:pPr>
            <w:r>
              <w:rPr>
                <w:rFonts w:ascii="Calibri" w:cs="Calibri" w:hAnsi="Calibri"/>
                <w:color w:val="000000"/>
                <w:sz w:val="16"/>
                <w:szCs w:val="16"/>
              </w:rPr>
              <w:t xml:space="preserve">Money Laundering / TBML</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shd w:val="clear" w:color="auto" w:fill="EEF2F8"/>
          </w:tcPr>
          <w:p>
            <w:pPr>
              <w:spacing w:before="40" w:after="40"/>
            </w:pPr>
            <w:r>
              <w:rPr>
                <w:rFonts w:ascii="Calibri" w:cs="Calibri" w:hAnsi="Calibri"/>
                <w:color w:val="000000"/>
                <w:sz w:val="16"/>
                <w:szCs w:val="16"/>
              </w:rPr>
              <w:t xml:space="preserve">Kingpin Act; BSA §5318A; 18 U.S.C. §1956; FATF R.15/R.16</w:t>
            </w:r>
          </w:p>
        </w:tc>
        <w:tc>
          <w:tcPr>
            <w:tcW w:type="dxa" w:w="4000"/>
            <w:shd w:val="clear" w:color="auto" w:fill="EEF2F8"/>
          </w:tcPr>
          <w:p>
            <w:pPr>
              <w:spacing w:before="40" w:after="40"/>
            </w:pPr>
            <w:r>
              <w:rPr>
                <w:rFonts w:ascii="Calibri" w:cs="Calibri" w:hAnsi="Calibri"/>
                <w:color w:val="000000"/>
                <w:sz w:val="16"/>
                <w:szCs w:val="16"/>
              </w:rPr>
              <w:t xml:space="preserve">Cocaine revenues laundered through Colombian real estate, cattle ranching, gold mining, and Panama-based shell companies. FinCEN Section 311 action against identified Colombian casas de cambio warranted. Coordinate with UIAF Colombia.</w:t>
            </w:r>
          </w:p>
        </w:tc>
      </w:tr>
      <w:tr>
        <w:tc>
          <w:tcPr>
            <w:tcW w:type="dxa" w:w="2400"/>
            <w:shd w:val="clear" w:color="auto" w:fill="FFFFFF"/>
          </w:tcPr>
          <w:p>
            <w:pPr>
              <w:spacing w:before="40" w:after="40"/>
            </w:pPr>
            <w:r>
              <w:rPr>
                <w:rFonts w:ascii="Calibri" w:cs="Calibri" w:hAnsi="Calibri"/>
                <w:b/>
                <w:bCs/>
                <w:color w:val="1C2B4A"/>
                <w:sz w:val="16"/>
                <w:szCs w:val="16"/>
              </w:rPr>
              <w:t xml:space="preserve">AGC Cryptocurrency Revenue Layer</w:t>
            </w:r>
          </w:p>
        </w:tc>
        <w:tc>
          <w:tcPr>
            <w:tcW w:type="dxa" w:w="1400"/>
            <w:shd w:val="clear" w:color="auto" w:fill="FFFFFF"/>
          </w:tcPr>
          <w:p>
            <w:pPr>
              <w:spacing w:before="40" w:after="40"/>
            </w:pPr>
            <w:r>
              <w:rPr>
                <w:rFonts w:ascii="Calibri" w:cs="Calibri" w:hAnsi="Calibri"/>
                <w:color w:val="000000"/>
                <w:sz w:val="16"/>
                <w:szCs w:val="16"/>
              </w:rPr>
              <w:t xml:space="preserve">Global / Colombia</w:t>
            </w:r>
          </w:p>
        </w:tc>
        <w:tc>
          <w:tcPr>
            <w:tcW w:type="dxa" w:w="2000"/>
            <w:shd w:val="clear" w:color="auto" w:fill="FFFFFF"/>
          </w:tcPr>
          <w:p>
            <w:pPr>
              <w:spacing w:before="40" w:after="40"/>
            </w:pPr>
            <w:r>
              <w:rPr>
                <w:rFonts w:ascii="Calibri" w:cs="Calibri" w:hAnsi="Calibri"/>
                <w:color w:val="000000"/>
                <w:sz w:val="16"/>
                <w:szCs w:val="16"/>
              </w:rPr>
              <w:t xml:space="preserve">AGC crypto facilitators; peer-to-peer exchange operators</w:t>
            </w:r>
          </w:p>
        </w:tc>
        <w:tc>
          <w:tcPr>
            <w:tcW w:type="dxa" w:w="1400"/>
            <w:shd w:val="clear" w:color="auto" w:fill="FFFFFF"/>
          </w:tcPr>
          <w:p>
            <w:pPr>
              <w:spacing w:before="40" w:after="40"/>
            </w:pPr>
            <w:r>
              <w:rPr>
                <w:rFonts w:ascii="Calibri" w:cs="Calibri" w:hAnsi="Calibri"/>
                <w:color w:val="000000"/>
                <w:sz w:val="16"/>
                <w:szCs w:val="16"/>
              </w:rPr>
              <w:t xml:space="preserve">Crypto Laundering</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shd w:val="clear" w:color="auto" w:fill="FFFFFF"/>
          </w:tcPr>
          <w:p>
            <w:pPr>
              <w:spacing w:before="40" w:after="40"/>
            </w:pPr>
            <w:r>
              <w:rPr>
                <w:rFonts w:ascii="Calibri" w:cs="Calibri" w:hAnsi="Calibri"/>
                <w:color w:val="000000"/>
                <w:sz w:val="16"/>
                <w:szCs w:val="16"/>
              </w:rPr>
              <w:t xml:space="preserve">Kingpin Act; GENIUS Act; BSA §5318A; 18 U.S.C. §1956</w:t>
            </w:r>
          </w:p>
        </w:tc>
        <w:tc>
          <w:tcPr>
            <w:tcW w:type="dxa" w:w="4000"/>
            <w:shd w:val="clear" w:color="auto" w:fill="FFFFFF"/>
          </w:tcPr>
          <w:p>
            <w:pPr>
              <w:spacing w:before="40" w:after="40"/>
            </w:pPr>
            <w:r>
              <w:rPr>
                <w:rFonts w:ascii="Calibri" w:cs="Calibri" w:hAnsi="Calibri"/>
                <w:color w:val="000000"/>
                <w:sz w:val="16"/>
                <w:szCs w:val="16"/>
              </w:rPr>
              <w:t xml:space="preserve">AGC and FARC dissidents increasingly use cryptocurrency for cross-border value transfer. TRM Labs has identified associated wallet clusters. Coordinate OFAC crypto wallet designation package with DEA SOTU.</w:t>
            </w:r>
          </w:p>
        </w:tc>
      </w:tr>
      <w:tr>
        <w:tc>
          <w:tcPr>
            <w:tcW w:type="dxa" w:w="2400"/>
            <w:shd w:val="clear" w:color="auto" w:fill="EEF2F8"/>
          </w:tcPr>
          <w:p>
            <w:pPr>
              <w:spacing w:before="40" w:after="40"/>
            </w:pPr>
            <w:r>
              <w:rPr>
                <w:rFonts w:ascii="Calibri" w:cs="Calibri" w:hAnsi="Calibri"/>
                <w:b/>
                <w:bCs/>
                <w:color w:val="1C2B4A"/>
                <w:sz w:val="16"/>
                <w:szCs w:val="16"/>
              </w:rPr>
              <w:t xml:space="preserve">ELN (Ejército de Liberación Nacional) Finance Network</w:t>
            </w:r>
          </w:p>
        </w:tc>
        <w:tc>
          <w:tcPr>
            <w:tcW w:type="dxa" w:w="1400"/>
            <w:shd w:val="clear" w:color="auto" w:fill="EEF2F8"/>
          </w:tcPr>
          <w:p>
            <w:pPr>
              <w:spacing w:before="40" w:after="40"/>
            </w:pPr>
            <w:r>
              <w:rPr>
                <w:rFonts w:ascii="Calibri" w:cs="Calibri" w:hAnsi="Calibri"/>
                <w:color w:val="000000"/>
                <w:sz w:val="16"/>
                <w:szCs w:val="16"/>
              </w:rPr>
              <w:t xml:space="preserve">Colombia / Venezuela / Ecuador</w:t>
            </w:r>
          </w:p>
        </w:tc>
        <w:tc>
          <w:tcPr>
            <w:tcW w:type="dxa" w:w="2000"/>
            <w:shd w:val="clear" w:color="auto" w:fill="EEF2F8"/>
          </w:tcPr>
          <w:p>
            <w:pPr>
              <w:spacing w:before="40" w:after="40"/>
            </w:pPr>
            <w:r>
              <w:rPr>
                <w:rFonts w:ascii="Calibri" w:cs="Calibri" w:hAnsi="Calibri"/>
                <w:color w:val="000000"/>
                <w:sz w:val="16"/>
                <w:szCs w:val="16"/>
              </w:rPr>
              <w:t xml:space="preserve">Antonio García (ELN commander); regional finance commanders</w:t>
            </w:r>
          </w:p>
        </w:tc>
        <w:tc>
          <w:tcPr>
            <w:tcW w:type="dxa" w:w="1400"/>
            <w:shd w:val="clear" w:color="auto" w:fill="EEF2F8"/>
          </w:tcPr>
          <w:p>
            <w:pPr>
              <w:spacing w:before="40" w:after="40"/>
            </w:pPr>
            <w:r>
              <w:rPr>
                <w:rFonts w:ascii="Calibri" w:cs="Calibri" w:hAnsi="Calibri"/>
                <w:color w:val="000000"/>
                <w:sz w:val="16"/>
                <w:szCs w:val="16"/>
              </w:rPr>
              <w:t xml:space="preserve">Terrorist Financing / Drug Revenue</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EEF2F8"/>
          </w:tcPr>
          <w:p>
            <w:pPr>
              <w:spacing w:before="40" w:after="40"/>
            </w:pPr>
            <w:r>
              <w:rPr>
                <w:rFonts w:ascii="Calibri" w:cs="Calibri" w:hAnsi="Calibri"/>
                <w:color w:val="000000"/>
                <w:sz w:val="16"/>
                <w:szCs w:val="16"/>
              </w:rPr>
              <w:t xml:space="preserve">EO 13224; FTO designation (Oct 2023); Kingpin Act (pending)</w:t>
            </w:r>
          </w:p>
        </w:tc>
        <w:tc>
          <w:tcPr>
            <w:tcW w:type="dxa" w:w="4000"/>
            <w:shd w:val="clear" w:color="auto" w:fill="EEF2F8"/>
          </w:tcPr>
          <w:p>
            <w:pPr>
              <w:spacing w:before="40" w:after="40"/>
            </w:pPr>
            <w:r>
              <w:rPr>
                <w:rFonts w:ascii="Calibri" w:cs="Calibri" w:hAnsi="Calibri"/>
                <w:color w:val="000000"/>
                <w:sz w:val="16"/>
                <w:szCs w:val="16"/>
              </w:rPr>
              <w:t xml:space="preserve">ELN designated FTO Oct 2023 following peace talks collapse. Revenue from cocaine, extortion, oil pipeline attacks, and illegal mining. Kingpin designation for senior leadership warranted. Coordinate with Colombian UIAF and Venezuelan partners on cross-border finance mapping.</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XXXV. Russian GRU / FSB Western Europe Covert Operations Finance — Separate from Energy Infrastructure</w:t>
      </w:r>
    </w:p>
    <w:p>
      <w:pPr>
        <w:spacing w:before="60" w:after="60"/>
      </w:pPr>
      <w:r>
        <w:rPr>
          <w:rFonts w:ascii="Calibri" w:cs="Calibri" w:hAnsi="Calibri"/>
          <w:color w:val="000000"/>
          <w:sz w:val="18"/>
          <w:szCs w:val="18"/>
        </w:rPr>
        <w:t xml:space="preserve">Russian intelligence covert operations finance in Western Europe is analytically distinct from the energy infrastructure and shadow finance networks in Sections I–XXI. GRU Unit 29155 (responsible for Salisbury poisoning, Skripal, multiple European assassination attempts) and FSB operational units maintain dedicated covert finance infrastructure separate from commercial banking exposure. Primary mechanisms: Russian-origin shell company networks in EU jurisdictions (Cyprus, Malta, Hungary), cryptocurrency operational funds, third-country cash courier networks, and state enterprise cover organizations. GRU 29155 designated by US, UK, EU, and Canada following attribution of Salisbury attack. Russia's Main Intelligence Directorate (GRU) and Federal Security Service (FSB) sanctioned under EO 13694 (cyber) and EO 14024.</w:t>
      </w:r>
    </w:p>
    <w:tbl>
      <w:tblPr>
        <w:tblW w:type="dxa" w:w="14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1400"/>
        <w:gridCol w:w="1200"/>
        <w:gridCol w:w="1800"/>
        <w:gridCol w:w="4000"/>
      </w:tblGrid>
      <w:tr>
        <w:tc>
          <w:tcPr>
            <w:tcW w:type="dxa" w:w="2400"/>
            <w:shd w:val="clear" w:color="auto" w:fill="1C2B4A"/>
          </w:tcPr>
          <w:p>
            <w:pPr>
              <w:jc w:val="center"/>
            </w:pPr>
            <w:r>
              <w:rPr>
                <w:rFonts w:ascii="Calibri" w:cs="Calibri" w:hAnsi="Calibri"/>
                <w:b/>
                <w:bCs/>
                <w:color w:val="FFFFFF"/>
                <w:sz w:val="16"/>
                <w:szCs w:val="16"/>
              </w:rPr>
              <w:t xml:space="preserve">NODE</w:t>
            </w:r>
          </w:p>
        </w:tc>
        <w:tc>
          <w:tcPr>
            <w:tcW w:type="dxa" w:w="1400"/>
            <w:shd w:val="clear" w:color="auto" w:fill="1C2B4A"/>
          </w:tcPr>
          <w:p>
            <w:pPr>
              <w:jc w:val="center"/>
            </w:pPr>
            <w:r>
              <w:rPr>
                <w:rFonts w:ascii="Calibri" w:cs="Calibri" w:hAnsi="Calibri"/>
                <w:b/>
                <w:bCs/>
                <w:color w:val="FFFFFF"/>
                <w:sz w:val="16"/>
                <w:szCs w:val="16"/>
              </w:rPr>
              <w:t xml:space="preserve">LOCATION</w:t>
            </w:r>
          </w:p>
        </w:tc>
        <w:tc>
          <w:tcPr>
            <w:tcW w:type="dxa" w:w="2000"/>
            <w:shd w:val="clear" w:color="auto" w:fill="1C2B4A"/>
          </w:tcPr>
          <w:p>
            <w:pPr>
              <w:jc w:val="center"/>
            </w:pPr>
            <w:r>
              <w:rPr>
                <w:rFonts w:ascii="Calibri" w:cs="Calibri" w:hAnsi="Calibri"/>
                <w:b/>
                <w:bCs/>
                <w:color w:val="FFFFFF"/>
                <w:sz w:val="16"/>
                <w:szCs w:val="16"/>
              </w:rPr>
              <w:t xml:space="preserve">OPERATOR / STRUCTURE</w:t>
            </w:r>
          </w:p>
        </w:tc>
        <w:tc>
          <w:tcPr>
            <w:tcW w:type="dxa" w:w="1400"/>
            <w:shd w:val="clear" w:color="auto" w:fill="1C2B4A"/>
          </w:tcPr>
          <w:p>
            <w:pPr>
              <w:jc w:val="center"/>
            </w:pPr>
            <w:r>
              <w:rPr>
                <w:rFonts w:ascii="Calibri" w:cs="Calibri" w:hAnsi="Calibri"/>
                <w:b/>
                <w:bCs/>
                <w:color w:val="FFFFFF"/>
                <w:sz w:val="16"/>
                <w:szCs w:val="16"/>
              </w:rPr>
              <w:t xml:space="preserve">CATEGORY</w:t>
            </w:r>
          </w:p>
        </w:tc>
        <w:tc>
          <w:tcPr>
            <w:tcW w:type="dxa" w:w="1200"/>
            <w:shd w:val="clear" w:color="auto" w:fill="1C2B4A"/>
          </w:tcPr>
          <w:p>
            <w:pPr>
              <w:jc w:val="center"/>
            </w:pPr>
            <w:r>
              <w:rPr>
                <w:rFonts w:ascii="Calibri" w:cs="Calibri" w:hAnsi="Calibri"/>
                <w:b/>
                <w:bCs/>
                <w:color w:val="FFFFFF"/>
                <w:sz w:val="16"/>
                <w:szCs w:val="16"/>
              </w:rPr>
              <w:t xml:space="preserve">STATUS</w:t>
            </w:r>
          </w:p>
        </w:tc>
        <w:tc>
          <w:tcPr>
            <w:tcW w:type="dxa" w:w="1800"/>
            <w:shd w:val="clear" w:color="auto" w:fill="1C2B4A"/>
          </w:tcPr>
          <w:p>
            <w:pPr>
              <w:jc w:val="center"/>
            </w:pPr>
            <w:r>
              <w:rPr>
                <w:rFonts w:ascii="Calibri" w:cs="Calibri" w:hAnsi="Calibri"/>
                <w:b/>
                <w:bCs/>
                <w:color w:val="FFFFFF"/>
                <w:sz w:val="16"/>
                <w:szCs w:val="16"/>
              </w:rPr>
              <w:t xml:space="preserve">LEGAL AUTHORITY</w:t>
            </w:r>
          </w:p>
        </w:tc>
        <w:tc>
          <w:tcPr>
            <w:tcW w:type="dxa" w:w="4000"/>
            <w:shd w:val="clear" w:color="auto" w:fill="1C2B4A"/>
          </w:tcPr>
          <w:p>
            <w:pPr>
              <w:jc w:val="center"/>
            </w:pPr>
            <w:r>
              <w:rPr>
                <w:rFonts w:ascii="Calibri" w:cs="Calibri" w:hAnsi="Calibri"/>
                <w:b/>
                <w:bCs/>
                <w:color w:val="FFFFFF"/>
                <w:sz w:val="16"/>
                <w:szCs w:val="16"/>
              </w:rPr>
              <w:t xml:space="preserve">ENFORCEMENT THEORY AND ACTION</w:t>
            </w:r>
          </w:p>
        </w:tc>
      </w:tr>
      <w:tr>
        <w:tc>
          <w:tcPr>
            <w:tcW w:type="dxa" w:w="2400"/>
            <w:shd w:val="clear" w:color="auto" w:fill="EEF2F8"/>
          </w:tcPr>
          <w:p>
            <w:pPr>
              <w:spacing w:before="40" w:after="40"/>
            </w:pPr>
            <w:r>
              <w:rPr>
                <w:rFonts w:ascii="Calibri" w:cs="Calibri" w:hAnsi="Calibri"/>
                <w:b/>
                <w:bCs/>
                <w:color w:val="1C2B4A"/>
                <w:sz w:val="16"/>
                <w:szCs w:val="16"/>
              </w:rPr>
              <w:t xml:space="preserve">GRU Unit 29155 Operational Finance Network</w:t>
            </w:r>
          </w:p>
        </w:tc>
        <w:tc>
          <w:tcPr>
            <w:tcW w:type="dxa" w:w="1400"/>
            <w:shd w:val="clear" w:color="auto" w:fill="EEF2F8"/>
          </w:tcPr>
          <w:p>
            <w:pPr>
              <w:spacing w:before="40" w:after="40"/>
            </w:pPr>
            <w:r>
              <w:rPr>
                <w:rFonts w:ascii="Calibri" w:cs="Calibri" w:hAnsi="Calibri"/>
                <w:color w:val="000000"/>
                <w:sz w:val="16"/>
                <w:szCs w:val="16"/>
              </w:rPr>
              <w:t xml:space="preserve">Russia / Western Europe (UK, France, Germany, Czechia)</w:t>
            </w:r>
          </w:p>
        </w:tc>
        <w:tc>
          <w:tcPr>
            <w:tcW w:type="dxa" w:w="2000"/>
            <w:shd w:val="clear" w:color="auto" w:fill="EEF2F8"/>
          </w:tcPr>
          <w:p>
            <w:pPr>
              <w:spacing w:before="40" w:after="40"/>
            </w:pPr>
            <w:r>
              <w:rPr>
                <w:rFonts w:ascii="Calibri" w:cs="Calibri" w:hAnsi="Calibri"/>
                <w:color w:val="000000"/>
                <w:sz w:val="16"/>
                <w:szCs w:val="16"/>
              </w:rPr>
              <w:t xml:space="preserve">GRU 29155 officers (multiple designated post-Salisbury); GRU Main Centre Special Technologies</w:t>
            </w:r>
          </w:p>
        </w:tc>
        <w:tc>
          <w:tcPr>
            <w:tcW w:type="dxa" w:w="1400"/>
            <w:shd w:val="clear" w:color="auto" w:fill="EEF2F8"/>
          </w:tcPr>
          <w:p>
            <w:pPr>
              <w:spacing w:before="40" w:after="40"/>
            </w:pPr>
            <w:r>
              <w:rPr>
                <w:rFonts w:ascii="Calibri" w:cs="Calibri" w:hAnsi="Calibri"/>
                <w:color w:val="000000"/>
                <w:sz w:val="16"/>
                <w:szCs w:val="16"/>
              </w:rPr>
              <w:t xml:space="preserve">Intelligence Operations Finance</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EEF2F8"/>
          </w:tcPr>
          <w:p>
            <w:pPr>
              <w:spacing w:before="40" w:after="40"/>
            </w:pPr>
            <w:r>
              <w:rPr>
                <w:rFonts w:ascii="Calibri" w:cs="Calibri" w:hAnsi="Calibri"/>
                <w:color w:val="000000"/>
                <w:sz w:val="16"/>
                <w:szCs w:val="16"/>
              </w:rPr>
              <w:t xml:space="preserve">EO 13694 (as amended EO 14306); EO 14024 §1(a)(i); EU Reg. 269/2014</w:t>
            </w:r>
          </w:p>
        </w:tc>
        <w:tc>
          <w:tcPr>
            <w:tcW w:type="dxa" w:w="4000"/>
            <w:shd w:val="clear" w:color="auto" w:fill="EEF2F8"/>
          </w:tcPr>
          <w:p>
            <w:pPr>
              <w:spacing w:before="40" w:after="40"/>
            </w:pPr>
            <w:r>
              <w:rPr>
                <w:rFonts w:ascii="Calibri" w:cs="Calibri" w:hAnsi="Calibri"/>
                <w:color w:val="000000"/>
                <w:sz w:val="16"/>
                <w:szCs w:val="16"/>
              </w:rPr>
              <w:t xml:space="preserve">GRU 29155 responsible for Salisbury poisoning (2018), Skripal assassination attempt, Bulgarian arms dealer poisoning, and multiple European destabilization operations. Multiple officers designated US/EU/UK. Monitor for new operational finance structures using third-country relay jurisdictions (Serbia, Turkey, UAE).</w:t>
            </w:r>
          </w:p>
        </w:tc>
      </w:tr>
      <w:tr>
        <w:tc>
          <w:tcPr>
            <w:tcW w:type="dxa" w:w="2400"/>
            <w:shd w:val="clear" w:color="auto" w:fill="FFFFFF"/>
          </w:tcPr>
          <w:p>
            <w:pPr>
              <w:spacing w:before="40" w:after="40"/>
            </w:pPr>
            <w:r>
              <w:rPr>
                <w:rFonts w:ascii="Calibri" w:cs="Calibri" w:hAnsi="Calibri"/>
                <w:b/>
                <w:bCs/>
                <w:color w:val="1C2B4A"/>
                <w:sz w:val="16"/>
                <w:szCs w:val="16"/>
              </w:rPr>
              <w:t xml:space="preserve">FSB Operational Finance — Western Europe</w:t>
            </w:r>
          </w:p>
        </w:tc>
        <w:tc>
          <w:tcPr>
            <w:tcW w:type="dxa" w:w="1400"/>
            <w:shd w:val="clear" w:color="auto" w:fill="FFFFFF"/>
          </w:tcPr>
          <w:p>
            <w:pPr>
              <w:spacing w:before="40" w:after="40"/>
            </w:pPr>
            <w:r>
              <w:rPr>
                <w:rFonts w:ascii="Calibri" w:cs="Calibri" w:hAnsi="Calibri"/>
                <w:color w:val="000000"/>
                <w:sz w:val="16"/>
                <w:szCs w:val="16"/>
              </w:rPr>
              <w:t xml:space="preserve">Russia / Germany / Austria / Hungary</w:t>
            </w:r>
          </w:p>
        </w:tc>
        <w:tc>
          <w:tcPr>
            <w:tcW w:type="dxa" w:w="2000"/>
            <w:shd w:val="clear" w:color="auto" w:fill="FFFFFF"/>
          </w:tcPr>
          <w:p>
            <w:pPr>
              <w:spacing w:before="40" w:after="40"/>
            </w:pPr>
            <w:r>
              <w:rPr>
                <w:rFonts w:ascii="Calibri" w:cs="Calibri" w:hAnsi="Calibri"/>
                <w:color w:val="000000"/>
                <w:sz w:val="16"/>
                <w:szCs w:val="16"/>
              </w:rPr>
              <w:t xml:space="preserve">FSB foreign intelligence service officers; diplomatic cover personnel</w:t>
            </w:r>
          </w:p>
        </w:tc>
        <w:tc>
          <w:tcPr>
            <w:tcW w:type="dxa" w:w="1400"/>
            <w:shd w:val="clear" w:color="auto" w:fill="FFFFFF"/>
          </w:tcPr>
          <w:p>
            <w:pPr>
              <w:spacing w:before="40" w:after="40"/>
            </w:pPr>
            <w:r>
              <w:rPr>
                <w:rFonts w:ascii="Calibri" w:cs="Calibri" w:hAnsi="Calibri"/>
                <w:color w:val="000000"/>
                <w:sz w:val="16"/>
                <w:szCs w:val="16"/>
              </w:rPr>
              <w:t xml:space="preserve">Intelligence Operations Finance</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shd w:val="clear" w:color="auto" w:fill="FFFFFF"/>
          </w:tcPr>
          <w:p>
            <w:pPr>
              <w:spacing w:before="40" w:after="40"/>
            </w:pPr>
            <w:r>
              <w:rPr>
                <w:rFonts w:ascii="Calibri" w:cs="Calibri" w:hAnsi="Calibri"/>
                <w:color w:val="000000"/>
                <w:sz w:val="16"/>
                <w:szCs w:val="16"/>
              </w:rPr>
              <w:t xml:space="preserve">EO 13694; EO 14024; EU Reg. 269/2014</w:t>
            </w:r>
          </w:p>
        </w:tc>
        <w:tc>
          <w:tcPr>
            <w:tcW w:type="dxa" w:w="4000"/>
            <w:shd w:val="clear" w:color="auto" w:fill="FFFFFF"/>
          </w:tcPr>
          <w:p>
            <w:pPr>
              <w:spacing w:before="40" w:after="40"/>
            </w:pPr>
            <w:r>
              <w:rPr>
                <w:rFonts w:ascii="Calibri" w:cs="Calibri" w:hAnsi="Calibri"/>
                <w:color w:val="000000"/>
                <w:sz w:val="16"/>
                <w:szCs w:val="16"/>
              </w:rPr>
              <w:t xml:space="preserve">FSB maintains covert finance infrastructure through diplomatic channels and Russian state enterprise cover organizations in EU. Germany expelled 40 Russian intelligence officers 2022; Austria and Hungary retain higher FSB presence. Coordinate BND/BfV/OFAC joint mapping of identified FSB financial facilitators.</w:t>
            </w:r>
          </w:p>
        </w:tc>
      </w:tr>
      <w:tr>
        <w:tc>
          <w:tcPr>
            <w:tcW w:type="dxa" w:w="2400"/>
            <w:shd w:val="clear" w:color="auto" w:fill="EEF2F8"/>
          </w:tcPr>
          <w:p>
            <w:pPr>
              <w:spacing w:before="40" w:after="40"/>
            </w:pPr>
            <w:r>
              <w:rPr>
                <w:rFonts w:ascii="Calibri" w:cs="Calibri" w:hAnsi="Calibri"/>
                <w:b/>
                <w:bCs/>
                <w:color w:val="1C2B4A"/>
                <w:sz w:val="16"/>
                <w:szCs w:val="16"/>
              </w:rPr>
              <w:t xml:space="preserve">Russian Shell Company Network — Cyprus / Malta / Hungary</w:t>
            </w:r>
          </w:p>
        </w:tc>
        <w:tc>
          <w:tcPr>
            <w:tcW w:type="dxa" w:w="1400"/>
            <w:shd w:val="clear" w:color="auto" w:fill="EEF2F8"/>
          </w:tcPr>
          <w:p>
            <w:pPr>
              <w:spacing w:before="40" w:after="40"/>
            </w:pPr>
            <w:r>
              <w:rPr>
                <w:rFonts w:ascii="Calibri" w:cs="Calibri" w:hAnsi="Calibri"/>
                <w:color w:val="000000"/>
                <w:sz w:val="16"/>
                <w:szCs w:val="16"/>
              </w:rPr>
              <w:t xml:space="preserve">Cyprus / Malta / Hungary / Liechtenstein</w:t>
            </w:r>
          </w:p>
        </w:tc>
        <w:tc>
          <w:tcPr>
            <w:tcW w:type="dxa" w:w="2000"/>
            <w:shd w:val="clear" w:color="auto" w:fill="EEF2F8"/>
          </w:tcPr>
          <w:p>
            <w:pPr>
              <w:spacing w:before="40" w:after="40"/>
            </w:pPr>
            <w:r>
              <w:rPr>
                <w:rFonts w:ascii="Calibri" w:cs="Calibri" w:hAnsi="Calibri"/>
                <w:color w:val="000000"/>
                <w:sz w:val="16"/>
                <w:szCs w:val="16"/>
              </w:rPr>
              <w:t xml:space="preserve">Russian beneficial owners; nominee directors; EU-based law firms providing corporate services</w:t>
            </w:r>
          </w:p>
        </w:tc>
        <w:tc>
          <w:tcPr>
            <w:tcW w:type="dxa" w:w="1400"/>
            <w:shd w:val="clear" w:color="auto" w:fill="EEF2F8"/>
          </w:tcPr>
          <w:p>
            <w:pPr>
              <w:spacing w:before="40" w:after="40"/>
            </w:pPr>
            <w:r>
              <w:rPr>
                <w:rFonts w:ascii="Calibri" w:cs="Calibri" w:hAnsi="Calibri"/>
                <w:color w:val="000000"/>
                <w:sz w:val="16"/>
                <w:szCs w:val="16"/>
              </w:rPr>
              <w:t xml:space="preserve">Money Laundering / Covert Operations Finance</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shd w:val="clear" w:color="auto" w:fill="EEF2F8"/>
          </w:tcPr>
          <w:p>
            <w:pPr>
              <w:spacing w:before="40" w:after="40"/>
            </w:pPr>
            <w:r>
              <w:rPr>
                <w:rFonts w:ascii="Calibri" w:cs="Calibri" w:hAnsi="Calibri"/>
                <w:color w:val="000000"/>
                <w:sz w:val="16"/>
                <w:szCs w:val="16"/>
              </w:rPr>
              <w:t xml:space="preserve">EO 14024; EU Reg. 833/2014 (Art. 5ah); FATF R.15; EU AMLD6</w:t>
            </w:r>
          </w:p>
        </w:tc>
        <w:tc>
          <w:tcPr>
            <w:tcW w:type="dxa" w:w="4000"/>
            <w:shd w:val="clear" w:color="auto" w:fill="EEF2F8"/>
          </w:tcPr>
          <w:p>
            <w:pPr>
              <w:spacing w:before="40" w:after="40"/>
            </w:pPr>
            <w:r>
              <w:rPr>
                <w:rFonts w:ascii="Calibri" w:cs="Calibri" w:hAnsi="Calibri"/>
                <w:color w:val="000000"/>
                <w:sz w:val="16"/>
                <w:szCs w:val="16"/>
              </w:rPr>
              <w:t xml:space="preserve">Cyprus and Malta "golden passport" era created deep Russian shell company infrastructure. Post-2022 partial cleanup but significant residual capacity. Hungary retains Russian-origin financial structures outside EU enforcement consensus. Coordinate with ECB, EBA, and national FIUs for beneficial ownership exposure.</w:t>
            </w:r>
          </w:p>
        </w:tc>
      </w:tr>
      <w:tr>
        <w:tc>
          <w:tcPr>
            <w:tcW w:type="dxa" w:w="2400"/>
            <w:shd w:val="clear" w:color="auto" w:fill="FFFFFF"/>
          </w:tcPr>
          <w:p>
            <w:pPr>
              <w:spacing w:before="40" w:after="40"/>
            </w:pPr>
            <w:r>
              <w:rPr>
                <w:rFonts w:ascii="Calibri" w:cs="Calibri" w:hAnsi="Calibri"/>
                <w:b/>
                <w:bCs/>
                <w:color w:val="1C2B4A"/>
                <w:sz w:val="16"/>
                <w:szCs w:val="16"/>
              </w:rPr>
              <w:t xml:space="preserve">GRU / SVR Cryptocurrency Operational Funds</w:t>
            </w:r>
          </w:p>
        </w:tc>
        <w:tc>
          <w:tcPr>
            <w:tcW w:type="dxa" w:w="1400"/>
            <w:shd w:val="clear" w:color="auto" w:fill="FFFFFF"/>
          </w:tcPr>
          <w:p>
            <w:pPr>
              <w:spacing w:before="40" w:after="40"/>
            </w:pPr>
            <w:r>
              <w:rPr>
                <w:rFonts w:ascii="Calibri" w:cs="Calibri" w:hAnsi="Calibri"/>
                <w:color w:val="000000"/>
                <w:sz w:val="16"/>
                <w:szCs w:val="16"/>
              </w:rPr>
              <w:t xml:space="preserve">Global (Tornado Cash successors, peer-to-peer)</w:t>
            </w:r>
          </w:p>
        </w:tc>
        <w:tc>
          <w:tcPr>
            <w:tcW w:type="dxa" w:w="2000"/>
            <w:shd w:val="clear" w:color="auto" w:fill="FFFFFF"/>
          </w:tcPr>
          <w:p>
            <w:pPr>
              <w:spacing w:before="40" w:after="40"/>
            </w:pPr>
            <w:r>
              <w:rPr>
                <w:rFonts w:ascii="Calibri" w:cs="Calibri" w:hAnsi="Calibri"/>
                <w:color w:val="000000"/>
                <w:sz w:val="16"/>
                <w:szCs w:val="16"/>
              </w:rPr>
              <w:t xml:space="preserve">GRU/SVR-linked crypto facilitators; mixing service operators</w:t>
            </w:r>
          </w:p>
        </w:tc>
        <w:tc>
          <w:tcPr>
            <w:tcW w:type="dxa" w:w="1400"/>
            <w:shd w:val="clear" w:color="auto" w:fill="FFFFFF"/>
          </w:tcPr>
          <w:p>
            <w:pPr>
              <w:spacing w:before="40" w:after="40"/>
            </w:pPr>
            <w:r>
              <w:rPr>
                <w:rFonts w:ascii="Calibri" w:cs="Calibri" w:hAnsi="Calibri"/>
                <w:color w:val="000000"/>
                <w:sz w:val="16"/>
                <w:szCs w:val="16"/>
              </w:rPr>
              <w:t xml:space="preserve">Crypto Operational Finance</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shd w:val="clear" w:color="auto" w:fill="FFFFFF"/>
          </w:tcPr>
          <w:p>
            <w:pPr>
              <w:spacing w:before="40" w:after="40"/>
            </w:pPr>
            <w:r>
              <w:rPr>
                <w:rFonts w:ascii="Calibri" w:cs="Calibri" w:hAnsi="Calibri"/>
                <w:color w:val="000000"/>
                <w:sz w:val="16"/>
                <w:szCs w:val="16"/>
              </w:rPr>
              <w:t xml:space="preserve">EO 13694; EO 14306; GENIUS Act; 31 U.S.C. §5318A</w:t>
            </w:r>
          </w:p>
        </w:tc>
        <w:tc>
          <w:tcPr>
            <w:tcW w:type="dxa" w:w="4000"/>
            <w:shd w:val="clear" w:color="auto" w:fill="FFFFFF"/>
          </w:tcPr>
          <w:p>
            <w:pPr>
              <w:spacing w:before="40" w:after="40"/>
            </w:pPr>
            <w:r>
              <w:rPr>
                <w:rFonts w:ascii="Calibri" w:cs="Calibri" w:hAnsi="Calibri"/>
                <w:color w:val="000000"/>
                <w:sz w:val="16"/>
                <w:szCs w:val="16"/>
              </w:rPr>
              <w:t xml:space="preserve">Russian intelligence services use cryptocurrency for operational expenses, agent payments, and sanctions evasion. Chainalysis has traced GRU-linked wallet clusters. Extend EO 14306 cyber sanctions designations to identified crypto facilitators.</w:t>
            </w:r>
          </w:p>
        </w:tc>
      </w:tr>
      <w:tr>
        <w:tc>
          <w:tcPr>
            <w:tcW w:type="dxa" w:w="2400"/>
            <w:shd w:val="clear" w:color="auto" w:fill="EEF2F8"/>
          </w:tcPr>
          <w:p>
            <w:pPr>
              <w:spacing w:before="40" w:after="40"/>
            </w:pPr>
            <w:r>
              <w:rPr>
                <w:rFonts w:ascii="Calibri" w:cs="Calibri" w:hAnsi="Calibri"/>
                <w:b/>
                <w:bCs/>
                <w:color w:val="1C2B4A"/>
                <w:sz w:val="16"/>
                <w:szCs w:val="16"/>
              </w:rPr>
              <w:t xml:space="preserve">Russian Private Military Finance — Africa Corps Cover Entities</w:t>
            </w:r>
          </w:p>
        </w:tc>
        <w:tc>
          <w:tcPr>
            <w:tcW w:type="dxa" w:w="1400"/>
            <w:shd w:val="clear" w:color="auto" w:fill="EEF2F8"/>
          </w:tcPr>
          <w:p>
            <w:pPr>
              <w:spacing w:before="40" w:after="40"/>
            </w:pPr>
            <w:r>
              <w:rPr>
                <w:rFonts w:ascii="Calibri" w:cs="Calibri" w:hAnsi="Calibri"/>
                <w:color w:val="000000"/>
                <w:sz w:val="16"/>
                <w:szCs w:val="16"/>
              </w:rPr>
              <w:t xml:space="preserve">UAE / Sudan / CAR / Libya</w:t>
            </w:r>
          </w:p>
        </w:tc>
        <w:tc>
          <w:tcPr>
            <w:tcW w:type="dxa" w:w="2000"/>
            <w:shd w:val="clear" w:color="auto" w:fill="EEF2F8"/>
          </w:tcPr>
          <w:p>
            <w:pPr>
              <w:spacing w:before="40" w:after="40"/>
            </w:pPr>
            <w:r>
              <w:rPr>
                <w:rFonts w:ascii="Calibri" w:cs="Calibri" w:hAnsi="Calibri"/>
                <w:color w:val="000000"/>
                <w:sz w:val="16"/>
                <w:szCs w:val="16"/>
              </w:rPr>
              <w:t xml:space="preserve">Africa Corps financial controllers; UAE-based logistics companies; Prigozhin successor entities</w:t>
            </w:r>
          </w:p>
        </w:tc>
        <w:tc>
          <w:tcPr>
            <w:tcW w:type="dxa" w:w="1400"/>
            <w:shd w:val="clear" w:color="auto" w:fill="EEF2F8"/>
          </w:tcPr>
          <w:p>
            <w:pPr>
              <w:spacing w:before="40" w:after="40"/>
            </w:pPr>
            <w:r>
              <w:rPr>
                <w:rFonts w:ascii="Calibri" w:cs="Calibri" w:hAnsi="Calibri"/>
                <w:color w:val="000000"/>
                <w:sz w:val="16"/>
                <w:szCs w:val="16"/>
              </w:rPr>
              <w:t xml:space="preserve">PMC Finance / Resource Extraction</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shd w:val="clear" w:color="auto" w:fill="EEF2F8"/>
          </w:tcPr>
          <w:p>
            <w:pPr>
              <w:spacing w:before="40" w:after="40"/>
            </w:pPr>
            <w:r>
              <w:rPr>
                <w:rFonts w:ascii="Calibri" w:cs="Calibri" w:hAnsi="Calibri"/>
                <w:color w:val="000000"/>
                <w:sz w:val="16"/>
                <w:szCs w:val="16"/>
              </w:rPr>
              <w:t xml:space="preserve">EO 14024; EO 13581 (transnational criminal); EO 14098 (Sudan)</w:t>
            </w:r>
          </w:p>
        </w:tc>
        <w:tc>
          <w:tcPr>
            <w:tcW w:type="dxa" w:w="4000"/>
            <w:shd w:val="clear" w:color="auto" w:fill="EEF2F8"/>
          </w:tcPr>
          <w:p>
            <w:pPr>
              <w:spacing w:before="40" w:after="40"/>
            </w:pPr>
            <w:r>
              <w:rPr>
                <w:rFonts w:ascii="Calibri" w:cs="Calibri" w:hAnsi="Calibri"/>
                <w:color w:val="000000"/>
                <w:sz w:val="16"/>
                <w:szCs w:val="16"/>
              </w:rPr>
              <w:t xml:space="preserve">Africa Corps (Wagner successor) maintains separate covert finance infrastructure from Russian state energy networks. UAE gold hub remains primary revenue laundering point. See Section XXX for Wagner/Africa Corps full node mapping.</w:t>
            </w:r>
          </w:p>
        </w:tc>
      </w:tr>
      <w:tr>
        <w:tc>
          <w:tcPr>
            <w:tcW w:type="dxa" w:w="2400"/>
            <w:shd w:val="clear" w:color="auto" w:fill="FFFFFF"/>
          </w:tcPr>
          <w:p>
            <w:pPr>
              <w:spacing w:before="40" w:after="40"/>
            </w:pPr>
            <w:r>
              <w:rPr>
                <w:rFonts w:ascii="Calibri" w:cs="Calibri" w:hAnsi="Calibri"/>
                <w:b/>
                <w:bCs/>
                <w:color w:val="1C2B4A"/>
                <w:sz w:val="16"/>
                <w:szCs w:val="16"/>
              </w:rPr>
              <w:t xml:space="preserve">Internet Research Agency (IRA) / Patriot Media Successor Finance</w:t>
            </w:r>
          </w:p>
        </w:tc>
        <w:tc>
          <w:tcPr>
            <w:tcW w:type="dxa" w:w="1400"/>
            <w:shd w:val="clear" w:color="auto" w:fill="FFFFFF"/>
          </w:tcPr>
          <w:p>
            <w:pPr>
              <w:spacing w:before="40" w:after="40"/>
            </w:pPr>
            <w:r>
              <w:rPr>
                <w:rFonts w:ascii="Calibri" w:cs="Calibri" w:hAnsi="Calibri"/>
                <w:color w:val="000000"/>
                <w:sz w:val="16"/>
                <w:szCs w:val="16"/>
              </w:rPr>
              <w:t xml:space="preserve">Russia / US / EU</w:t>
            </w:r>
          </w:p>
        </w:tc>
        <w:tc>
          <w:tcPr>
            <w:tcW w:type="dxa" w:w="2000"/>
            <w:shd w:val="clear" w:color="auto" w:fill="FFFFFF"/>
          </w:tcPr>
          <w:p>
            <w:pPr>
              <w:spacing w:before="40" w:after="40"/>
            </w:pPr>
            <w:r>
              <w:rPr>
                <w:rFonts w:ascii="Calibri" w:cs="Calibri" w:hAnsi="Calibri"/>
                <w:color w:val="000000"/>
                <w:sz w:val="16"/>
                <w:szCs w:val="16"/>
              </w:rPr>
              <w:t xml:space="preserve">Prigozhin successors; Kremlin-linked media finance controllers; Social Design Agency (SDA)</w:t>
            </w:r>
          </w:p>
        </w:tc>
        <w:tc>
          <w:tcPr>
            <w:tcW w:type="dxa" w:w="1400"/>
            <w:shd w:val="clear" w:color="auto" w:fill="FFFFFF"/>
          </w:tcPr>
          <w:p>
            <w:pPr>
              <w:spacing w:before="40" w:after="40"/>
            </w:pPr>
            <w:r>
              <w:rPr>
                <w:rFonts w:ascii="Calibri" w:cs="Calibri" w:hAnsi="Calibri"/>
                <w:color w:val="000000"/>
                <w:sz w:val="16"/>
                <w:szCs w:val="16"/>
              </w:rPr>
              <w:t xml:space="preserve">Influence Operations Finance</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FFFFFF"/>
          </w:tcPr>
          <w:p>
            <w:pPr>
              <w:spacing w:before="40" w:after="40"/>
            </w:pPr>
            <w:r>
              <w:rPr>
                <w:rFonts w:ascii="Calibri" w:cs="Calibri" w:hAnsi="Calibri"/>
                <w:color w:val="000000"/>
                <w:sz w:val="16"/>
                <w:szCs w:val="16"/>
              </w:rPr>
              <w:t xml:space="preserve">EO 13694 (as amended); EO 14024; FARA enforcement</w:t>
            </w:r>
          </w:p>
        </w:tc>
        <w:tc>
          <w:tcPr>
            <w:tcW w:type="dxa" w:w="4000"/>
            <w:shd w:val="clear" w:color="auto" w:fill="FFFFFF"/>
          </w:tcPr>
          <w:p>
            <w:pPr>
              <w:spacing w:before="40" w:after="40"/>
            </w:pPr>
            <w:r>
              <w:rPr>
                <w:rFonts w:ascii="Calibri" w:cs="Calibri" w:hAnsi="Calibri"/>
                <w:color w:val="000000"/>
                <w:sz w:val="16"/>
                <w:szCs w:val="16"/>
              </w:rPr>
              <w:t xml:space="preserve">IRA designated following Mueller investigation indictments. Social Design Agency (SDA) designated 2024 as IRA successor for EU influence operations. Coordinate OFAC/DOJ FARA unit for financial mapping of US-based IRA successor operations.</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XXXVI. Myanmar Military Council (SAC / Tatmadaw) — Jade, Teak, Arms Revenue, and Scam Compound Finance</w:t>
      </w:r>
    </w:p>
    <w:p>
      <w:pPr>
        <w:spacing w:before="60" w:after="60"/>
      </w:pPr>
      <w:r>
        <w:rPr>
          <w:rFonts w:ascii="Calibri" w:cs="Calibri" w:hAnsi="Calibri"/>
          <w:color w:val="000000"/>
          <w:sz w:val="18"/>
          <w:szCs w:val="18"/>
        </w:rPr>
        <w:t xml:space="preserve">Myanmar's State Administration Council (SAC), which seized power Feb 1 2021, is designated under EO 14014 (Burma Executive Order, Feb 2021). SAC revenue derives from jade and ruby exports (~$1B+/yr, primary buyer China), teak timber ($200M+/yr), natural gas (Yadana pipeline to Thailand), arms procurement from Russia and China, and revenue from scam compound operations in border regions. Scam compounds — primarily in Karen State (KK Park, Myawaddy) and Shan State — generate estimated $2–4B/yr through forced labor fraud operations targeting victims globally. SAC generals designated US/EU/UK/Canada. Myanmar Foreign Trade Bank (MFTB) and Myanmar Investment and Commercial Bank (MICB) designated by OFAC Mar 2024.</w:t>
      </w:r>
    </w:p>
    <w:tbl>
      <w:tblPr>
        <w:tblW w:type="dxa" w:w="14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1400"/>
        <w:gridCol w:w="1200"/>
        <w:gridCol w:w="1800"/>
        <w:gridCol w:w="4000"/>
      </w:tblGrid>
      <w:tr>
        <w:tc>
          <w:tcPr>
            <w:tcW w:type="dxa" w:w="2400"/>
            <w:shd w:val="clear" w:color="auto" w:fill="1C2B4A"/>
          </w:tcPr>
          <w:p>
            <w:pPr>
              <w:jc w:val="center"/>
            </w:pPr>
            <w:r>
              <w:rPr>
                <w:rFonts w:ascii="Calibri" w:cs="Calibri" w:hAnsi="Calibri"/>
                <w:b/>
                <w:bCs/>
                <w:color w:val="FFFFFF"/>
                <w:sz w:val="16"/>
                <w:szCs w:val="16"/>
              </w:rPr>
              <w:t xml:space="preserve">NODE</w:t>
            </w:r>
          </w:p>
        </w:tc>
        <w:tc>
          <w:tcPr>
            <w:tcW w:type="dxa" w:w="1400"/>
            <w:shd w:val="clear" w:color="auto" w:fill="1C2B4A"/>
          </w:tcPr>
          <w:p>
            <w:pPr>
              <w:jc w:val="center"/>
            </w:pPr>
            <w:r>
              <w:rPr>
                <w:rFonts w:ascii="Calibri" w:cs="Calibri" w:hAnsi="Calibri"/>
                <w:b/>
                <w:bCs/>
                <w:color w:val="FFFFFF"/>
                <w:sz w:val="16"/>
                <w:szCs w:val="16"/>
              </w:rPr>
              <w:t xml:space="preserve">LOCATION</w:t>
            </w:r>
          </w:p>
        </w:tc>
        <w:tc>
          <w:tcPr>
            <w:tcW w:type="dxa" w:w="2000"/>
            <w:shd w:val="clear" w:color="auto" w:fill="1C2B4A"/>
          </w:tcPr>
          <w:p>
            <w:pPr>
              <w:jc w:val="center"/>
            </w:pPr>
            <w:r>
              <w:rPr>
                <w:rFonts w:ascii="Calibri" w:cs="Calibri" w:hAnsi="Calibri"/>
                <w:b/>
                <w:bCs/>
                <w:color w:val="FFFFFF"/>
                <w:sz w:val="16"/>
                <w:szCs w:val="16"/>
              </w:rPr>
              <w:t xml:space="preserve">OPERATOR / STRUCTURE</w:t>
            </w:r>
          </w:p>
        </w:tc>
        <w:tc>
          <w:tcPr>
            <w:tcW w:type="dxa" w:w="1400"/>
            <w:shd w:val="clear" w:color="auto" w:fill="1C2B4A"/>
          </w:tcPr>
          <w:p>
            <w:pPr>
              <w:jc w:val="center"/>
            </w:pPr>
            <w:r>
              <w:rPr>
                <w:rFonts w:ascii="Calibri" w:cs="Calibri" w:hAnsi="Calibri"/>
                <w:b/>
                <w:bCs/>
                <w:color w:val="FFFFFF"/>
                <w:sz w:val="16"/>
                <w:szCs w:val="16"/>
              </w:rPr>
              <w:t xml:space="preserve">CATEGORY</w:t>
            </w:r>
          </w:p>
        </w:tc>
        <w:tc>
          <w:tcPr>
            <w:tcW w:type="dxa" w:w="1200"/>
            <w:shd w:val="clear" w:color="auto" w:fill="1C2B4A"/>
          </w:tcPr>
          <w:p>
            <w:pPr>
              <w:jc w:val="center"/>
            </w:pPr>
            <w:r>
              <w:rPr>
                <w:rFonts w:ascii="Calibri" w:cs="Calibri" w:hAnsi="Calibri"/>
                <w:b/>
                <w:bCs/>
                <w:color w:val="FFFFFF"/>
                <w:sz w:val="16"/>
                <w:szCs w:val="16"/>
              </w:rPr>
              <w:t xml:space="preserve">STATUS</w:t>
            </w:r>
          </w:p>
        </w:tc>
        <w:tc>
          <w:tcPr>
            <w:tcW w:type="dxa" w:w="1800"/>
            <w:shd w:val="clear" w:color="auto" w:fill="1C2B4A"/>
          </w:tcPr>
          <w:p>
            <w:pPr>
              <w:jc w:val="center"/>
            </w:pPr>
            <w:r>
              <w:rPr>
                <w:rFonts w:ascii="Calibri" w:cs="Calibri" w:hAnsi="Calibri"/>
                <w:b/>
                <w:bCs/>
                <w:color w:val="FFFFFF"/>
                <w:sz w:val="16"/>
                <w:szCs w:val="16"/>
              </w:rPr>
              <w:t xml:space="preserve">LEGAL AUTHORITY</w:t>
            </w:r>
          </w:p>
        </w:tc>
        <w:tc>
          <w:tcPr>
            <w:tcW w:type="dxa" w:w="4000"/>
            <w:shd w:val="clear" w:color="auto" w:fill="1C2B4A"/>
          </w:tcPr>
          <w:p>
            <w:pPr>
              <w:jc w:val="center"/>
            </w:pPr>
            <w:r>
              <w:rPr>
                <w:rFonts w:ascii="Calibri" w:cs="Calibri" w:hAnsi="Calibri"/>
                <w:b/>
                <w:bCs/>
                <w:color w:val="FFFFFF"/>
                <w:sz w:val="16"/>
                <w:szCs w:val="16"/>
              </w:rPr>
              <w:t xml:space="preserve">ENFORCEMENT THEORY AND ACTION</w:t>
            </w:r>
          </w:p>
        </w:tc>
      </w:tr>
      <w:tr>
        <w:tc>
          <w:tcPr>
            <w:tcW w:type="dxa" w:w="2400"/>
            <w:shd w:val="clear" w:color="auto" w:fill="EEF2F8"/>
          </w:tcPr>
          <w:p>
            <w:pPr>
              <w:spacing w:before="40" w:after="40"/>
            </w:pPr>
            <w:r>
              <w:rPr>
                <w:rFonts w:ascii="Calibri" w:cs="Calibri" w:hAnsi="Calibri"/>
                <w:b/>
                <w:bCs/>
                <w:color w:val="1C2B4A"/>
                <w:sz w:val="16"/>
                <w:szCs w:val="16"/>
              </w:rPr>
              <w:t xml:space="preserve">Myanmar Jade and Ruby Export Revenue</w:t>
            </w:r>
          </w:p>
        </w:tc>
        <w:tc>
          <w:tcPr>
            <w:tcW w:type="dxa" w:w="1400"/>
            <w:shd w:val="clear" w:color="auto" w:fill="EEF2F8"/>
          </w:tcPr>
          <w:p>
            <w:pPr>
              <w:spacing w:before="40" w:after="40"/>
            </w:pPr>
            <w:r>
              <w:rPr>
                <w:rFonts w:ascii="Calibri" w:cs="Calibri" w:hAnsi="Calibri"/>
                <w:color w:val="000000"/>
                <w:sz w:val="16"/>
                <w:szCs w:val="16"/>
              </w:rPr>
              <w:t xml:space="preserve">Kachin State (Hpakant jade) / Mogok (rubies)</w:t>
            </w:r>
          </w:p>
        </w:tc>
        <w:tc>
          <w:tcPr>
            <w:tcW w:type="dxa" w:w="2000"/>
            <w:shd w:val="clear" w:color="auto" w:fill="EEF2F8"/>
          </w:tcPr>
          <w:p>
            <w:pPr>
              <w:spacing w:before="40" w:after="40"/>
            </w:pPr>
            <w:r>
              <w:rPr>
                <w:rFonts w:ascii="Calibri" w:cs="Calibri" w:hAnsi="Calibri"/>
                <w:color w:val="000000"/>
                <w:sz w:val="16"/>
                <w:szCs w:val="16"/>
              </w:rPr>
              <w:t xml:space="preserve">Myanmar Gems Enterprise (MGE, state-owned); Chinese buying companies; Yunnan brokers</w:t>
            </w:r>
          </w:p>
        </w:tc>
        <w:tc>
          <w:tcPr>
            <w:tcW w:type="dxa" w:w="1400"/>
            <w:shd w:val="clear" w:color="auto" w:fill="EEF2F8"/>
          </w:tcPr>
          <w:p>
            <w:pPr>
              <w:spacing w:before="40" w:after="40"/>
            </w:pPr>
            <w:r>
              <w:rPr>
                <w:rFonts w:ascii="Calibri" w:cs="Calibri" w:hAnsi="Calibri"/>
                <w:color w:val="000000"/>
                <w:sz w:val="16"/>
                <w:szCs w:val="16"/>
              </w:rPr>
              <w:t xml:space="preserve">Resource Revenue / Sanctions Evasion</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EEF2F8"/>
          </w:tcPr>
          <w:p>
            <w:pPr>
              <w:spacing w:before="40" w:after="40"/>
            </w:pPr>
            <w:r>
              <w:rPr>
                <w:rFonts w:ascii="Calibri" w:cs="Calibri" w:hAnsi="Calibri"/>
                <w:color w:val="000000"/>
                <w:sz w:val="16"/>
                <w:szCs w:val="16"/>
              </w:rPr>
              <w:t xml:space="preserve">EO 14014; BURMA Act 2022; Import Restrictions (31 C.F.R. Part 515)</w:t>
            </w:r>
          </w:p>
        </w:tc>
        <w:tc>
          <w:tcPr>
            <w:tcW w:type="dxa" w:w="4000"/>
            <w:shd w:val="clear" w:color="auto" w:fill="EEF2F8"/>
          </w:tcPr>
          <w:p>
            <w:pPr>
              <w:spacing w:before="40" w:after="40"/>
            </w:pPr>
            <w:r>
              <w:rPr>
                <w:rFonts w:ascii="Calibri" w:cs="Calibri" w:hAnsi="Calibri"/>
                <w:color w:val="000000"/>
                <w:sz w:val="16"/>
                <w:szCs w:val="16"/>
              </w:rPr>
              <w:t xml:space="preserve">MGE designated. Myanmar jade exports ~90% to China through Yunnan. US import prohibition on Burma jade and rubies in effect. Coordinate with China MOFCOM pressure on Yunnan buying companies. Target identified Chinese jade import companies for secondary sanctions exposure.</w:t>
            </w:r>
          </w:p>
        </w:tc>
      </w:tr>
      <w:tr>
        <w:tc>
          <w:tcPr>
            <w:tcW w:type="dxa" w:w="2400"/>
            <w:shd w:val="clear" w:color="auto" w:fill="FFFFFF"/>
          </w:tcPr>
          <w:p>
            <w:pPr>
              <w:spacing w:before="40" w:after="40"/>
            </w:pPr>
            <w:r>
              <w:rPr>
                <w:rFonts w:ascii="Calibri" w:cs="Calibri" w:hAnsi="Calibri"/>
                <w:b/>
                <w:bCs/>
                <w:color w:val="1C2B4A"/>
                <w:sz w:val="16"/>
                <w:szCs w:val="16"/>
              </w:rPr>
              <w:t xml:space="preserve">Yadana Natural Gas Pipeline Revenue</w:t>
            </w:r>
          </w:p>
        </w:tc>
        <w:tc>
          <w:tcPr>
            <w:tcW w:type="dxa" w:w="1400"/>
            <w:shd w:val="clear" w:color="auto" w:fill="FFFFFF"/>
          </w:tcPr>
          <w:p>
            <w:pPr>
              <w:spacing w:before="40" w:after="40"/>
            </w:pPr>
            <w:r>
              <w:rPr>
                <w:rFonts w:ascii="Calibri" w:cs="Calibri" w:hAnsi="Calibri"/>
                <w:color w:val="000000"/>
                <w:sz w:val="16"/>
                <w:szCs w:val="16"/>
              </w:rPr>
              <w:t xml:space="preserve">Andaman Sea / Thailand border</w:t>
            </w:r>
          </w:p>
        </w:tc>
        <w:tc>
          <w:tcPr>
            <w:tcW w:type="dxa" w:w="2000"/>
            <w:shd w:val="clear" w:color="auto" w:fill="FFFFFF"/>
          </w:tcPr>
          <w:p>
            <w:pPr>
              <w:spacing w:before="40" w:after="40"/>
            </w:pPr>
            <w:r>
              <w:rPr>
                <w:rFonts w:ascii="Calibri" w:cs="Calibri" w:hAnsi="Calibri"/>
                <w:color w:val="000000"/>
                <w:sz w:val="16"/>
                <w:szCs w:val="16"/>
              </w:rPr>
              <w:t xml:space="preserve">MOGE (Myanmar Oil and Gas Enterprise, designated); TotalEnergies (exited 2022); PTT (Thailand)</w:t>
            </w:r>
          </w:p>
        </w:tc>
        <w:tc>
          <w:tcPr>
            <w:tcW w:type="dxa" w:w="1400"/>
            <w:shd w:val="clear" w:color="auto" w:fill="FFFFFF"/>
          </w:tcPr>
          <w:p>
            <w:pPr>
              <w:spacing w:before="40" w:after="40"/>
            </w:pPr>
            <w:r>
              <w:rPr>
                <w:rFonts w:ascii="Calibri" w:cs="Calibri" w:hAnsi="Calibri"/>
                <w:color w:val="000000"/>
                <w:sz w:val="16"/>
                <w:szCs w:val="16"/>
              </w:rPr>
              <w:t xml:space="preserve">Natural Gas Revenue</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shd w:val="clear" w:color="auto" w:fill="FFFFFF"/>
          </w:tcPr>
          <w:p>
            <w:pPr>
              <w:spacing w:before="40" w:after="40"/>
            </w:pPr>
            <w:r>
              <w:rPr>
                <w:rFonts w:ascii="Calibri" w:cs="Calibri" w:hAnsi="Calibri"/>
                <w:color w:val="000000"/>
                <w:sz w:val="16"/>
                <w:szCs w:val="16"/>
              </w:rPr>
              <w:t xml:space="preserve">EO 14014; BURMA Act 2022; secondary sanctions pressure on PTT</w:t>
            </w:r>
          </w:p>
        </w:tc>
        <w:tc>
          <w:tcPr>
            <w:tcW w:type="dxa" w:w="4000"/>
            <w:shd w:val="clear" w:color="auto" w:fill="FFFFFF"/>
          </w:tcPr>
          <w:p>
            <w:pPr>
              <w:spacing w:before="40" w:after="40"/>
            </w:pPr>
            <w:r>
              <w:rPr>
                <w:rFonts w:ascii="Calibri" w:cs="Calibri" w:hAnsi="Calibri"/>
                <w:color w:val="000000"/>
                <w:sz w:val="16"/>
                <w:szCs w:val="16"/>
              </w:rPr>
              <w:t xml:space="preserve">MOGE designated Mar 2022. TotalEnergies and Chevron exited. PTT (Thailand) remains primary revenue recipient. Pipeline generates ~$1B/yr for SAC. Apply secondary sanctions pressure on PTT through CAATSA-equivalent Burma authority.</w:t>
            </w:r>
          </w:p>
        </w:tc>
      </w:tr>
      <w:tr>
        <w:tc>
          <w:tcPr>
            <w:tcW w:type="dxa" w:w="2400"/>
            <w:shd w:val="clear" w:color="auto" w:fill="EEF2F8"/>
          </w:tcPr>
          <w:p>
            <w:pPr>
              <w:spacing w:before="40" w:after="40"/>
            </w:pPr>
            <w:r>
              <w:rPr>
                <w:rFonts w:ascii="Calibri" w:cs="Calibri" w:hAnsi="Calibri"/>
                <w:b/>
                <w:bCs/>
                <w:color w:val="1C2B4A"/>
                <w:sz w:val="16"/>
                <w:szCs w:val="16"/>
              </w:rPr>
              <w:t xml:space="preserve">Scam Compound Finance — KK Park / Myawaddy</w:t>
            </w:r>
          </w:p>
        </w:tc>
        <w:tc>
          <w:tcPr>
            <w:tcW w:type="dxa" w:w="1400"/>
            <w:shd w:val="clear" w:color="auto" w:fill="EEF2F8"/>
          </w:tcPr>
          <w:p>
            <w:pPr>
              <w:spacing w:before="40" w:after="40"/>
            </w:pPr>
            <w:r>
              <w:rPr>
                <w:rFonts w:ascii="Calibri" w:cs="Calibri" w:hAnsi="Calibri"/>
                <w:color w:val="000000"/>
                <w:sz w:val="16"/>
                <w:szCs w:val="16"/>
              </w:rPr>
              <w:t xml:space="preserve">Karen State, Myanmar / Thai border</w:t>
            </w:r>
          </w:p>
        </w:tc>
        <w:tc>
          <w:tcPr>
            <w:tcW w:type="dxa" w:w="2000"/>
            <w:shd w:val="clear" w:color="auto" w:fill="EEF2F8"/>
          </w:tcPr>
          <w:p>
            <w:pPr>
              <w:spacing w:before="40" w:after="40"/>
            </w:pPr>
            <w:r>
              <w:rPr>
                <w:rFonts w:ascii="Calibri" w:cs="Calibri" w:hAnsi="Calibri"/>
                <w:color w:val="000000"/>
                <w:sz w:val="16"/>
                <w:szCs w:val="16"/>
              </w:rPr>
              <w:t xml:space="preserve">Saw Chit Thu (KK Park operator, designated Jan 2024); Border Guard Force commanders; Chinese investors</w:t>
            </w:r>
          </w:p>
        </w:tc>
        <w:tc>
          <w:tcPr>
            <w:tcW w:type="dxa" w:w="1400"/>
            <w:shd w:val="clear" w:color="auto" w:fill="EEF2F8"/>
          </w:tcPr>
          <w:p>
            <w:pPr>
              <w:spacing w:before="40" w:after="40"/>
            </w:pPr>
            <w:r>
              <w:rPr>
                <w:rFonts w:ascii="Calibri" w:cs="Calibri" w:hAnsi="Calibri"/>
                <w:color w:val="000000"/>
                <w:sz w:val="16"/>
                <w:szCs w:val="16"/>
              </w:rPr>
              <w:t xml:space="preserve">Fraud / Forced Labor / Crypto Laundering</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EEF2F8"/>
          </w:tcPr>
          <w:p>
            <w:pPr>
              <w:spacing w:before="40" w:after="40"/>
            </w:pPr>
            <w:r>
              <w:rPr>
                <w:rFonts w:ascii="Calibri" w:cs="Calibri" w:hAnsi="Calibri"/>
                <w:color w:val="000000"/>
                <w:sz w:val="16"/>
                <w:szCs w:val="16"/>
              </w:rPr>
              <w:t xml:space="preserve">EO 14014; Kingpin Act (scam operators); 18 U.S.C. §1589 (forced labor)</w:t>
            </w:r>
          </w:p>
        </w:tc>
        <w:tc>
          <w:tcPr>
            <w:tcW w:type="dxa" w:w="4000"/>
            <w:shd w:val="clear" w:color="auto" w:fill="EEF2F8"/>
          </w:tcPr>
          <w:p>
            <w:pPr>
              <w:spacing w:before="40" w:after="40"/>
            </w:pPr>
            <w:r>
              <w:rPr>
                <w:rFonts w:ascii="Calibri" w:cs="Calibri" w:hAnsi="Calibri"/>
                <w:color w:val="000000"/>
                <w:sz w:val="16"/>
                <w:szCs w:val="16"/>
              </w:rPr>
              <w:t xml:space="preserve">KK Park generates $2–4B/yr through phone/crypto fraud using trafficked forced laborers. Saw Chit Thu designated Jan 2024. Chinese investment companies fund compound construction. Designate identified Chinese investor entities under EO 14014 material support provisions.</w:t>
            </w:r>
          </w:p>
        </w:tc>
      </w:tr>
      <w:tr>
        <w:tc>
          <w:tcPr>
            <w:tcW w:type="dxa" w:w="2400"/>
            <w:shd w:val="clear" w:color="auto" w:fill="FFFFFF"/>
          </w:tcPr>
          <w:p>
            <w:pPr>
              <w:spacing w:before="40" w:after="40"/>
            </w:pPr>
            <w:r>
              <w:rPr>
                <w:rFonts w:ascii="Calibri" w:cs="Calibri" w:hAnsi="Calibri"/>
                <w:b/>
                <w:bCs/>
                <w:color w:val="1C2B4A"/>
                <w:sz w:val="16"/>
                <w:szCs w:val="16"/>
              </w:rPr>
              <w:t xml:space="preserve">Myanmar Foreign Trade Bank (MFTB)</w:t>
            </w:r>
          </w:p>
        </w:tc>
        <w:tc>
          <w:tcPr>
            <w:tcW w:type="dxa" w:w="1400"/>
            <w:shd w:val="clear" w:color="auto" w:fill="FFFFFF"/>
          </w:tcPr>
          <w:p>
            <w:pPr>
              <w:spacing w:before="40" w:after="40"/>
            </w:pPr>
            <w:r>
              <w:rPr>
                <w:rFonts w:ascii="Calibri" w:cs="Calibri" w:hAnsi="Calibri"/>
                <w:color w:val="000000"/>
                <w:sz w:val="16"/>
                <w:szCs w:val="16"/>
              </w:rPr>
              <w:t xml:space="preserve">Yangon, Myanmar</w:t>
            </w:r>
          </w:p>
        </w:tc>
        <w:tc>
          <w:tcPr>
            <w:tcW w:type="dxa" w:w="2000"/>
            <w:shd w:val="clear" w:color="auto" w:fill="FFFFFF"/>
          </w:tcPr>
          <w:p>
            <w:pPr>
              <w:spacing w:before="40" w:after="40"/>
            </w:pPr>
            <w:r>
              <w:rPr>
                <w:rFonts w:ascii="Calibri" w:cs="Calibri" w:hAnsi="Calibri"/>
                <w:color w:val="000000"/>
                <w:sz w:val="16"/>
                <w:szCs w:val="16"/>
              </w:rPr>
              <w:t xml:space="preserve">MFTB (state-owned, designated Mar 2024); SAC Finance Ministry</w:t>
            </w:r>
          </w:p>
        </w:tc>
        <w:tc>
          <w:tcPr>
            <w:tcW w:type="dxa" w:w="1400"/>
            <w:shd w:val="clear" w:color="auto" w:fill="FFFFFF"/>
          </w:tcPr>
          <w:p>
            <w:pPr>
              <w:spacing w:before="40" w:after="40"/>
            </w:pPr>
            <w:r>
              <w:rPr>
                <w:rFonts w:ascii="Calibri" w:cs="Calibri" w:hAnsi="Calibri"/>
                <w:color w:val="000000"/>
                <w:sz w:val="16"/>
                <w:szCs w:val="16"/>
              </w:rPr>
              <w:t xml:space="preserve">State Banking / Sanctions Evasion</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FFFFFF"/>
          </w:tcPr>
          <w:p>
            <w:pPr>
              <w:spacing w:before="40" w:after="40"/>
            </w:pPr>
            <w:r>
              <w:rPr>
                <w:rFonts w:ascii="Calibri" w:cs="Calibri" w:hAnsi="Calibri"/>
                <w:color w:val="000000"/>
                <w:sz w:val="16"/>
                <w:szCs w:val="16"/>
              </w:rPr>
              <w:t xml:space="preserve">EO 14014; OFAC SDN (Mar 2024)</w:t>
            </w:r>
          </w:p>
        </w:tc>
        <w:tc>
          <w:tcPr>
            <w:tcW w:type="dxa" w:w="4000"/>
            <w:shd w:val="clear" w:color="auto" w:fill="FFFFFF"/>
          </w:tcPr>
          <w:p>
            <w:pPr>
              <w:spacing w:before="40" w:after="40"/>
            </w:pPr>
            <w:r>
              <w:rPr>
                <w:rFonts w:ascii="Calibri" w:cs="Calibri" w:hAnsi="Calibri"/>
                <w:color w:val="000000"/>
                <w:sz w:val="16"/>
                <w:szCs w:val="16"/>
              </w:rPr>
              <w:t xml:space="preserve">MFTB designated Mar 2024 as primary SAC foreign currency clearing bank. Monitor for correspondent banking access through third-country relay banks (China, Singapore, UAE, India).</w:t>
            </w:r>
          </w:p>
        </w:tc>
      </w:tr>
      <w:tr>
        <w:tc>
          <w:tcPr>
            <w:tcW w:type="dxa" w:w="2400"/>
            <w:shd w:val="clear" w:color="auto" w:fill="EEF2F8"/>
          </w:tcPr>
          <w:p>
            <w:pPr>
              <w:spacing w:before="40" w:after="40"/>
            </w:pPr>
            <w:r>
              <w:rPr>
                <w:rFonts w:ascii="Calibri" w:cs="Calibri" w:hAnsi="Calibri"/>
                <w:b/>
                <w:bCs/>
                <w:color w:val="1C2B4A"/>
                <w:sz w:val="16"/>
                <w:szCs w:val="16"/>
              </w:rPr>
              <w:t xml:space="preserve">Russian / Chinese Arms Supply Finance</w:t>
            </w:r>
          </w:p>
        </w:tc>
        <w:tc>
          <w:tcPr>
            <w:tcW w:type="dxa" w:w="1400"/>
            <w:shd w:val="clear" w:color="auto" w:fill="EEF2F8"/>
          </w:tcPr>
          <w:p>
            <w:pPr>
              <w:spacing w:before="40" w:after="40"/>
            </w:pPr>
            <w:r>
              <w:rPr>
                <w:rFonts w:ascii="Calibri" w:cs="Calibri" w:hAnsi="Calibri"/>
                <w:color w:val="000000"/>
                <w:sz w:val="16"/>
                <w:szCs w:val="16"/>
              </w:rPr>
              <w:t xml:space="preserve">Russia / China / Myanmar</w:t>
            </w:r>
          </w:p>
        </w:tc>
        <w:tc>
          <w:tcPr>
            <w:tcW w:type="dxa" w:w="2000"/>
            <w:shd w:val="clear" w:color="auto" w:fill="EEF2F8"/>
          </w:tcPr>
          <w:p>
            <w:pPr>
              <w:spacing w:before="40" w:after="40"/>
            </w:pPr>
            <w:r>
              <w:rPr>
                <w:rFonts w:ascii="Calibri" w:cs="Calibri" w:hAnsi="Calibri"/>
                <w:color w:val="000000"/>
                <w:sz w:val="16"/>
                <w:szCs w:val="16"/>
              </w:rPr>
              <w:t xml:space="preserve">Rostec subsidiaries; CASC (China Aerospace); Myanmar Tatmadaw procurement officers</w:t>
            </w:r>
          </w:p>
        </w:tc>
        <w:tc>
          <w:tcPr>
            <w:tcW w:type="dxa" w:w="1400"/>
            <w:shd w:val="clear" w:color="auto" w:fill="EEF2F8"/>
          </w:tcPr>
          <w:p>
            <w:pPr>
              <w:spacing w:before="40" w:after="40"/>
            </w:pPr>
            <w:r>
              <w:rPr>
                <w:rFonts w:ascii="Calibri" w:cs="Calibri" w:hAnsi="Calibri"/>
                <w:color w:val="000000"/>
                <w:sz w:val="16"/>
                <w:szCs w:val="16"/>
              </w:rPr>
              <w:t xml:space="preserve">Arms Procurement</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shd w:val="clear" w:color="auto" w:fill="EEF2F8"/>
          </w:tcPr>
          <w:p>
            <w:pPr>
              <w:spacing w:before="40" w:after="40"/>
            </w:pPr>
            <w:r>
              <w:rPr>
                <w:rFonts w:ascii="Calibri" w:cs="Calibri" w:hAnsi="Calibri"/>
                <w:color w:val="000000"/>
                <w:sz w:val="16"/>
                <w:szCs w:val="16"/>
              </w:rPr>
              <w:t xml:space="preserve">EO 14014; CAATSA §231 (Russia arms); EO 13382 (proliferation)</w:t>
            </w:r>
          </w:p>
        </w:tc>
        <w:tc>
          <w:tcPr>
            <w:tcW w:type="dxa" w:w="4000"/>
            <w:shd w:val="clear" w:color="auto" w:fill="EEF2F8"/>
          </w:tcPr>
          <w:p>
            <w:pPr>
              <w:spacing w:before="40" w:after="40"/>
            </w:pPr>
            <w:r>
              <w:rPr>
                <w:rFonts w:ascii="Calibri" w:cs="Calibri" w:hAnsi="Calibri"/>
                <w:color w:val="000000"/>
                <w:sz w:val="16"/>
                <w:szCs w:val="16"/>
              </w:rPr>
              <w:t xml:space="preserve">SAC receives Su-30 aircraft, air defense systems, and ammunition from Russia and attack helicopters, armored vehicles from China. Rostec/Rosoboronexport already designated. Apply §231 CAATSA secondary sanctions to third-country financial intermediaries facilitating Myanmar arms payments.</w:t>
            </w:r>
          </w:p>
        </w:tc>
      </w:tr>
      <w:tr>
        <w:tc>
          <w:tcPr>
            <w:tcW w:type="dxa" w:w="2400"/>
            <w:shd w:val="clear" w:color="auto" w:fill="FFFFFF"/>
          </w:tcPr>
          <w:p>
            <w:pPr>
              <w:spacing w:before="40" w:after="40"/>
            </w:pPr>
            <w:r>
              <w:rPr>
                <w:rFonts w:ascii="Calibri" w:cs="Calibri" w:hAnsi="Calibri"/>
                <w:b/>
                <w:bCs/>
                <w:color w:val="1C2B4A"/>
                <w:sz w:val="16"/>
                <w:szCs w:val="16"/>
              </w:rPr>
              <w:t xml:space="preserve">Teak Timber Revenue Network</w:t>
            </w:r>
          </w:p>
        </w:tc>
        <w:tc>
          <w:tcPr>
            <w:tcW w:type="dxa" w:w="1400"/>
            <w:shd w:val="clear" w:color="auto" w:fill="FFFFFF"/>
          </w:tcPr>
          <w:p>
            <w:pPr>
              <w:spacing w:before="40" w:after="40"/>
            </w:pPr>
            <w:r>
              <w:rPr>
                <w:rFonts w:ascii="Calibri" w:cs="Calibri" w:hAnsi="Calibri"/>
                <w:color w:val="000000"/>
                <w:sz w:val="16"/>
                <w:szCs w:val="16"/>
              </w:rPr>
              <w:t xml:space="preserve">Sagaing / Bago / Tanintharyi regions</w:t>
            </w:r>
          </w:p>
        </w:tc>
        <w:tc>
          <w:tcPr>
            <w:tcW w:type="dxa" w:w="2000"/>
            <w:shd w:val="clear" w:color="auto" w:fill="FFFFFF"/>
          </w:tcPr>
          <w:p>
            <w:pPr>
              <w:spacing w:before="40" w:after="40"/>
            </w:pPr>
            <w:r>
              <w:rPr>
                <w:rFonts w:ascii="Calibri" w:cs="Calibri" w:hAnsi="Calibri"/>
                <w:color w:val="000000"/>
                <w:sz w:val="16"/>
                <w:szCs w:val="16"/>
              </w:rPr>
              <w:t xml:space="preserve">Myanmar Timber Enterprise (MTE, state-owned); Chinese and Indian timber importers</w:t>
            </w:r>
          </w:p>
        </w:tc>
        <w:tc>
          <w:tcPr>
            <w:tcW w:type="dxa" w:w="1400"/>
            <w:shd w:val="clear" w:color="auto" w:fill="FFFFFF"/>
          </w:tcPr>
          <w:p>
            <w:pPr>
              <w:spacing w:before="40" w:after="40"/>
            </w:pPr>
            <w:r>
              <w:rPr>
                <w:rFonts w:ascii="Calibri" w:cs="Calibri" w:hAnsi="Calibri"/>
                <w:color w:val="000000"/>
                <w:sz w:val="16"/>
                <w:szCs w:val="16"/>
              </w:rPr>
              <w:t xml:space="preserve">Resource Revenue / Sanctions Evasion</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FFFFFF"/>
          </w:tcPr>
          <w:p>
            <w:pPr>
              <w:spacing w:before="40" w:after="40"/>
            </w:pPr>
            <w:r>
              <w:rPr>
                <w:rFonts w:ascii="Calibri" w:cs="Calibri" w:hAnsi="Calibri"/>
                <w:color w:val="000000"/>
                <w:sz w:val="16"/>
                <w:szCs w:val="16"/>
              </w:rPr>
              <w:t xml:space="preserve">EO 14014; US import prohibition (Burma teak); EU import restrictions</w:t>
            </w:r>
          </w:p>
        </w:tc>
        <w:tc>
          <w:tcPr>
            <w:tcW w:type="dxa" w:w="4000"/>
            <w:shd w:val="clear" w:color="auto" w:fill="FFFFFF"/>
          </w:tcPr>
          <w:p>
            <w:pPr>
              <w:spacing w:before="40" w:after="40"/>
            </w:pPr>
            <w:r>
              <w:rPr>
                <w:rFonts w:ascii="Calibri" w:cs="Calibri" w:hAnsi="Calibri"/>
                <w:color w:val="000000"/>
                <w:sz w:val="16"/>
                <w:szCs w:val="16"/>
              </w:rPr>
              <w:t xml:space="preserve">MTE designated. US and EU import prohibitions in effect. China and India remain primary buyers. Identify Chinese timber import companies for secondary sanctions exposure designation package.</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XXXVII. Kinahan Cartel — European Cocaine Distribution, UAE Financial Hub, and Hezbollah Nexus</w:t>
      </w:r>
    </w:p>
    <w:p>
      <w:pPr>
        <w:spacing w:before="60" w:after="60"/>
      </w:pPr>
      <w:r>
        <w:rPr>
          <w:rFonts w:ascii="Calibri" w:cs="Calibri" w:hAnsi="Calibri"/>
          <w:color w:val="000000"/>
          <w:sz w:val="18"/>
          <w:szCs w:val="18"/>
        </w:rPr>
        <w:t xml:space="preserve">The Kinahan Organized Crime Group (KOCG) was designated by OFAC under the Kingpin Act Apr 2022, with $5M rewards offered for information on Daniel Kinahan, Christopher Kinahan Sr., and Christopher Kinahan Jr. The KOCG is Ireland's most significant transnational organized crime group, operating primary financial infrastructure from Dubai, UAE. The organization controls significant European cocaine distribution, operating as a wholesale broker between South American producers (primarily AGC and affiliated Colombian groups) and European street-level distribution networks. Documented financial nexus with Hezbollah cocaine trafficking networks through shared West African and European logistics. Daniel Kinahan also operated as a boxing promoter (MTK Global) providing legitimate business cover — MTK Global dissolved following OFAC designation.</w:t>
      </w:r>
    </w:p>
    <w:tbl>
      <w:tblPr>
        <w:tblW w:type="dxa" w:w="14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1400"/>
        <w:gridCol w:w="1200"/>
        <w:gridCol w:w="1800"/>
        <w:gridCol w:w="4000"/>
      </w:tblGrid>
      <w:tr>
        <w:tc>
          <w:tcPr>
            <w:tcW w:type="dxa" w:w="2400"/>
            <w:shd w:val="clear" w:color="auto" w:fill="1C2B4A"/>
          </w:tcPr>
          <w:p>
            <w:pPr>
              <w:jc w:val="center"/>
            </w:pPr>
            <w:r>
              <w:rPr>
                <w:rFonts w:ascii="Calibri" w:cs="Calibri" w:hAnsi="Calibri"/>
                <w:b/>
                <w:bCs/>
                <w:color w:val="FFFFFF"/>
                <w:sz w:val="16"/>
                <w:szCs w:val="16"/>
              </w:rPr>
              <w:t xml:space="preserve">NODE</w:t>
            </w:r>
          </w:p>
        </w:tc>
        <w:tc>
          <w:tcPr>
            <w:tcW w:type="dxa" w:w="1400"/>
            <w:shd w:val="clear" w:color="auto" w:fill="1C2B4A"/>
          </w:tcPr>
          <w:p>
            <w:pPr>
              <w:jc w:val="center"/>
            </w:pPr>
            <w:r>
              <w:rPr>
                <w:rFonts w:ascii="Calibri" w:cs="Calibri" w:hAnsi="Calibri"/>
                <w:b/>
                <w:bCs/>
                <w:color w:val="FFFFFF"/>
                <w:sz w:val="16"/>
                <w:szCs w:val="16"/>
              </w:rPr>
              <w:t xml:space="preserve">LOCATION</w:t>
            </w:r>
          </w:p>
        </w:tc>
        <w:tc>
          <w:tcPr>
            <w:tcW w:type="dxa" w:w="2000"/>
            <w:shd w:val="clear" w:color="auto" w:fill="1C2B4A"/>
          </w:tcPr>
          <w:p>
            <w:pPr>
              <w:jc w:val="center"/>
            </w:pPr>
            <w:r>
              <w:rPr>
                <w:rFonts w:ascii="Calibri" w:cs="Calibri" w:hAnsi="Calibri"/>
                <w:b/>
                <w:bCs/>
                <w:color w:val="FFFFFF"/>
                <w:sz w:val="16"/>
                <w:szCs w:val="16"/>
              </w:rPr>
              <w:t xml:space="preserve">OPERATOR / STRUCTURE</w:t>
            </w:r>
          </w:p>
        </w:tc>
        <w:tc>
          <w:tcPr>
            <w:tcW w:type="dxa" w:w="1400"/>
            <w:shd w:val="clear" w:color="auto" w:fill="1C2B4A"/>
          </w:tcPr>
          <w:p>
            <w:pPr>
              <w:jc w:val="center"/>
            </w:pPr>
            <w:r>
              <w:rPr>
                <w:rFonts w:ascii="Calibri" w:cs="Calibri" w:hAnsi="Calibri"/>
                <w:b/>
                <w:bCs/>
                <w:color w:val="FFFFFF"/>
                <w:sz w:val="16"/>
                <w:szCs w:val="16"/>
              </w:rPr>
              <w:t xml:space="preserve">CATEGORY</w:t>
            </w:r>
          </w:p>
        </w:tc>
        <w:tc>
          <w:tcPr>
            <w:tcW w:type="dxa" w:w="1200"/>
            <w:shd w:val="clear" w:color="auto" w:fill="1C2B4A"/>
          </w:tcPr>
          <w:p>
            <w:pPr>
              <w:jc w:val="center"/>
            </w:pPr>
            <w:r>
              <w:rPr>
                <w:rFonts w:ascii="Calibri" w:cs="Calibri" w:hAnsi="Calibri"/>
                <w:b/>
                <w:bCs/>
                <w:color w:val="FFFFFF"/>
                <w:sz w:val="16"/>
                <w:szCs w:val="16"/>
              </w:rPr>
              <w:t xml:space="preserve">STATUS</w:t>
            </w:r>
          </w:p>
        </w:tc>
        <w:tc>
          <w:tcPr>
            <w:tcW w:type="dxa" w:w="1800"/>
            <w:shd w:val="clear" w:color="auto" w:fill="1C2B4A"/>
          </w:tcPr>
          <w:p>
            <w:pPr>
              <w:jc w:val="center"/>
            </w:pPr>
            <w:r>
              <w:rPr>
                <w:rFonts w:ascii="Calibri" w:cs="Calibri" w:hAnsi="Calibri"/>
                <w:b/>
                <w:bCs/>
                <w:color w:val="FFFFFF"/>
                <w:sz w:val="16"/>
                <w:szCs w:val="16"/>
              </w:rPr>
              <w:t xml:space="preserve">LEGAL AUTHORITY</w:t>
            </w:r>
          </w:p>
        </w:tc>
        <w:tc>
          <w:tcPr>
            <w:tcW w:type="dxa" w:w="4000"/>
            <w:shd w:val="clear" w:color="auto" w:fill="1C2B4A"/>
          </w:tcPr>
          <w:p>
            <w:pPr>
              <w:jc w:val="center"/>
            </w:pPr>
            <w:r>
              <w:rPr>
                <w:rFonts w:ascii="Calibri" w:cs="Calibri" w:hAnsi="Calibri"/>
                <w:b/>
                <w:bCs/>
                <w:color w:val="FFFFFF"/>
                <w:sz w:val="16"/>
                <w:szCs w:val="16"/>
              </w:rPr>
              <w:t xml:space="preserve">ENFORCEMENT THEORY AND ACTION</w:t>
            </w:r>
          </w:p>
        </w:tc>
      </w:tr>
      <w:tr>
        <w:tc>
          <w:tcPr>
            <w:tcW w:type="dxa" w:w="2400"/>
            <w:shd w:val="clear" w:color="auto" w:fill="EEF2F8"/>
          </w:tcPr>
          <w:p>
            <w:pPr>
              <w:spacing w:before="40" w:after="40"/>
            </w:pPr>
            <w:r>
              <w:rPr>
                <w:rFonts w:ascii="Calibri" w:cs="Calibri" w:hAnsi="Calibri"/>
                <w:b/>
                <w:bCs/>
                <w:color w:val="1C2B4A"/>
                <w:sz w:val="16"/>
                <w:szCs w:val="16"/>
              </w:rPr>
              <w:t xml:space="preserve">Kinahan OCG Dubai Financial Hub</w:t>
            </w:r>
          </w:p>
        </w:tc>
        <w:tc>
          <w:tcPr>
            <w:tcW w:type="dxa" w:w="1400"/>
            <w:shd w:val="clear" w:color="auto" w:fill="EEF2F8"/>
          </w:tcPr>
          <w:p>
            <w:pPr>
              <w:spacing w:before="40" w:after="40"/>
            </w:pPr>
            <w:r>
              <w:rPr>
                <w:rFonts w:ascii="Calibri" w:cs="Calibri" w:hAnsi="Calibri"/>
                <w:color w:val="000000"/>
                <w:sz w:val="16"/>
                <w:szCs w:val="16"/>
              </w:rPr>
              <w:t xml:space="preserve">Dubai, UAE</w:t>
            </w:r>
          </w:p>
        </w:tc>
        <w:tc>
          <w:tcPr>
            <w:tcW w:type="dxa" w:w="2000"/>
            <w:shd w:val="clear" w:color="auto" w:fill="EEF2F8"/>
          </w:tcPr>
          <w:p>
            <w:pPr>
              <w:spacing w:before="40" w:after="40"/>
            </w:pPr>
            <w:r>
              <w:rPr>
                <w:rFonts w:ascii="Calibri" w:cs="Calibri" w:hAnsi="Calibri"/>
                <w:color w:val="000000"/>
                <w:sz w:val="16"/>
                <w:szCs w:val="16"/>
              </w:rPr>
              <w:t xml:space="preserve">Daniel Kinahan (designated, $5M reward); Christopher Kinahan Sr. (designated); Tiger Capital Group; Ducati LLC; various Dubai-registered entities</w:t>
            </w:r>
          </w:p>
        </w:tc>
        <w:tc>
          <w:tcPr>
            <w:tcW w:type="dxa" w:w="1400"/>
            <w:shd w:val="clear" w:color="auto" w:fill="EEF2F8"/>
          </w:tcPr>
          <w:p>
            <w:pPr>
              <w:spacing w:before="40" w:after="40"/>
            </w:pPr>
            <w:r>
              <w:rPr>
                <w:rFonts w:ascii="Calibri" w:cs="Calibri" w:hAnsi="Calibri"/>
                <w:color w:val="000000"/>
                <w:sz w:val="16"/>
                <w:szCs w:val="16"/>
              </w:rPr>
              <w:t xml:space="preserve">Money Laundering / OCG Finance</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EEF2F8"/>
          </w:tcPr>
          <w:p>
            <w:pPr>
              <w:spacing w:before="40" w:after="40"/>
            </w:pPr>
            <w:r>
              <w:rPr>
                <w:rFonts w:ascii="Calibri" w:cs="Calibri" w:hAnsi="Calibri"/>
                <w:color w:val="000000"/>
                <w:sz w:val="16"/>
                <w:szCs w:val="16"/>
              </w:rPr>
              <w:t xml:space="preserve">Kingpin Act (Apr 2022); UAE-US law enforcement cooperation</w:t>
            </w:r>
          </w:p>
        </w:tc>
        <w:tc>
          <w:tcPr>
            <w:tcW w:type="dxa" w:w="4000"/>
            <w:shd w:val="clear" w:color="auto" w:fill="EEF2F8"/>
          </w:tcPr>
          <w:p>
            <w:pPr>
              <w:spacing w:before="40" w:after="40"/>
            </w:pPr>
            <w:r>
              <w:rPr>
                <w:rFonts w:ascii="Calibri" w:cs="Calibri" w:hAnsi="Calibri"/>
                <w:color w:val="000000"/>
                <w:sz w:val="16"/>
                <w:szCs w:val="16"/>
              </w:rPr>
              <w:t xml:space="preserve">KOCG primary financial operations run from Dubai. Daniel Kinahan, Christopher Sr. and Jr. all designated with $5M rewards. UAE cooperation has been partial. Apply CAATSA §226-equivalent Kingpin secondary pressure on UAE financial institutions knowingly facilitating KOCG transactions.</w:t>
            </w:r>
          </w:p>
        </w:tc>
      </w:tr>
      <w:tr>
        <w:tc>
          <w:tcPr>
            <w:tcW w:type="dxa" w:w="2400"/>
            <w:shd w:val="clear" w:color="auto" w:fill="FFFFFF"/>
          </w:tcPr>
          <w:p>
            <w:pPr>
              <w:spacing w:before="40" w:after="40"/>
            </w:pPr>
            <w:r>
              <w:rPr>
                <w:rFonts w:ascii="Calibri" w:cs="Calibri" w:hAnsi="Calibri"/>
                <w:b/>
                <w:bCs/>
                <w:color w:val="1C2B4A"/>
                <w:sz w:val="16"/>
                <w:szCs w:val="16"/>
              </w:rPr>
              <w:t xml:space="preserve">KOCG European Cocaine Distribution Network</w:t>
            </w:r>
          </w:p>
        </w:tc>
        <w:tc>
          <w:tcPr>
            <w:tcW w:type="dxa" w:w="1400"/>
            <w:shd w:val="clear" w:color="auto" w:fill="FFFFFF"/>
          </w:tcPr>
          <w:p>
            <w:pPr>
              <w:spacing w:before="40" w:after="40"/>
            </w:pPr>
            <w:r>
              <w:rPr>
                <w:rFonts w:ascii="Calibri" w:cs="Calibri" w:hAnsi="Calibri"/>
                <w:color w:val="000000"/>
                <w:sz w:val="16"/>
                <w:szCs w:val="16"/>
              </w:rPr>
              <w:t xml:space="preserve">Ireland / UK / Spain / Netherlands / Belgium</w:t>
            </w:r>
          </w:p>
        </w:tc>
        <w:tc>
          <w:tcPr>
            <w:tcW w:type="dxa" w:w="2000"/>
            <w:shd w:val="clear" w:color="auto" w:fill="FFFFFF"/>
          </w:tcPr>
          <w:p>
            <w:pPr>
              <w:spacing w:before="40" w:after="40"/>
            </w:pPr>
            <w:r>
              <w:rPr>
                <w:rFonts w:ascii="Calibri" w:cs="Calibri" w:hAnsi="Calibri"/>
                <w:color w:val="000000"/>
                <w:sz w:val="16"/>
                <w:szCs w:val="16"/>
              </w:rPr>
              <w:t xml:space="preserve">KOCG senior lieutenants; Spanish costal logistics operators; Dutch port contacts</w:t>
            </w:r>
          </w:p>
        </w:tc>
        <w:tc>
          <w:tcPr>
            <w:tcW w:type="dxa" w:w="1400"/>
            <w:shd w:val="clear" w:color="auto" w:fill="FFFFFF"/>
          </w:tcPr>
          <w:p>
            <w:pPr>
              <w:spacing w:before="40" w:after="40"/>
            </w:pPr>
            <w:r>
              <w:rPr>
                <w:rFonts w:ascii="Calibri" w:cs="Calibri" w:hAnsi="Calibri"/>
                <w:color w:val="000000"/>
                <w:sz w:val="16"/>
                <w:szCs w:val="16"/>
              </w:rPr>
              <w:t xml:space="preserve">Cocaine Distribution / Wholesale Brokerage</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shd w:val="clear" w:color="auto" w:fill="FFFFFF"/>
          </w:tcPr>
          <w:p>
            <w:pPr>
              <w:spacing w:before="40" w:after="40"/>
            </w:pPr>
            <w:r>
              <w:rPr>
                <w:rFonts w:ascii="Calibri" w:cs="Calibri" w:hAnsi="Calibri"/>
                <w:color w:val="000000"/>
                <w:sz w:val="16"/>
                <w:szCs w:val="16"/>
              </w:rPr>
              <w:t xml:space="preserve">Kingpin Act; 21 U.S.C. §959; EU narcotics enforcement</w:t>
            </w:r>
          </w:p>
        </w:tc>
        <w:tc>
          <w:tcPr>
            <w:tcW w:type="dxa" w:w="4000"/>
            <w:shd w:val="clear" w:color="auto" w:fill="FFFFFF"/>
          </w:tcPr>
          <w:p>
            <w:pPr>
              <w:spacing w:before="40" w:after="40"/>
            </w:pPr>
            <w:r>
              <w:rPr>
                <w:rFonts w:ascii="Calibri" w:cs="Calibri" w:hAnsi="Calibri"/>
                <w:color w:val="000000"/>
                <w:sz w:val="16"/>
                <w:szCs w:val="16"/>
              </w:rPr>
              <w:t xml:space="preserve">KOCG brokers cocaine from AGC and other Colombian producers to European markets. Spanish operations centered on Costa del Sol (Marbella/Malaga). Coordinate OFAC/Europol/EUROJUST for financial intelligence sharing on identified European KOCG financial controllers.</w:t>
            </w:r>
          </w:p>
        </w:tc>
      </w:tr>
      <w:tr>
        <w:tc>
          <w:tcPr>
            <w:tcW w:type="dxa" w:w="2400"/>
            <w:shd w:val="clear" w:color="auto" w:fill="EEF2F8"/>
          </w:tcPr>
          <w:p>
            <w:pPr>
              <w:spacing w:before="40" w:after="40"/>
            </w:pPr>
            <w:r>
              <w:rPr>
                <w:rFonts w:ascii="Calibri" w:cs="Calibri" w:hAnsi="Calibri"/>
                <w:b/>
                <w:bCs/>
                <w:color w:val="1C2B4A"/>
                <w:sz w:val="16"/>
                <w:szCs w:val="16"/>
              </w:rPr>
              <w:t xml:space="preserve">MTK Global / Boxing Promotion Cover (Dissolved)</w:t>
            </w:r>
          </w:p>
        </w:tc>
        <w:tc>
          <w:tcPr>
            <w:tcW w:type="dxa" w:w="1400"/>
            <w:shd w:val="clear" w:color="auto" w:fill="EEF2F8"/>
          </w:tcPr>
          <w:p>
            <w:pPr>
              <w:spacing w:before="40" w:after="40"/>
            </w:pPr>
            <w:r>
              <w:rPr>
                <w:rFonts w:ascii="Calibri" w:cs="Calibri" w:hAnsi="Calibri"/>
                <w:color w:val="000000"/>
                <w:sz w:val="16"/>
                <w:szCs w:val="16"/>
              </w:rPr>
              <w:t xml:space="preserve">Dubai / Ireland / UK</w:t>
            </w:r>
          </w:p>
        </w:tc>
        <w:tc>
          <w:tcPr>
            <w:tcW w:type="dxa" w:w="2000"/>
            <w:shd w:val="clear" w:color="auto" w:fill="EEF2F8"/>
          </w:tcPr>
          <w:p>
            <w:pPr>
              <w:spacing w:before="40" w:after="40"/>
            </w:pPr>
            <w:r>
              <w:rPr>
                <w:rFonts w:ascii="Calibri" w:cs="Calibri" w:hAnsi="Calibri"/>
                <w:color w:val="000000"/>
                <w:sz w:val="16"/>
                <w:szCs w:val="16"/>
              </w:rPr>
              <w:t xml:space="preserve">Daniel Kinahan (former MTK chairman); MTK Global Ltd (dissolved post-designation)</w:t>
            </w:r>
          </w:p>
        </w:tc>
        <w:tc>
          <w:tcPr>
            <w:tcW w:type="dxa" w:w="1400"/>
            <w:shd w:val="clear" w:color="auto" w:fill="EEF2F8"/>
          </w:tcPr>
          <w:p>
            <w:pPr>
              <w:spacing w:before="40" w:after="40"/>
            </w:pPr>
            <w:r>
              <w:rPr>
                <w:rFonts w:ascii="Calibri" w:cs="Calibri" w:hAnsi="Calibri"/>
                <w:color w:val="000000"/>
                <w:sz w:val="16"/>
                <w:szCs w:val="16"/>
              </w:rPr>
              <w:t xml:space="preserve">Legitimate Business Cover (Dissolved)</w:t>
            </w:r>
          </w:p>
        </w:tc>
        <w:tc>
          <w:tcPr>
            <w:tcW w:type="dxa" w:w="1200"/>
            <w:tcBorders>
              <w:top w:val="single" w:color="D0D5DE" w:sz="1"/>
              <w:left w:val="single" w:color="D0D5DE" w:sz="1"/>
              <w:bottom w:val="single" w:color="D0D5DE" w:sz="1"/>
              <w:right w:val="single" w:color="D0D5DE" w:sz="1"/>
            </w:tcBorders>
            <w:shd w:fill="444444"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SEIZED</w:t>
            </w:r>
          </w:p>
        </w:tc>
        <w:tc>
          <w:tcPr>
            <w:tcW w:type="dxa" w:w="1800"/>
            <w:shd w:val="clear" w:color="auto" w:fill="EEF2F8"/>
          </w:tcPr>
          <w:p>
            <w:pPr>
              <w:spacing w:before="40" w:after="40"/>
            </w:pPr>
            <w:r>
              <w:rPr>
                <w:rFonts w:ascii="Calibri" w:cs="Calibri" w:hAnsi="Calibri"/>
                <w:color w:val="000000"/>
                <w:sz w:val="16"/>
                <w:szCs w:val="16"/>
              </w:rPr>
              <w:t xml:space="preserve">Kingpin Act; corporate dissolution proceedings</w:t>
            </w:r>
          </w:p>
        </w:tc>
        <w:tc>
          <w:tcPr>
            <w:tcW w:type="dxa" w:w="4000"/>
            <w:shd w:val="clear" w:color="auto" w:fill="EEF2F8"/>
          </w:tcPr>
          <w:p>
            <w:pPr>
              <w:spacing w:before="40" w:after="40"/>
            </w:pPr>
            <w:r>
              <w:rPr>
                <w:rFonts w:ascii="Calibri" w:cs="Calibri" w:hAnsi="Calibri"/>
                <w:color w:val="000000"/>
                <w:sz w:val="16"/>
                <w:szCs w:val="16"/>
              </w:rPr>
              <w:t xml:space="preserve">MTK Global dissolved following OFAC designation Apr 2022. Monitor for successor sports/entertainment entities used as financial cover. Daniel Kinahan reported to have interests in other sports management entities.</w:t>
            </w:r>
          </w:p>
        </w:tc>
      </w:tr>
      <w:tr>
        <w:tc>
          <w:tcPr>
            <w:tcW w:type="dxa" w:w="2400"/>
            <w:shd w:val="clear" w:color="auto" w:fill="FFFFFF"/>
          </w:tcPr>
          <w:p>
            <w:pPr>
              <w:spacing w:before="40" w:after="40"/>
            </w:pPr>
            <w:r>
              <w:rPr>
                <w:rFonts w:ascii="Calibri" w:cs="Calibri" w:hAnsi="Calibri"/>
                <w:b/>
                <w:bCs/>
                <w:color w:val="1C2B4A"/>
                <w:sz w:val="16"/>
                <w:szCs w:val="16"/>
              </w:rPr>
              <w:t xml:space="preserve">KOCG Hezbollah Cocaine Nexus</w:t>
            </w:r>
          </w:p>
        </w:tc>
        <w:tc>
          <w:tcPr>
            <w:tcW w:type="dxa" w:w="1400"/>
            <w:shd w:val="clear" w:color="auto" w:fill="FFFFFF"/>
          </w:tcPr>
          <w:p>
            <w:pPr>
              <w:spacing w:before="40" w:after="40"/>
            </w:pPr>
            <w:r>
              <w:rPr>
                <w:rFonts w:ascii="Calibri" w:cs="Calibri" w:hAnsi="Calibri"/>
                <w:color w:val="000000"/>
                <w:sz w:val="16"/>
                <w:szCs w:val="16"/>
              </w:rPr>
              <w:t xml:space="preserve">West Africa / Europe</w:t>
            </w:r>
          </w:p>
        </w:tc>
        <w:tc>
          <w:tcPr>
            <w:tcW w:type="dxa" w:w="2000"/>
            <w:shd w:val="clear" w:color="auto" w:fill="FFFFFF"/>
          </w:tcPr>
          <w:p>
            <w:pPr>
              <w:spacing w:before="40" w:after="40"/>
            </w:pPr>
            <w:r>
              <w:rPr>
                <w:rFonts w:ascii="Calibri" w:cs="Calibri" w:hAnsi="Calibri"/>
                <w:color w:val="000000"/>
                <w:sz w:val="16"/>
                <w:szCs w:val="16"/>
              </w:rPr>
              <w:t xml:space="preserve">KOCG logistics operators; Hezbollah West Africa diamond/cocaine network (Nazem Said Ahmad network — see Section XXII)</w:t>
            </w:r>
          </w:p>
        </w:tc>
        <w:tc>
          <w:tcPr>
            <w:tcW w:type="dxa" w:w="1400"/>
            <w:shd w:val="clear" w:color="auto" w:fill="FFFFFF"/>
          </w:tcPr>
          <w:p>
            <w:pPr>
              <w:spacing w:before="40" w:after="40"/>
            </w:pPr>
            <w:r>
              <w:rPr>
                <w:rFonts w:ascii="Calibri" w:cs="Calibri" w:hAnsi="Calibri"/>
                <w:color w:val="000000"/>
                <w:sz w:val="16"/>
                <w:szCs w:val="16"/>
              </w:rPr>
              <w:t xml:space="preserve">Narco-Terrorism Nexus / Cocaine Transit</w:t>
            </w:r>
          </w:p>
        </w:tc>
        <w:tc>
          <w:tcPr>
            <w:tcW w:type="dxa" w:w="1200"/>
            <w:tcBorders>
              <w:top w:val="single" w:color="D0D5DE" w:sz="1"/>
              <w:left w:val="single" w:color="D0D5DE" w:sz="1"/>
              <w:bottom w:val="single" w:color="D0D5DE" w:sz="1"/>
              <w:right w:val="single" w:color="D0D5DE" w:sz="1"/>
            </w:tcBorders>
            <w:shd w:fill="1A5276"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NEXUS</w:t>
            </w:r>
          </w:p>
        </w:tc>
        <w:tc>
          <w:tcPr>
            <w:tcW w:type="dxa" w:w="1800"/>
            <w:shd w:val="clear" w:color="auto" w:fill="FFFFFF"/>
          </w:tcPr>
          <w:p>
            <w:pPr>
              <w:spacing w:before="40" w:after="40"/>
            </w:pPr>
            <w:r>
              <w:rPr>
                <w:rFonts w:ascii="Calibri" w:cs="Calibri" w:hAnsi="Calibri"/>
                <w:color w:val="000000"/>
                <w:sz w:val="16"/>
                <w:szCs w:val="16"/>
              </w:rPr>
              <w:t xml:space="preserve">Kingpin Act; EO 13224 (Hezbollah); 18 U.S.C. §2339B</w:t>
            </w:r>
          </w:p>
        </w:tc>
        <w:tc>
          <w:tcPr>
            <w:tcW w:type="dxa" w:w="4000"/>
            <w:shd w:val="clear" w:color="auto" w:fill="FFFFFF"/>
          </w:tcPr>
          <w:p>
            <w:pPr>
              <w:spacing w:before="40" w:after="40"/>
            </w:pPr>
            <w:r>
              <w:rPr>
                <w:rFonts w:ascii="Calibri" w:cs="Calibri" w:hAnsi="Calibri"/>
                <w:color w:val="000000"/>
                <w:sz w:val="16"/>
                <w:szCs w:val="16"/>
              </w:rPr>
              <w:t xml:space="preserve">KOCG and Hezbollah cocaine trafficking networks share West African logistics infrastructure. Documented financial relationship between KOCG European distribution and Hezbollah-linked cocaine brokers. Joint Kingpin/EO 13224 designation package warranted for identified nexus facilitators.</w:t>
            </w:r>
          </w:p>
        </w:tc>
      </w:tr>
      <w:tr>
        <w:tc>
          <w:tcPr>
            <w:tcW w:type="dxa" w:w="2400"/>
            <w:shd w:val="clear" w:color="auto" w:fill="EEF2F8"/>
          </w:tcPr>
          <w:p>
            <w:pPr>
              <w:spacing w:before="40" w:after="40"/>
            </w:pPr>
            <w:r>
              <w:rPr>
                <w:rFonts w:ascii="Calibri" w:cs="Calibri" w:hAnsi="Calibri"/>
                <w:b/>
                <w:bCs/>
                <w:color w:val="1C2B4A"/>
                <w:sz w:val="16"/>
                <w:szCs w:val="16"/>
              </w:rPr>
              <w:t xml:space="preserve">KOCG Cryptocurrency Financial Layer</w:t>
            </w:r>
          </w:p>
        </w:tc>
        <w:tc>
          <w:tcPr>
            <w:tcW w:type="dxa" w:w="1400"/>
            <w:shd w:val="clear" w:color="auto" w:fill="EEF2F8"/>
          </w:tcPr>
          <w:p>
            <w:pPr>
              <w:spacing w:before="40" w:after="40"/>
            </w:pPr>
            <w:r>
              <w:rPr>
                <w:rFonts w:ascii="Calibri" w:cs="Calibri" w:hAnsi="Calibri"/>
                <w:color w:val="000000"/>
                <w:sz w:val="16"/>
                <w:szCs w:val="16"/>
              </w:rPr>
              <w:t xml:space="preserve">Global / UAE / Ireland</w:t>
            </w:r>
          </w:p>
        </w:tc>
        <w:tc>
          <w:tcPr>
            <w:tcW w:type="dxa" w:w="2000"/>
            <w:shd w:val="clear" w:color="auto" w:fill="EEF2F8"/>
          </w:tcPr>
          <w:p>
            <w:pPr>
              <w:spacing w:before="40" w:after="40"/>
            </w:pPr>
            <w:r>
              <w:rPr>
                <w:rFonts w:ascii="Calibri" w:cs="Calibri" w:hAnsi="Calibri"/>
                <w:color w:val="000000"/>
                <w:sz w:val="16"/>
                <w:szCs w:val="16"/>
              </w:rPr>
              <w:t xml:space="preserve">KOCG-affiliated crypto facilitators; UAE-based OTC desks</w:t>
            </w:r>
          </w:p>
        </w:tc>
        <w:tc>
          <w:tcPr>
            <w:tcW w:type="dxa" w:w="1400"/>
            <w:shd w:val="clear" w:color="auto" w:fill="EEF2F8"/>
          </w:tcPr>
          <w:p>
            <w:pPr>
              <w:spacing w:before="40" w:after="40"/>
            </w:pPr>
            <w:r>
              <w:rPr>
                <w:rFonts w:ascii="Calibri" w:cs="Calibri" w:hAnsi="Calibri"/>
                <w:color w:val="000000"/>
                <w:sz w:val="16"/>
                <w:szCs w:val="16"/>
              </w:rPr>
              <w:t xml:space="preserve">Crypto Money Laundering</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shd w:val="clear" w:color="auto" w:fill="EEF2F8"/>
          </w:tcPr>
          <w:p>
            <w:pPr>
              <w:spacing w:before="40" w:after="40"/>
            </w:pPr>
            <w:r>
              <w:rPr>
                <w:rFonts w:ascii="Calibri" w:cs="Calibri" w:hAnsi="Calibri"/>
                <w:color w:val="000000"/>
                <w:sz w:val="16"/>
                <w:szCs w:val="16"/>
              </w:rPr>
              <w:t xml:space="preserve">Kingpin Act; GENIUS Act; BSA §5318A; 18 U.S.C. §1956</w:t>
            </w:r>
          </w:p>
        </w:tc>
        <w:tc>
          <w:tcPr>
            <w:tcW w:type="dxa" w:w="4000"/>
            <w:shd w:val="clear" w:color="auto" w:fill="EEF2F8"/>
          </w:tcPr>
          <w:p>
            <w:pPr>
              <w:spacing w:before="40" w:after="40"/>
            </w:pPr>
            <w:r>
              <w:rPr>
                <w:rFonts w:ascii="Calibri" w:cs="Calibri" w:hAnsi="Calibri"/>
                <w:color w:val="000000"/>
                <w:sz w:val="16"/>
                <w:szCs w:val="16"/>
              </w:rPr>
              <w:t xml:space="preserve">KOCG has adopted cryptocurrency for value transfer and money laundering following increased banking sector scrutiny post-designation. TRM Labs and Chainalysis have identified associated wallet clusters. Issue OFAC crypto wallet designations for confirmed KOCG-linked addresses.</w:t>
            </w:r>
          </w:p>
        </w:tc>
      </w:tr>
      <w:tr>
        <w:tc>
          <w:tcPr>
            <w:tcW w:type="dxa" w:w="2400"/>
            <w:shd w:val="clear" w:color="auto" w:fill="FFFFFF"/>
          </w:tcPr>
          <w:p>
            <w:pPr>
              <w:spacing w:before="40" w:after="40"/>
            </w:pPr>
            <w:r>
              <w:rPr>
                <w:rFonts w:ascii="Calibri" w:cs="Calibri" w:hAnsi="Calibri"/>
                <w:b/>
                <w:bCs/>
                <w:color w:val="1C2B4A"/>
                <w:sz w:val="16"/>
                <w:szCs w:val="16"/>
              </w:rPr>
              <w:t xml:space="preserve">KOCG Real Estate and Business Portfolio — Dubai / Spain</w:t>
            </w:r>
          </w:p>
        </w:tc>
        <w:tc>
          <w:tcPr>
            <w:tcW w:type="dxa" w:w="1400"/>
            <w:shd w:val="clear" w:color="auto" w:fill="FFFFFF"/>
          </w:tcPr>
          <w:p>
            <w:pPr>
              <w:spacing w:before="40" w:after="40"/>
            </w:pPr>
            <w:r>
              <w:rPr>
                <w:rFonts w:ascii="Calibri" w:cs="Calibri" w:hAnsi="Calibri"/>
                <w:color w:val="000000"/>
                <w:sz w:val="16"/>
                <w:szCs w:val="16"/>
              </w:rPr>
              <w:t xml:space="preserve">Dubai, UAE / Spain</w:t>
            </w:r>
          </w:p>
        </w:tc>
        <w:tc>
          <w:tcPr>
            <w:tcW w:type="dxa" w:w="2000"/>
            <w:shd w:val="clear" w:color="auto" w:fill="FFFFFF"/>
          </w:tcPr>
          <w:p>
            <w:pPr>
              <w:spacing w:before="40" w:after="40"/>
            </w:pPr>
            <w:r>
              <w:rPr>
                <w:rFonts w:ascii="Calibri" w:cs="Calibri" w:hAnsi="Calibri"/>
                <w:color w:val="000000"/>
                <w:sz w:val="16"/>
                <w:szCs w:val="16"/>
              </w:rPr>
              <w:t xml:space="preserve">KOCG beneficial owners; Dubai-registered holding companies; Spanish real estate</w:t>
            </w:r>
          </w:p>
        </w:tc>
        <w:tc>
          <w:tcPr>
            <w:tcW w:type="dxa" w:w="1400"/>
            <w:shd w:val="clear" w:color="auto" w:fill="FFFFFF"/>
          </w:tcPr>
          <w:p>
            <w:pPr>
              <w:spacing w:before="40" w:after="40"/>
            </w:pPr>
            <w:r>
              <w:rPr>
                <w:rFonts w:ascii="Calibri" w:cs="Calibri" w:hAnsi="Calibri"/>
                <w:color w:val="000000"/>
                <w:sz w:val="16"/>
                <w:szCs w:val="16"/>
              </w:rPr>
              <w:t xml:space="preserve">Asset Concealment / Money Laundering</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shd w:val="clear" w:color="auto" w:fill="FFFFFF"/>
          </w:tcPr>
          <w:p>
            <w:pPr>
              <w:spacing w:before="40" w:after="40"/>
            </w:pPr>
            <w:r>
              <w:rPr>
                <w:rFonts w:ascii="Calibri" w:cs="Calibri" w:hAnsi="Calibri"/>
                <w:color w:val="000000"/>
                <w:sz w:val="16"/>
                <w:szCs w:val="16"/>
              </w:rPr>
              <w:t xml:space="preserve">Kingpin Act; UAE asset recovery cooperation; Spanish judicial cooperation</w:t>
            </w:r>
          </w:p>
        </w:tc>
        <w:tc>
          <w:tcPr>
            <w:tcW w:type="dxa" w:w="4000"/>
            <w:shd w:val="clear" w:color="auto" w:fill="FFFFFF"/>
          </w:tcPr>
          <w:p>
            <w:pPr>
              <w:spacing w:before="40" w:after="40"/>
            </w:pPr>
            <w:r>
              <w:rPr>
                <w:rFonts w:ascii="Calibri" w:cs="Calibri" w:hAnsi="Calibri"/>
                <w:color w:val="000000"/>
                <w:sz w:val="16"/>
                <w:szCs w:val="16"/>
              </w:rPr>
              <w:t xml:space="preserve">KOCG holds significant real estate and business assets in Dubai and Spain. Post-designation asset freezes partially executed in Spain. UAE asset recovery cooperation remains incomplete. Coordinate with UAE AMLSCU for comprehensive asset freeze enforcement.</w:t>
            </w:r>
          </w:p>
        </w:tc>
      </w:tr>
    </w:tbl>
    <w:p>
      <w:pPr>
        <w:spacing w:before="60" w:after="60"/>
      </w:pPr>
      <w:r>
        <w:rPr>
          <w:rFonts w:ascii="Calibri" w:cs="Calibri" w:hAnsi="Calibri"/>
          <w:color w:val="000000"/>
          <w:sz w:val="18"/>
          <w:szCs w:val="18"/>
        </w:rPr>
        <w:t xml:space="preserve">Sections XXXII–XXXVII added March 2026. Covers Iraqi PMF Iranian-directed finance networks, MS-13 and Tren de Aragua US domestic infrastructure, Clan del Golfo/FARC dissident Colombian narco-finance and European supply chains, Russian GRU/FSB Western Europe covert operations finance, Myanmar SAC jade/teak/scam compound revenue, and Kinahan Cartel Dubai hub and Hezbollah nexus. All designations verified against OFAC SDN and applicable authority lists as of March 2026.</w:t>
      </w:r>
    </w:p>
    <w:p>
      <w:r>
        <w:br w:type="page"/>
      </w:r>
    </w:p>
    <w:p>
      <w:pPr>
        <w:spacing w:before="240" w:after="120"/>
      </w:pPr>
      <w:r>
        <w:rPr>
          <w:rFonts w:ascii="Calibri" w:cs="Calibri" w:hAnsi="Calibri"/>
          <w:b/>
          <w:bCs/>
          <w:color w:val="1C2B4A"/>
          <w:sz w:val="30"/>
          <w:szCs w:val="30"/>
        </w:rPr>
        <w:t xml:space="preserve">XXXI. Key Persons Layer — Global Threat Actor Networks</w:t>
      </w:r>
    </w:p>
    <w:p>
      <w:pPr>
        <w:spacing w:before="60" w:after="60"/>
      </w:pPr>
      <w:r>
        <w:rPr>
          <w:rFonts w:ascii="Calibri" w:cs="Calibri" w:hAnsi="Calibri"/>
          <w:color w:val="000000"/>
          <w:sz w:val="18"/>
          <w:szCs w:val="18"/>
        </w:rPr>
        <w:t xml:space="preserve">This section extends the beneficial ownership and key persons analysis from Section XI to cover principal individuals controlling or directing the threat actor networks in Sections XXII-XXX. Status designations verified against OFAC SDN and EU consolidated lists as of March 2026.</w:t>
      </w:r>
    </w:p>
    <w:tbl>
      <w:tblPr>
        <w:tblStyle w:val="TableGrid"/>
        <w:tblW w:type="dxa" w:w="13200"/>
        <w:tblLook w:val="04A0"/>
      </w:tblPr>
      <w:tblGrid>
        <w:gridCol w:w="2200"/>
        <w:gridCol w:w="2000"/>
        <w:gridCol w:w="1600"/>
        <w:gridCol w:w="1400"/>
        <w:gridCol w:w="1200"/>
        <w:gridCol w:w="2000"/>
        <w:gridCol w:w="2800"/>
      </w:tblGrid>
      <w:tr>
        <w:tc>
          <w:tcPr>
            <w:tcW w:type="dxa" w:w="2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NAME</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ROLE / NETWORK</w:t>
            </w:r>
          </w:p>
        </w:tc>
        <w:tc>
          <w:tcPr>
            <w:tcW w:type="dxa" w:w="16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US SDN</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EU/UK</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STATUS</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KNOWN STRUCTURE</w:t>
            </w:r>
          </w:p>
        </w:tc>
        <w:tc>
          <w:tcPr>
            <w:tcW w:type="dxa" w:w="2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DESIGNATION NOTES</w:t>
            </w:r>
          </w:p>
        </w:tc>
      </w:tr>
      <w:tr>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Hassan Nasrallah (deceased Sep 2024)</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Secretary-General, Hezbollah (killed Israeli airstrike Sep 28 2024)</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Hezbollah organizational structure</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US/EU/UK-designated. Deceased. Successor: Naim Qassem (new SG). Monitor reconstitution of finance team under new leadership.</w:t>
            </w:r>
          </w:p>
        </w:tc>
      </w:tr>
      <w:tr>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Ossama Jaber</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Hezbollah finance team member; exchange house coordinator</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Lebanese exchange house network</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Designated Nov 2025 for funneling tens of millions from Iran via Lebanese exchange houses.</w:t>
            </w:r>
          </w:p>
        </w:tc>
      </w:tr>
      <w:tr>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Ja'far Muhammad Qasir</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Hezbollah finance team (successor to Muhammad Qasir)</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Lebanese commercial network</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Designated Nov 2025. Coordinates metals/chemicals export from Iran with Samer Kasbar.</w:t>
            </w:r>
          </w:p>
        </w:tc>
      </w:tr>
      <w:tr>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Samer Kasbar</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Director, Hokoul SAL Offshore (Hezbollah front); finance team</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Hokoul SAL Offshore Company (Lebanon)</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Designated Nov 2025. Regularly collaborates with Hezbollah finance team on business deals.</w:t>
            </w:r>
          </w:p>
        </w:tc>
      </w:tr>
      <w:tr>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Nazem Said Ahmad</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Hezbollah diamond/gems/art financier; global network controller</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Global network: Lebanon, UAE, South Africa, Angola, DRC, HK, Belgium, UK</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Designated Dec 2019. Apr 2023: 52 associated individuals and entities designated across 9 countries.</w:t>
            </w:r>
          </w:p>
        </w:tc>
      </w:tr>
      <w:tr>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Zaher Jabarin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Hamas finance director; controls Istanbul investment portfolio</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Jabarin portfolio: ~$500M Turkish real estate and stocks</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Designated. Hamas political bureau expelled from Qatar; Jabarin portfolio operationally independent.</w:t>
            </w:r>
          </w:p>
        </w:tc>
      </w:tr>
      <w:tr>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Muhammad Ahmad Abd Al-Dayim Nasrallah</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Qatar-based Hamas operative; IRGC-QF financial liaison</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Qatar-based; close Iranian regime ties</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Designated Oct 2023. Responsible for tens of millions in transfers to Hamas.</w:t>
            </w:r>
          </w:p>
        </w:tc>
      </w:tr>
      <w:tr>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Zuhair Shamlakh</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Gaza-based moneychanger; primary IRGC-QF-to-Hamas fund conduit</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Gaza exchange house network</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Designated Jan 2024. Facilitates tens of millions from Iran to Hamas and PIJ.</w:t>
            </w:r>
          </w:p>
        </w:tc>
      </w:tr>
      <w:tr>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Kim Jong Un</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Supreme Leader, DPRK; ultimate controller of Lazarus Group/RGB</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NO</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NO</w:t>
            </w:r>
          </w:p>
        </w:tc>
        <w:tc>
          <w:tcPr>
            <w:tcW w:type="dxa" w:w="12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DPRK state apparatus</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Not individually designated under cyber/crypto authorities. RGB designated. Monitor for personal designation under NKSPEA senior official authority.</w:t>
            </w:r>
          </w:p>
        </w:tc>
      </w:tr>
      <w:tr>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Sa'id al-Jamal</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Primary Houthi financial official; Iranian oil-to-Houthi revenue architect</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Iranian oil smuggling network; UAE front companies; 5 crypto wallets designated</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Designated. $2B+/yr Houthi revenue. Al-Jamal network cashed out $200M+ through mainstream exchanges.</w:t>
            </w:r>
          </w:p>
        </w:tc>
      </w:tr>
      <w:tr>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Esmail Qaani</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Commander, IRGC-Quds Force (since Jan 2020)</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IRGC-QF command structure</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Designated. Successor to Qasem Soleimani. Controls Hezbollah, Hamas, Houthi, Iraqi PMF financing.</w:t>
            </w:r>
          </w:p>
        </w:tc>
      </w:tr>
      <w:tr>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Nicolas Maduro</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Former President Venezuela (captured Jan 3 2026)</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444444"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SEIZED</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Venezuelan state apparatus; PDVSA; Cartel de los Soles</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In US custody. Facing SDNY charges including narco-terrorism and cocaine trafficking conspiracy.</w:t>
            </w:r>
          </w:p>
        </w:tc>
      </w:tr>
      <w:tr>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Diosdado Cabello</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Senior PSUV official; Cartel de los Soles network</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Venezuelan military/political network</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US/EU-designated. Primary Cartel de los Soles operational figure post-Maduro capture.</w:t>
            </w:r>
          </w:p>
        </w:tc>
      </w:tr>
      <w:tr>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Luis Alberto Rodriguez Lopez-Calleja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President, GAESA; controls Cuban military economic empire</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GAESA holding company; Gaviota; TRD; ETECSA (indirect)</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Designated. Controls 60-80% of Cuban foreign-currency economy through GAESA subsidiaries.</w:t>
            </w:r>
          </w:p>
        </w:tc>
      </w:tr>
      <w:tr>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Ismael "El Mayo" Zambada Garcia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Co-founder/leader Sinaloa Cartel</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Sinaloa Cartel organizational structure</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Kingpin Act / SDN designated. Arrested in US Jul 2024. Facing federal prosecution.</w:t>
            </w:r>
          </w:p>
        </w:tc>
      </w:tr>
      <w:tr>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Nemesio Oseguera Cervantes "El Mencho"</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Founder/leader CJNG</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CJNG organizational structure; $10M US reward</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Kingpin Act / SDN designated. $10M US reward. FTO designation (Feb 2025) creates §2339B material support exposure.</w:t>
            </w:r>
          </w:p>
        </w:tc>
      </w:tr>
      <w:tr>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Abdul-Malik al-Houthi</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Supreme Leader, Ansarallah (Houthis)</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Houthi organizational/military command</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Designated. FTO designation (Mar 5 2025) created §2339B material support exposure globally.</w:t>
            </w:r>
          </w:p>
        </w:tc>
      </w:tr>
      <w:tr>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Muhammad Al-Sunaydar</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Houthi-aligned Yemeni businessman; aviation/shipping coordinator</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NO</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Tyba Ship Management DMCC (Dubai); Barash Aviation; Sama Airline</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US-designated Jul 22 2025. Coordinates Houthi airline acquisition.</w:t>
            </w:r>
          </w:p>
        </w:tc>
      </w:tr>
      <w:tr>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Andrei Troshev "Sedoi"</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Operational commander, Africa Corps (Wagner successor)</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Africa Corps / Russian MoD direct control</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US/EU-designated. Primary operational commander following Prigozhin death Aug 2023.</w:t>
            </w:r>
          </w:p>
        </w:tc>
      </w:tr>
      <w:tr>
        <w:tc>
          <w:tcPr>
            <w:tcW w:type="dxa" w:w="22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Yevgeny Prigozhin (deceased Aug 2023)</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Founder Wagner Group</w:t>
            </w:r>
          </w:p>
        </w:tc>
        <w:tc>
          <w:tcPr>
            <w:tcW w:type="dxa" w:w="16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Wagner Group; Concord Management; IRA</w:t>
            </w:r>
          </w:p>
        </w:tc>
        <w:tc>
          <w:tcPr>
            <w:tcW w:type="dxa" w:w="2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Deceased. Killed in plane crash Aug 23 2023. Legacy: Africa Corps now under Russian MoD.</w:t>
            </w:r>
          </w:p>
        </w:tc>
      </w:tr>
      <w:tr>
        <w:tc>
          <w:tcPr>
            <w:tcW w:type="dxa" w:w="22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Akram al-Kaabi</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Secretary-General, Harakat Hezbollah al-Nujaba (HHN)</w:t>
            </w:r>
          </w:p>
        </w:tc>
        <w:tc>
          <w:tcPr>
            <w:tcW w:type="dxa" w:w="16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YES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HHN command structure; Syria/Iraq operations</w:t>
            </w:r>
          </w:p>
        </w:tc>
        <w:tc>
          <w:tcPr>
            <w:tcW w:type="dxa" w:w="2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Designated Jan 2020. HHN operates in Syria under IRGC-QF direction.</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XXXII. Iraqi Popular Mobilization Forces (PMF / Hashd al-Shaabi) — Iran-Directed Financial and Military Networks</w:t>
      </w:r>
    </w:p>
    <w:p>
      <w:pPr>
        <w:spacing w:before="60" w:after="60"/>
      </w:pPr>
      <w:r>
        <w:rPr>
          <w:rFonts w:ascii="Calibri" w:cs="Calibri" w:hAnsi="Calibri"/>
          <w:color w:val="000000"/>
          <w:sz w:val="18"/>
          <w:szCs w:val="18"/>
        </w:rPr>
        <w:t xml:space="preserve">The Iraqi PMF (Hashd al-Shaabi) is a state-recognized paramilitary umbrella comprising 67+ factions, approximately 20 of which are directly directed and financed by IRGC-QF. Annual budget drawn from Iraqi state appropriations (~$2.5B/yr) supplemented by IRGC-QF transfers, toll collection, border taxation, and oil field revenue diversion. KH designated FTO Jan 2009; AAH designated Oct 2019. Iranian-aligned PMF factions conducted drone and rocket attacks on US forces 160+ times between Oct 2023 and Feb 2024.</w:t>
      </w:r>
    </w:p>
    <w:tbl>
      <w:tblPr>
        <w:tblStyle w:val="TableGrid"/>
        <w:tblW w:type="dxa" w:w="14200"/>
        <w:tblLook w:val="04A0"/>
      </w:tblPr>
      <w:tblGrid>
        <w:gridCol w:w="2400"/>
        <w:gridCol w:w="1400"/>
        <w:gridCol w:w="2000"/>
        <w:gridCol w:w="1400"/>
        <w:gridCol w:w="1200"/>
        <w:gridCol w:w="1800"/>
        <w:gridCol w:w="4000"/>
      </w:tblGrid>
      <w:tr>
        <w:tc>
          <w:tcPr>
            <w:tcW w:type="dxa" w:w="2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NODE</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OPERATOR / STRUCTURE</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CATEGORY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STATUS</w:t>
            </w:r>
          </w:p>
        </w:tc>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LEGAL AUTHORITY</w:t>
            </w:r>
          </w:p>
        </w:tc>
        <w:tc>
          <w:tcPr>
            <w:tcW w:type="dxa" w:w="4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ENFORCEMENT THEORY AND ACTION</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Iraqi State PMF Budget Appropriation</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Baghdad, Iraq</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PMM (PMF Commission); Abu Fadak (Secretary-General); Iranian-aligned faction commanders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State Finance / IRGC-QF pipeline</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EO 14024 (material support); CAATSA §226</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Iraqi state budget allocates ~$2.5B/yr to PMF. OFAC action: designate PMM as material support conduit under EO 13224 §1(c).</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Kata'ib Hezbollah (KH) Financial Network</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Iraq / Iran / Syria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Abu Mahdi al-Muhandis (deceased); current KH leadership; IRGC-QF Quds Force</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Terrorist Financing / Weapons Procurement</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FTO designation (Jan 2009); UNSCR 1267 list</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KH designated FTO and SDGT. Receives weapons, funding, and direction from IRGC-QF. Conducted Oct 2023-Feb 2024 drone/rocket campaign against US forces.</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Asa'ib Ahl al-Haq (AAH) Revenue Network</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Iraq / Lebanon</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Qais al-Khazali (AAH Secretary-General, designated); IRGC-QF liaison officers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Terrorist Financing / Political Influence</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(Oct 2019); FTO designation (Oct 2019)</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AAH designated FTO/SDGT Oct 2019. Operates legal political party (Sadiqoun) and media network (Al-Ahd TV) as revenue and influence layer.</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Harakat Hezbollah al-Nujaba (HHN)</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Iraq / Syria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Akram al-Kaabi (HHN Secretary-General, designated)</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Terrorist Financing / Syria Operations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(Jan 2020); FTO designation (Jan 2020)</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HHN and al-Kaabi designated Jan 2020. Operates in Syria under IRGC-QF direction. Publicly called for attacks on US forces and Israel.</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PMF Oil Revenue Diversion — Kirkuk / Basra Fields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Northern and Southern Iraq</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Iranian-aligned PMF faction commanders; oil field checkpoint operators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Revenue Diversion / Smuggling</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§1(c); IEEPA §1702</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Estimated $500M-$1B/yr diverted from Kirkuk and Basra fields outside Iraqi state budget. Designate controlling faction commanders.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PMF Border Taxation — Syria-Iraq Al-Qaim Corridor</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Al-Qaim / Abu Kamal crossing</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KH checkpoint operators; IRGC-QF logistics officers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Smuggling / Revenue Collection</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IEEPA §1702</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KH controls the Al-Qaim crossing — primary Iran-Iraq-Syria land corridor. Key node for weapons, personnel, and currency transfer between IRGC-QF, KH, and Hezbollah.</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PMF-Affiliated Crypto Fundraising Layer</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Global (Iraq, Lebanon, Iran)</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Undisclosed PMF-affiliated crypto facilitators; Hezbollah-linked exchange houses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Crypto Fundraising / Evasion</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GENIUS Act §4(a)(5)(A); BSA §5318A</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IRGC-aligned PMF factions have adopted crypto fundraising following SWIFT exclusion. TRM Labs has traced PMF-linked wallet clusters.</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XXXIII. MS-13 (Mara Salvatrucha) and Tren de Aragua — US Domestic Financial Infrastructure</w:t>
      </w:r>
    </w:p>
    <w:p>
      <w:pPr>
        <w:spacing w:before="60" w:after="60"/>
      </w:pPr>
      <w:r>
        <w:rPr>
          <w:rFonts w:ascii="Calibri" w:cs="Calibri" w:hAnsi="Calibri"/>
          <w:color w:val="000000"/>
          <w:sz w:val="18"/>
          <w:szCs w:val="18"/>
        </w:rPr>
        <w:t xml:space="preserve">MS-13 designated FTO Jan 2012 and SDGT Oct 2012. Tren de Aragua (TdA) designated FTO and SDGT Feb 2025. Both designations create §2339B material support criminal exposure (20-year maximum). MS-13 operates in 40+ US states with ~10,000 members domestically. TdA US presence documented in 25+ states with hotel/apartment extortion networks, sex trafficking, and narcotics retail.</w:t>
      </w:r>
    </w:p>
    <w:tbl>
      <w:tblPr>
        <w:tblStyle w:val="TableGrid"/>
        <w:tblW w:type="dxa" w:w="14200"/>
        <w:tblLook w:val="04A0"/>
      </w:tblPr>
      <w:tblGrid>
        <w:gridCol w:w="2400"/>
        <w:gridCol w:w="1400"/>
        <w:gridCol w:w="2000"/>
        <w:gridCol w:w="1400"/>
        <w:gridCol w:w="1200"/>
        <w:gridCol w:w="1800"/>
        <w:gridCol w:w="4000"/>
      </w:tblGrid>
      <w:tr>
        <w:tc>
          <w:tcPr>
            <w:tcW w:type="dxa" w:w="2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NODE</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OPERATOR / STRUCTURE</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CATEGORY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STATUS</w:t>
            </w:r>
          </w:p>
        </w:tc>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LEGAL AUTHORITY</w:t>
            </w:r>
          </w:p>
        </w:tc>
        <w:tc>
          <w:tcPr>
            <w:tcW w:type="dxa" w:w="4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ENFORCEMENT THEORY AND ACTION</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MS-13 US Clique Financial Network</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El Salvador / US (NY, VA, MD, CA, TX)</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MS-13 clique leaders (multiple designated); Salvadoran leadership nodes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Gang Finance / Drug Trafficking</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Kingpin Act; 18 U.S.C. §2339B (post-FTO)</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MS-13 designated FTO/SDGT. US clique finances flow through informal value transfer to El Salvador. Coordinate with FinCEN for SAR pattern analysis on MS-13 remittance corridors.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Tren de Aragua US Extortion Network</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US (TX, NY, FL, CO, CA — 25+ states)</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TdA cell leaders; Venezuelan community-based extortion operators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Extortion / Sex Trafficking / Narcotics</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Kingpin Act; 18 U.S.C. §2339B; 18 U.S.C. §1591 (sex trafficking)</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TdA designated FTO/SDGT Feb 2025. US operations center on hotel/apartment complex extortion. Active SDNY, EDVA, and NDTX prosecutions.</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TdA Venezuela-US Financial Corridor</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Venezuela / Colombia / US</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TdA financial facilitators; Venezuelan money service businesses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Money Laundering / TBML</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EO 13692 (Venezuela); Kingpin Act; BSA §5318A</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TdA revenue generated in US repatriated to Venezuela through informal value transfer and cryptocurrency. Coordinate OFAC Venezuela desk for joint designation package.</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MS-13 Drug Trafficking Revenue — US Distribution</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US national (NY, VA, MD primary)</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MS-13 clique-level drug distributors; Sinaloa/CJNG wholesale suppliers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Drug Revenue / Wholesale Supply</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18 U.S.C. §2339B; Kingpin Act; FEND Off Fentanyl Act</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Post-FTO designation, Sinaloa/CJNG supply of MS-13 constitutes §2339B material support. Coordinate DEA/OFAC joint enforcement targeting wholesale-to-retail financial linkages.</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TdA Sex Trafficking Financial Infrastructure</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US (TX, NY, CO, FL)</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TdA sex trafficking cell leaders; hotel/apartment management complicit parties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Sex Trafficking Revenue</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18 U.S.C. §2339B; 18 U.S.C. §1591; Kingpin Act; EO 13224</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Active federal prosecutions in SDTX and CDCA. Identify and designate top-tier TdA sex trafficking financial controllers under Kingpin Act.</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MS-13 / TdA Cryptocurrency Adoption Layer</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Global / US</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Gang-affiliated crypto facilitators; peer-to-peer exchange operators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Crypto Laundering</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GENIUS Act; BSA §5318A; 18 U.S.C. §1956</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Both MS-13 and TdA have adopted cryptocurrency for cross-border value transfer. Issue OFAC crypto wallet designations for confirmed associated addresses.</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XXXIV. Clan del Golfo (AGC) and FARC Dissident Factions — Colombian Narco-Finance and European Supply Chain</w:t>
      </w:r>
    </w:p>
    <w:p>
      <w:pPr>
        <w:spacing w:before="60" w:after="60"/>
      </w:pPr>
      <w:r>
        <w:rPr>
          <w:rFonts w:ascii="Calibri" w:cs="Calibri" w:hAnsi="Calibri"/>
          <w:color w:val="000000"/>
          <w:sz w:val="18"/>
          <w:szCs w:val="18"/>
        </w:rPr>
        <w:t xml:space="preserve">Clan del Golfo (AGC) designated SDGT Dec 2021 and Kingpin Feb 2022 with ~8,000-10,000 members. Controls primary cocaine export corridors supplying ~70% of European cocaine market. FARC dissident factions — EMC (Estado Mayor Central) and Segunda Marquetalia — continue narco-finance operations. Combined Colombian dissident organizations produce ~90% of global cocaine supply (UNODC 2024).</w:t>
      </w:r>
    </w:p>
    <w:tbl>
      <w:tblPr>
        <w:tblStyle w:val="TableGrid"/>
        <w:tblW w:type="dxa" w:w="14200"/>
        <w:tblLook w:val="04A0"/>
      </w:tblPr>
      <w:tblGrid>
        <w:gridCol w:w="2400"/>
        <w:gridCol w:w="1400"/>
        <w:gridCol w:w="2000"/>
        <w:gridCol w:w="1400"/>
        <w:gridCol w:w="1200"/>
        <w:gridCol w:w="1800"/>
        <w:gridCol w:w="4000"/>
      </w:tblGrid>
      <w:tr>
        <w:tc>
          <w:tcPr>
            <w:tcW w:type="dxa" w:w="2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NODE</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OPERATOR / STRUCTURE</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CATEGORY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STATUS</w:t>
            </w:r>
          </w:p>
        </w:tc>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LEGAL AUTHORITY</w:t>
            </w:r>
          </w:p>
        </w:tc>
        <w:tc>
          <w:tcPr>
            <w:tcW w:type="dxa" w:w="4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ENFORCEMENT THEORY AND ACTION</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Clan del Golfo (AGC) Cocaine Export Network</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Colombia (Urabá, Chocó, Córdoba) / Panama / Mexico</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Dairo Antonio Úsuga David "Otoniel" (extradited US 2022); current AGC leadership</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Cocaine Export / Maritime Smuggling</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Kingpin Act; EO 13224; 21 U.S.C. §959</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AGC designated Kingpin Feb 2022. Otoniel extradited and convicted in EDNY. Controls Pacific semi-submarine fleet and Caribbean speedboat corridors. Coordinate with Colombian DIJIN for successor leadership designation package.</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AGC European Cocaine Supply Chain</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Colombia / Spain / Netherlands / Belgium</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AGC export coordinators; European port cartel contacts (Rotterdam, Antwerp, Algeciras)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Cocaine Export / Port Corruption</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Kingpin Act; 21 U.S.C. §959; EU narcotics enforcement cooperation</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AGC supplies ~70% of European cocaine through Rotterdam, Antwerp, and Spanish ports. Coordinate OFAC/EUROJUST joint designation of identified European financial intermediaries.</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FARC EMC (Estado Mayor Central) Coca Revenue</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Colombia (Cauca, Nariño, Meta, Putumayo)</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Iván Mordisco (EMC commander); regional front commanders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Coca Cultivation / Cocaine Processing</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FTO designation (FARC 1997, maintained for dissidents); Kingpin Act</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EMC controls largest coca-growing departments post-accord fragmentation. Iván Mordisco designated. Coordinate with Colombian UIAF for front company financial intelligence.</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Segunda Marquetalia — Venezuela-Based Operations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Venezuela / Colombia / Ecuador</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Iván Márquez (deceased 2023) / successor leadership; Venezuelan military protection</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Cocaine Production / Venezuela Safe Haven</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EO 13692 (Venezuela); FTO designation</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Operates from Venezuelan territory under state protection. Post-Maduro capture (Jan 2026), monitor for operational disruption. Designate Venezuelan military officers providing safe haven under EO 13692.</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AGC / FARC Money Laundering — Colombian Financial System</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Colombia / Panama / US</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AGC financial controllers; Panama-based front companies; Colombian casas de cambio</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Money Laundering / TBML</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Kingpin Act; BSA §5318A; 18 U.S.C. §1956; FATF R.15/R.16</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Revenues laundered through Colombian real estate, cattle ranching, gold mining, and Panama-based shells. FinCEN Section 311 action against identified Colombian casas de cambio warranted.</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AGC Cryptocurrency Revenue Layer</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Global / Colombia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AGC crypto facilitators; peer-to-peer exchange operators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Crypto Laundering</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Kingpin Act; GENIUS Act; BSA §5318A; 18 U.S.C. §1956</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TRM Labs and Chainalysis have identified associated wallet clusters. Coordinate OFAC crypto wallet designation package with DEA SOTU.</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ELN (Ejército de Liberación Nacional) Finance Network</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Colombia / Venezuela / Ecuador</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Antonio García (ELN commander); regional finance commanders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Terrorist Financing / Drug Revenue</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FTO designation (Oct 2023); Kingpin Act (pending)</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ELN designated FTO Oct 2023 following peace talks collapse. Revenue from cocaine, extortion, oil pipeline attacks, and illegal mining. Kingpin designation for senior leadership warranted.</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XXXV. Russian GRU / FSB Western Europe Covert Operations Finance — Separate from Energy Infrastructure</w:t>
      </w:r>
    </w:p>
    <w:p>
      <w:pPr>
        <w:spacing w:before="60" w:after="60"/>
      </w:pPr>
      <w:r>
        <w:rPr>
          <w:rFonts w:ascii="Calibri" w:cs="Calibri" w:hAnsi="Calibri"/>
          <w:color w:val="000000"/>
          <w:sz w:val="18"/>
          <w:szCs w:val="18"/>
        </w:rPr>
        <w:t xml:space="preserve">Russian intelligence covert operations finance in Western Europe is analytically distinct from energy infrastructure networks in Sections I-XXI. GRU Unit 29155 (responsible for Salisbury poisoning) and FSB operational units maintain dedicated covert finance infrastructure through Russian-origin shell company networks in EU jurisdictions, cryptocurrency operational funds, third-country cash courier networks, and state enterprise cover organizations.</w:t>
      </w:r>
    </w:p>
    <w:tbl>
      <w:tblPr>
        <w:tblStyle w:val="TableGrid"/>
        <w:tblW w:type="dxa" w:w="14200"/>
        <w:tblLook w:val="04A0"/>
      </w:tblPr>
      <w:tblGrid>
        <w:gridCol w:w="2400"/>
        <w:gridCol w:w="1400"/>
        <w:gridCol w:w="2000"/>
        <w:gridCol w:w="1400"/>
        <w:gridCol w:w="1200"/>
        <w:gridCol w:w="1800"/>
        <w:gridCol w:w="4000"/>
      </w:tblGrid>
      <w:tr>
        <w:tc>
          <w:tcPr>
            <w:tcW w:type="dxa" w:w="2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NODE</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OPERATOR / STRUCTURE</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CATEGORY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STATUS</w:t>
            </w:r>
          </w:p>
        </w:tc>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LEGAL AUTHORITY</w:t>
            </w:r>
          </w:p>
        </w:tc>
        <w:tc>
          <w:tcPr>
            <w:tcW w:type="dxa" w:w="4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ENFORCEMENT THEORY AND ACTION</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GRU Unit 29155 Operational Finance Network</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Russia / Western Europe (UK, France, Germany, Czechia)</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GRU 29155 officers (multiple designated post-Salisbury); GRU Main Centre Special Technologies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Intelligence Operations Finance</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13694 (as amended EO 14306); EO 14024 §1(a)(i); EU Reg. 269/2014</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GRU 29155 responsible for Salisbury poisoning (2018), Skripal assassination attempt, and multiple European destabilization operations. Monitor for new operational finance structures using third-country relay jurisdictions (Serbia, Turkey, UAE).</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FSB Operational Finance — Western Europe</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Russia / Germany / Austria / Hungary</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FSB foreign intelligence service officers; diplomatic cover personnel</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Intelligence Operations Finance</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13694; EO 14024; EU Reg. 269/2014</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FSB maintains covert finance infrastructure through diplomatic channels and Russian state enterprise cover in EU. Germany expelled 40 Russian intelligence officers 2022. Coordinate BND/BfV/OFAC joint mapping of identified FSB financial facilitators.</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Russian Shell Company Network — Cyprus / Malta / Hungary</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Cyprus / Malta / Hungary / Liechtenstein</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Russian beneficial owners; nominee directors; EU-based law firms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Money Laundering / Covert Operations Finance</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14024; EU Reg. 833/2014 (Art. 5ah); FATF R.15; EU AMLD6</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Cyprus and Malta golden passport era created deep Russian shell company infrastructure. Hungary retains Russian-origin financial structures outside EU enforcement consensus. Coordinate with ECB, EBA, and national FIUs.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GRU / SVR Cryptocurrency Operational Funds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Global (Tornado Cash successors, peer-to-peer)</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GRU/SVR-linked crypto facilitators; mixing service operators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Crypto Operational Finance</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13694; EO 14306; GENIUS Act; 31 U.S.C. §5318A</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Russian intelligence services use cryptocurrency for operational expenses and agent payments. Chainalysis has traced GRU-linked wallet clusters. Extend EO 14306 cyber sanctions designations to identified crypto facilitators.</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Social Design Agency (SDA) / IRA Successor Finance</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Russia / US / EU</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Prigozhin successors; Kremlin-linked media finance controllers; SDA principals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Influence Operations Finance</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13694 (as amended); EO 14024; FARA enforcement</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IRA designated following Mueller investigation indictments. SDA designated 2024 as IRA successor for EU influence operations. Coordinate OFAC/DOJ FARA unit for financial mapping of US-based successor operations.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Africa Corps Cover Entity Finance Network</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UAE / Sudan / CAR / Libya</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Africa Corps financial controllers; UAE-based logistics companies; Prigozhin successor entities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PMC Finance / Resource Extraction</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14024; EO 13581 (transnational criminal); EO 14098 (Sudan)</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Africa Corps maintains separate covert finance infrastructure from Russian state energy networks. UAE gold hub remains primary revenue laundering point. See Section XXX for full node mapping.</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XXXVI. Myanmar Military Council (SAC / Tatmadaw) — Jade, Teak, Arms Revenue, and Scam Compound Finance</w:t>
      </w:r>
    </w:p>
    <w:p>
      <w:pPr>
        <w:spacing w:before="60" w:after="60"/>
      </w:pPr>
      <w:r>
        <w:rPr>
          <w:rFonts w:ascii="Calibri" w:cs="Calibri" w:hAnsi="Calibri"/>
          <w:color w:val="000000"/>
          <w:sz w:val="18"/>
          <w:szCs w:val="18"/>
        </w:rPr>
        <w:t xml:space="preserve">Myanmar's State Administration Council (SAC), which seized power Feb 1 2021, is designated under EO 14014. Revenue derives from jade/ruby exports (~$1B+/yr, primary buyer China), teak timber ($200M+/yr), natural gas (Yadana pipeline), arms procurement from Russia and China, and scam compound operations generating estimated $2-4B/yr through forced labor fraud. MFTB and MICB designated by OFAC Mar 2024.</w:t>
      </w:r>
    </w:p>
    <w:tbl>
      <w:tblPr>
        <w:tblStyle w:val="TableGrid"/>
        <w:tblW w:type="dxa" w:w="14200"/>
        <w:tblLook w:val="04A0"/>
      </w:tblPr>
      <w:tblGrid>
        <w:gridCol w:w="2400"/>
        <w:gridCol w:w="1400"/>
        <w:gridCol w:w="2000"/>
        <w:gridCol w:w="1400"/>
        <w:gridCol w:w="1200"/>
        <w:gridCol w:w="1800"/>
        <w:gridCol w:w="4000"/>
      </w:tblGrid>
      <w:tr>
        <w:tc>
          <w:tcPr>
            <w:tcW w:type="dxa" w:w="2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NODE</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OPERATOR / STRUCTURE</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CATEGORY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STATUS</w:t>
            </w:r>
          </w:p>
        </w:tc>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LEGAL AUTHORITY</w:t>
            </w:r>
          </w:p>
        </w:tc>
        <w:tc>
          <w:tcPr>
            <w:tcW w:type="dxa" w:w="4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ENFORCEMENT THEORY AND ACTION</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Myanmar Jade and Ruby Export Revenue</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Kachin State (Hpakant jade) / Mogok (rubies)</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Myanmar Gems Enterprise (MGE, state-owned, designated); Chinese buying companies; Yunnan brokers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Resource Revenue / Sanctions Evasion</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14014; BURMA Act 2022; Import Restrictions (31 C.F.R. Part 515)</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MGE designated. Myanmar jade exports ~90% to China through Yunnan. US import prohibition in effect. Target identified Chinese jade import companies for secondary sanctions exposure.</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Yadana Natural Gas Pipeline Revenue</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Andaman Sea / Thailand border</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MOGE (Myanmar Oil and Gas Enterprise, designated); TotalEnergies (exited 2022); PTT (Thailand)</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Natural Gas Revenue</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14014; BURMA Act 2022; secondary sanctions pressure on PTT</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MOGE designated Mar 2022. TotalEnergies and Chevron exited. PTT (Thailand) remains primary revenue recipient generating ~$1B/yr for SAC. Apply secondary sanctions pressure on PTT.</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Scam Compound Finance — KK Park / Myawaddy</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Karen State, Myanmar / Thai border</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Saw Chit Thu (KK Park operator, designated Jan 2024); Border Guard Force commanders; Chinese investors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Fraud / Forced Labor / Crypto Laundering</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14014; Kingpin Act (scam operators); 18 U.S.C. §1589 (forced labor)</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KK Park generates $2-4B/yr through phone/crypto fraud using trafficked forced laborers. Saw Chit Thu designated Jan 2024. Designate identified Chinese investor entities under EO 14014 material support provisions.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Myanmar Foreign Trade Bank (MFTB)</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Yangon, Myanmar</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MFTB (state-owned, designated Mar 2024); SAC Finance Ministry</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State Banking / Sanctions Evasion</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14014; OFAC SDN (Mar 2024)</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MFTB designated Mar 2024 as primary SAC foreign currency clearing bank. Monitor for correspondent banking access through third-country relay banks (China, Singapore, UAE, India).</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Russian / Chinese Arms Supply Finance</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Russia / China / Myanmar</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Rostec subsidiaries; CASC (China Aerospace); Myanmar Tatmadaw procurement officers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Arms Procurement</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14014; CAATSA §231 (Russia arms); EO 13382 (proliferation)</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SAC receives Su-30 aircraft, air defense systems from Russia and attack helicopters from China. Apply §231 CAATSA secondary sanctions to third-country financial intermediaries facilitating Myanmar arms payments.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Teak Timber Revenue Network</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Sagaing / Bago / Tanintharyi regions</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Myanmar Timber Enterprise (MTE, state-owned, designated); Chinese and Indian timber importers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Resource Revenue / Sanctions Evasion</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14014; US import prohibition (Burma teak); EU import restrictions</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MTE designated. US and EU import prohibitions in effect. China and India remain primary buyers. Identify Chinese timber import companies for secondary sanctions exposure.</w:t>
            </w:r>
          </w:p>
        </w:tc>
      </w:tr>
    </w:tbl>
    <w:p>
      <w:pPr>
        <w:spacing w:before="60" w:after="60"/>
      </w:pPr>
      <w:r>
        <w:rPr>
          <w:rFonts w:ascii="Calibri" w:cs="Calibri" w:hAnsi="Calibri"/>
          <w:color w:val="000000"/>
          <w:sz w:val="18"/>
          <w:szCs w:val="18"/>
        </w:rPr>
        <w:t xml:space="preserve"/>
      </w:r>
    </w:p>
    <w:p>
      <w:r>
        <w:br w:type="page"/>
      </w:r>
    </w:p>
    <w:p>
      <w:pPr>
        <w:spacing w:before="240" w:after="120"/>
      </w:pPr>
      <w:r>
        <w:rPr>
          <w:rFonts w:ascii="Calibri" w:cs="Calibri" w:hAnsi="Calibri"/>
          <w:b/>
          <w:bCs/>
          <w:color w:val="1C2B4A"/>
          <w:sz w:val="30"/>
          <w:szCs w:val="30"/>
        </w:rPr>
        <w:t xml:space="preserve">XXXVII. Kinahan Cartel — European Cocaine Distribution, UAE Financial Hub, and Hezbollah Nexus</w:t>
      </w:r>
    </w:p>
    <w:p>
      <w:pPr>
        <w:spacing w:before="60" w:after="60"/>
      </w:pPr>
      <w:r>
        <w:rPr>
          <w:rFonts w:ascii="Calibri" w:cs="Calibri" w:hAnsi="Calibri"/>
          <w:color w:val="000000"/>
          <w:sz w:val="18"/>
          <w:szCs w:val="18"/>
        </w:rPr>
        <w:t xml:space="preserve">The Kinahan Organized Crime Group (KOCG) was designated by OFAC under the Kingpin Act Apr 2022, with $5M rewards offered for Daniel Kinahan, Christopher Kinahan Sr., and Christopher Kinahan Jr. The KOCG operates primary financial infrastructure from Dubai, UAE and controls significant European cocaine distribution between South American producers and European distribution networks. Documented financial nexus with Hezbollah cocaine trafficking networks through shared West African and European logistics.</w:t>
      </w:r>
    </w:p>
    <w:tbl>
      <w:tblPr>
        <w:tblStyle w:val="TableGrid"/>
        <w:tblW w:type="dxa" w:w="14200"/>
        <w:tblLook w:val="04A0"/>
      </w:tblPr>
      <w:tblGrid>
        <w:gridCol w:w="2400"/>
        <w:gridCol w:w="1400"/>
        <w:gridCol w:w="2000"/>
        <w:gridCol w:w="1400"/>
        <w:gridCol w:w="1200"/>
        <w:gridCol w:w="1800"/>
        <w:gridCol w:w="4000"/>
      </w:tblGrid>
      <w:tr>
        <w:tc>
          <w:tcPr>
            <w:tcW w:type="dxa" w:w="2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NODE</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OPERATOR / STRUCTURE</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CATEGORY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STATUS</w:t>
            </w:r>
          </w:p>
        </w:tc>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LEGAL AUTHORITY</w:t>
            </w:r>
          </w:p>
        </w:tc>
        <w:tc>
          <w:tcPr>
            <w:tcW w:type="dxa" w:w="4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ENFORCEMENT THEORY AND ACTION</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Kinahan OCG Dubai Financial Hub</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Dubai, UAE</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Daniel Kinahan (designated, $5M reward); Christopher Kinahan Sr. (designated); Tiger Capital Group; Ducati LLC</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Money Laundering / OCG Finance</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Kingpin Act (Apr 2022); UAE-US law enforcement cooperation</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KOCG primary financial operations run from Dubai. All three Kinahans designated with $5M rewards. UAE cooperation has been partial. Apply Kingpin secondary pressure on UAE financial institutions knowingly facilitating KOCG transactions.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KOCG European Cocaine Distribution Network</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Ireland / UK / Spain / Netherlands / Belgium</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KOCG senior lieutenants; Spanish coastal logistics operators; Dutch port contacts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Cocaine Distribution / Wholesale Brokerage</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Kingpin Act; 21 U.S.C. §959; EU narcotics enforcement</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KOCG brokers cocaine from AGC and other Colombian producers to European markets. Spanish operations centered on Costa del Sol. Coordinate OFAC/Europol/EUROJUST for financial intelligence sharing.</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MTK Global / Boxing Promotion Cover (Dissolved)</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Dubai / Ireland / UK</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Daniel Kinahan (former MTK chairman); MTK Global Ltd (dissolved post-designation)</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Legitimate Business Cover (Dissolved)</w:t>
            </w:r>
          </w:p>
        </w:tc>
        <w:tc>
          <w:tcPr>
            <w:tcW w:type="dxa" w:w="1200"/>
            <w:tcBorders>
              <w:top w:val="single" w:color="D0D5DE" w:sz="1"/>
              <w:left w:val="single" w:color="D0D5DE" w:sz="1"/>
              <w:bottom w:val="single" w:color="D0D5DE" w:sz="1"/>
              <w:right w:val="single" w:color="D0D5DE" w:sz="1"/>
            </w:tcBorders>
            <w:shd w:fill="444444"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SEIZED</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Kingpin Act; corporate dissolution proceedings</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MTK Global dissolved following OFAC designation Apr 2022. Monitor for successor sports/entertainment entities used as financial cover.</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KOCG Hezbollah Cocaine Nexus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West Africa / Europe</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KOCG logistics operators; Hezbollah West Africa diamond/cocaine network (Nazem Said Ahmad — see Section XXII)</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Narco-Terrorism Nexus / Cocaine Transit</w:t>
            </w:r>
          </w:p>
        </w:tc>
        <w:tc>
          <w:tcPr>
            <w:tcW w:type="dxa" w:w="1200"/>
            <w:tcBorders>
              <w:top w:val="single" w:color="D0D5DE" w:sz="1"/>
              <w:left w:val="single" w:color="D0D5DE" w:sz="1"/>
              <w:bottom w:val="single" w:color="D0D5DE" w:sz="1"/>
              <w:right w:val="single" w:color="D0D5DE" w:sz="1"/>
            </w:tcBorders>
            <w:shd w:fill="1A5276"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NEXUS</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Kingpin Act; EO 13224 (Hezbollah); 18 U.S.C. §2339B</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KOCG and Hezbollah cocaine trafficking networks share West African logistics infrastructure. Joint Kingpin/EO 13224 designation package warranted for identified nexus facilitators.</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KOCG Cryptocurrency Financial Layer</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Global / UAE / Ireland</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KOCG-affiliated crypto facilitators; UAE-based OTC desks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Crypto Money Laundering</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Kingpin Act; GENIUS Act; BSA §5318A; 18 U.S.C. §1956</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KOCG has adopted cryptocurrency for value transfer and money laundering following increased banking scrutiny post-designation. Issue OFAC crypto wallet designations for confirmed KOCG-linked addresses.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KOCG Real Estate and Business Portfolio — Dubai / Spain</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Dubai, UAE / Spain</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KOCG beneficial owners; Dubai-registered holding companies; Spanish real estate</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Asset Concealment / Money Laundering</w:t>
            </w:r>
          </w:p>
        </w:tc>
        <w:tc>
          <w:tcPr>
            <w:tcW w:type="dxa" w:w="1200"/>
            <w:tcBorders>
              <w:top w:val="single" w:color="D0D5DE" w:sz="1"/>
              <w:left w:val="single" w:color="D0D5DE" w:sz="1"/>
              <w:bottom w:val="single" w:color="D0D5DE" w:sz="1"/>
              <w:right w:val="single" w:color="D0D5DE" w:sz="1"/>
            </w:tcBorders>
            <w:shd w:fill="8E44AD"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PARTIAL</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Kingpin Act; UAE asset recovery cooperation; Spanish judicial cooperation</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KOCG holds significant real estate and business assets in Dubai and Spain. Post-designation asset freezes partially executed in Spain. UAE asset recovery cooperation remains incomplete.</w:t>
            </w:r>
          </w:p>
        </w:tc>
      </w:tr>
    </w:tbl>
    <w:p>
      <w:pPr>
        <w:spacing w:before="60" w:after="60"/>
      </w:pPr>
      <w:r>
        <w:rPr>
          <w:rFonts w:ascii="Calibri" w:cs="Calibri" w:hAnsi="Calibri"/>
          <w:color w:val="000000"/>
          <w:sz w:val="18"/>
          <w:szCs w:val="18"/>
        </w:rPr>
        <w:t xml:space="preserve">Sections XXXI-XXXVII added March 2026. All designations verified against OFAC SDN and applicable authority lists as of March 2026.</w:t>
      </w:r>
    </w:p>
    <w:p>
      <w:r>
        <w:br w:type="page"/>
      </w:r>
    </w:p>
    <w:p>
      <w:pPr>
        <w:spacing w:before="240" w:after="120"/>
      </w:pPr>
      <w:r>
        <w:rPr>
          <w:rFonts w:ascii="Calibri" w:cs="Calibri" w:hAnsi="Calibri"/>
          <w:b/>
          <w:bCs/>
          <w:color w:val="1C2B4A"/>
          <w:sz w:val="30"/>
          <w:szCs w:val="30"/>
        </w:rPr>
        <w:t xml:space="preserve">XXXVIII. UAE Facilitation Networks — Cross-Cutting Multi-Network Hub</w:t>
      </w:r>
    </w:p>
    <w:p>
      <w:pPr>
        <w:spacing w:before="40" w:after="40"/>
      </w:pPr>
      <w:r>
        <w:rPr>
          <w:rFonts w:ascii="Calibri" w:cs="Calibri" w:hAnsi="Calibri"/>
          <w:color w:val="000000"/>
          <w:sz w:val="18"/>
          <w:szCs w:val="18"/>
        </w:rPr>
        <w:t xml:space="preserve">The United Arab Emirates — specifically Dubai — functions as the primary offshore financial hub for at least eight of the threat actor and sanctions evasion networks documented in this index. This cross-cutting role is analytically distinct from UAE participation in any single network: the UAE simultaneously hosts Russia shadow fleet ship management (Section XXI), Wagner/Africa Corps gold export operations (Section XXX), Houthi petroleum revenue front companies (Section XXIX), Hamas real estate investment structures (Section XXIII), IRGC-QF financial facilitation (Section XXV), Kinahan OCG primary financial operations (Section XXXVII), Russian intelligence covert finance relay (Section XXXV), and Myanmar SAC asset concealment (Section XXXVI). A coordinated UAE-focused enforcement package — combining OFAC designations, CAATSA §226 secondary sanctions on UAE correspondent banks, GENIUS Act crypto enforcement, and bilateral FATF grey-list pressure — represents the highest-leverage single geographic enforcement action available across this entire document. The UAE Central Bank and Financial Intelligence Unit (FIU) are the critical institutional pressure points. All node entries below carry cross-references to the primary sections where the parent network is analyzed in full.</w:t>
      </w:r>
    </w:p>
    <w:tbl>
      <w:tblPr>
        <w:tblStyle w:val="TableGrid"/>
        <w:tblW w:type="dxa" w:w="14200"/>
        <w:tblLook w:val="04A0"/>
      </w:tblPr>
      <w:tblGrid>
        <w:gridCol w:w="2400"/>
        <w:gridCol w:w="1400"/>
        <w:gridCol w:w="2000"/>
        <w:gridCol w:w="1400"/>
        <w:gridCol w:w="1200"/>
        <w:gridCol w:w="1800"/>
        <w:gridCol w:w="4000"/>
      </w:tblGrid>
      <w:tr>
        <w:tc>
          <w:tcPr>
            <w:tcW w:type="dxa" w:w="2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NODE</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LOCATION</w:t>
            </w:r>
          </w:p>
        </w:tc>
        <w:tc>
          <w:tcPr>
            <w:tcW w:type="dxa" w:w="2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OPERATOR / STRUCTURE</w:t>
            </w:r>
          </w:p>
        </w:tc>
        <w:tc>
          <w:tcPr>
            <w:tcW w:type="dxa" w:w="14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CATEGORY</w:t>
            </w:r>
          </w:p>
        </w:tc>
        <w:tc>
          <w:tcPr>
            <w:tcW w:type="dxa" w:w="12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STATUS</w:t>
            </w:r>
          </w:p>
        </w:tc>
        <w:tc>
          <w:tcPr>
            <w:tcW w:type="dxa" w:w="18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LEGAL AUTHORITY</w:t>
            </w:r>
          </w:p>
        </w:tc>
        <w:tc>
          <w:tcPr>
            <w:tcW w:type="dxa" w:w="4000"/>
            <w:tcBorders>
              <w:top w:val="single" w:color="D0D5DE" w:sz="1"/>
              <w:left w:val="single" w:color="D0D5DE" w:sz="1"/>
              <w:bottom w:val="single" w:color="D0D5DE" w:sz="1"/>
              <w:right w:val="single" w:color="D0D5DE" w:sz="1"/>
            </w:tcBorders>
            <w:shd w:fill="1C2B4A" w:val="clear"/>
            <w:tcMar>
              <w:top w:type="dxa" w:w="60"/>
              <w:left w:type="dxa" w:w="100"/>
              <w:bottom w:type="dxa" w:w="60"/>
              <w:right w:type="dxa" w:w="100"/>
            </w:tcMar>
            <w:vAlign w:val="top"/>
          </w:tcPr>
          <w:p>
            <w:pPr>
              <w:spacing w:before="60" w:after="60"/>
            </w:pPr>
            <w:r>
              <w:rPr>
                <w:rFonts w:ascii="Calibri" w:cs="Calibri" w:eastAsia="Calibri" w:hAnsi="Calibri"/>
                <w:b/>
                <w:bCs/>
                <w:color w:val="FFFFFF"/>
                <w:sz w:val="17"/>
                <w:szCs w:val="17"/>
              </w:rPr>
              <w:t xml:space="preserve">ENFORCEMENT THEORY AND ACTION</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UAE Gold Trading and Laundering Hub — Russia/Wagner/Iran</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Dubai / Abu Dhabi, UAE</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Multiple UAE-registered gold trading companies; Meroe Gold successor entities; IRGC-linked traders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Gold / Precious Metals Laundering</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14024; EO 14098 (Sudan); EO 13224; IEEPA §1702</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UAE is the primary gold export hub for Wagner/Africa Corps Sudan operations ($1.9B+ Meroe Gold), IRGC-QF precious metals evasion, and Russian oligarch asset concealment. Coordinate OFAC/FinCEN Section 311 action against identified UAE gold trading companies. Apply secondary sanctions pressure on UAE Central Bank for AML compliance failures.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UAE Shadow Fleet Ship Management Cluster</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Dubai / Fujairah, UAE</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Dreamer Shipmanagement; Gatik Ship Management; Fractal Marine; multiple undisclosed UAE-registered managers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Maritime / Shadow Fleet</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14024; CAATSA §226; IMO A.1192(33)</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UAE hosts the largest concentration of Russia-linked shadow fleet ship management companies. Dreamer (Perle LNG), Gatik, and Fractal Marine identified managing sanctioned vessels. Apply CAATSA §226 secondary sanctions to UAE correspondent banks servicing these managers. Coordinate with Central Bank of UAE for compliance action.</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Hamas Investment Portfolio — UAE Real Estate Layer</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Dubai, UAE</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Hamas-linked real estate investors; undisclosed UAE property holding companies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Terrorist Financing / Asset Concealment</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UAE-US MLA framework; FATF mutual evaluation</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Portion of Jabarin $500M Istanbul portfolio has UAE real estate exposure. Separate UAE-based Hamas financial facilitators identified. UAE Financial Intelligence Unit (FIU) cooperation required. Coordinate with OFAC Terrorism desk for UAE-focused Hamas designation package.</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Houthi Revenue — UAE Front Company Petroleum Network</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Dubai, UAE</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Adeema Oil FZC (Dubai, designated Jan 2026); Arkan Mars Petroleum DMCC (Dubai, designated); undisclosed successor entities</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Terrorist Financing / Oil Smuggling</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IFCA §104(c); CISADA</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Al-Jamal network routes Iranian oil through UAE front companies to Chinese teapot refineries. Adeema Oil FZC and Arkan Mars Petroleum DMCC designated Jan 2026. Monitor for successor entity registration in UAE free zones (JAFZA, DMCC, RAK FTZ). Apply UAE Central Bank pressure for enhanced due diligence on commodity trading companies.</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IRGC-QF UAE Financial Facilitation Network</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Dubai / UAE Free Zones</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Iranian-linked UAE exchange houses; undisclosed IRGC-QF-affiliated trading companies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Terrorist Financing / Sanctions Evasion</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13224; CISADA; IEEPA §1702; UAE-US bilateral AML</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IRGC-QF uses UAE exchange houses and commodity trading companies for petrochemical revenue repatriation and weapons procurement financing. UAE Financial Intelligence Unit has been uneven in enforcement. Coordinate OFAC/State bilateral pressure on UAE Central Bank for enhanced correspondent banking compliance requirements.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Kinahan OCG Dubai Financial Hub — Real Estate / Corporate</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Dubai, UAE</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Daniel Kinahan (designated, $5M reward); Christopher Kinahan Sr. (designated); Tiger Capital Group; Ducati LLC; real estate portfolio</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Money Laundering / OCG Finance</w:t>
            </w:r>
          </w:p>
        </w:tc>
        <w:tc>
          <w:tcPr>
            <w:tcW w:type="dxa" w:w="1200"/>
            <w:tcBorders>
              <w:top w:val="single" w:color="D0D5DE" w:sz="1"/>
              <w:left w:val="single" w:color="D0D5DE" w:sz="1"/>
              <w:bottom w:val="single" w:color="D0D5DE" w:sz="1"/>
              <w:right w:val="single" w:color="D0D5DE" w:sz="1"/>
            </w:tcBorders>
            <w:shd w:fill="C0392B"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DESIGNATED</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Kingpin Act (Apr 2022); UAE asset recovery cooperation</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KOCG primary financial operations from Dubai. All three Kinahans designated. UAE cooperation has been partial. Apply Kingpin Act secondary pressure on UAE banks knowingly servicing KOCG-linked entities. Coordinate with Dubai Police financial crimes unit.</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GRU / Russian Intelligence UAE Relay Network</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Dubai / Abu Dhabi, UAE</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Russian intelligence-linked UAE business entities; diplomatic cover operations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Intelligence Operations Finance</w:t>
            </w:r>
          </w:p>
        </w:tc>
        <w:tc>
          <w:tcPr>
            <w:tcW w:type="dxa" w:w="1200"/>
            <w:tcBorders>
              <w:top w:val="single" w:color="D0D5DE" w:sz="1"/>
              <w:left w:val="single" w:color="D0D5DE" w:sz="1"/>
              <w:bottom w:val="single" w:color="D0D5DE" w:sz="1"/>
              <w:right w:val="single" w:color="D0D5DE" w:sz="1"/>
            </w:tcBorders>
            <w:shd w:fill="27AE60"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MONITOR</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13694; 90 FR 24723 (June 11, 2025); EO 14024</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UAE serves as a relay jurisdiction for Russian intelligence covert operational finance. Third-country financial structures used to circumvent EU/UK sanctions. Coordinate with UAE State Security Department for intelligence sharing on identified Russian intelligence-linked entities.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Myanmar SAC — Dubai-Based Asset Concealment</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Dubai, UAE</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SAC-linked business entities; Myanmar military family wealth management</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Sanctions Evasion / Asset Concealment</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EO 14014; BURMA Act 2022; UAE-US AML bilateral</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SAC generals and military family wealth concealed through Dubai real estate and corporate structures. UAE limited enforcement of OFAC Myanmar designations. Apply bilateral pressure for UAE alignment on Myanmar sanctions enforcement.</w:t>
            </w:r>
          </w:p>
        </w:tc>
      </w:tr>
      <w:tr>
        <w:tc>
          <w:tcPr>
            <w:tcW w:type="dxa" w:w="2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UAE Crypto OTC Desk Network — Multi-Network Evasion</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Dubai, UAE</w:t>
            </w:r>
          </w:p>
        </w:tc>
        <w:tc>
          <w:tcPr>
            <w:tcW w:type="dxa" w:w="2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Multiple UAE-licensed and unlicensed crypto OTC desks; VARA-regulated and unregulated operators</w:t>
            </w:r>
          </w:p>
        </w:tc>
        <w:tc>
          <w:tcPr>
            <w:tcW w:type="dxa" w:w="14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Crypto Laundering / Multi-Network</w:t>
            </w:r>
          </w:p>
        </w:tc>
        <w:tc>
          <w:tcPr>
            <w:tcW w:type="dxa" w:w="1200"/>
            <w:tcBorders>
              <w:top w:val="single" w:color="D0D5DE" w:sz="1"/>
              <w:left w:val="single" w:color="D0D5DE" w:sz="1"/>
              <w:bottom w:val="single" w:color="D0D5DE" w:sz="1"/>
              <w:right w:val="single" w:color="D0D5DE" w:sz="1"/>
            </w:tcBorders>
            <w:shd w:fill="D4880A"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TARGETABLE</w:t>
            </w:r>
          </w:p>
        </w:tc>
        <w:tc>
          <w:tcPr>
            <w:tcW w:type="dxa" w:w="18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GENIUS Act Pub. L. 119-27, 139 Stat. 419; BSA §5318A; EO 14024; EO 13224</w:t>
            </w:r>
          </w:p>
        </w:tc>
        <w:tc>
          <w:tcPr>
            <w:tcW w:type="dxa" w:w="4000"/>
            <w:tcBorders>
              <w:top w:val="single" w:color="D0D5DE" w:sz="1"/>
              <w:left w:val="single" w:color="D0D5DE" w:sz="1"/>
              <w:bottom w:val="single" w:color="D0D5DE" w:sz="1"/>
              <w:right w:val="single" w:color="D0D5DE" w:sz="1"/>
            </w:tcBorders>
            <w:shd w:fill="F2F4F7"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UAE crypto OTC desks serve Russia (shadow finance), IRGC-QF, Hamas, Houthis, and organized crime networks simultaneously. Dubai Virtual Assets Regulatory Authority (VARA) has taken limited enforcement action. Apply GENIUS Act §4(a)(5)(A) BSA treatment to UAE-based stablecoin facilitators. Issue TRM Labs/Chainalysis-sourced OFAC crypto wallet designations for confirmed UAE OTC nodes.</w:t>
            </w:r>
          </w:p>
        </w:tc>
      </w:tr>
      <w:tr>
        <w:tc>
          <w:tcPr>
            <w:tcW w:type="dxa" w:w="2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b/>
                <w:bCs/>
                <w:color w:val="1C2B4A"/>
                <w:sz w:val="17"/>
                <w:szCs w:val="17"/>
              </w:rPr>
              <w:t xml:space="preserve">FATF Grey List Pressure Mechanism — UAE</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UAE (bilateral)</w:t>
            </w:r>
          </w:p>
        </w:tc>
        <w:tc>
          <w:tcPr>
            <w:tcW w:type="dxa" w:w="2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UAE Central Bank; Financial Intelligence Unit (FIU); Ministry of Economy AML unit</w:t>
            </w:r>
          </w:p>
        </w:tc>
        <w:tc>
          <w:tcPr>
            <w:tcW w:type="dxa" w:w="14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Enforcement Architecture / Diplomatic</w:t>
            </w:r>
          </w:p>
        </w:tc>
        <w:tc>
          <w:tcPr>
            <w:tcW w:type="dxa" w:w="1200"/>
            <w:tcBorders>
              <w:top w:val="single" w:color="D0D5DE" w:sz="1"/>
              <w:left w:val="single" w:color="D0D5DE" w:sz="1"/>
              <w:bottom w:val="single" w:color="D0D5DE" w:sz="1"/>
              <w:right w:val="single" w:color="D0D5DE" w:sz="1"/>
            </w:tcBorders>
            <w:shd w:fill="2471A3" w:val="clear"/>
            <w:tcMar>
              <w:top w:type="dxa" w:w="60"/>
              <w:left w:type="dxa" w:w="100"/>
              <w:bottom w:type="dxa" w:w="60"/>
              <w:right w:type="dxa" w:w="100"/>
            </w:tcMar>
            <w:vAlign w:val="top"/>
          </w:tcPr>
          <w:p>
            <w:pPr>
              <w:spacing w:before="60" w:after="60"/>
              <w:jc w:val="center"/>
            </w:pPr>
            <w:r>
              <w:rPr>
                <w:rFonts w:ascii="Calibri" w:cs="Calibri" w:eastAsia="Calibri" w:hAnsi="Calibri"/>
                <w:b/>
                <w:bCs/>
                <w:color w:val="FFFFFF"/>
                <w:sz w:val="17"/>
                <w:szCs w:val="17"/>
              </w:rPr>
              <w:t xml:space="preserve">OFF-LIMITS</w:t>
            </w:r>
          </w:p>
        </w:tc>
        <w:tc>
          <w:tcPr>
            <w:tcW w:type="dxa" w:w="18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FATF R.15/R.16; FATF mutual evaluation process; bilateral US-UAE AML framework</w:t>
            </w:r>
          </w:p>
        </w:tc>
        <w:tc>
          <w:tcPr>
            <w:tcW w:type="dxa" w:w="4000"/>
            <w:tcBorders>
              <w:top w:val="single" w:color="D0D5DE" w:sz="1"/>
              <w:left w:val="single" w:color="D0D5DE" w:sz="1"/>
              <w:bottom w:val="single" w:color="D0D5DE" w:sz="1"/>
              <w:right w:val="single" w:color="D0D5DE" w:sz="1"/>
            </w:tcBorders>
            <w:shd w:fill="FFFFFF" w:val="clear"/>
            <w:tcMar>
              <w:top w:type="dxa" w:w="60"/>
              <w:left w:type="dxa" w:w="100"/>
              <w:bottom w:type="dxa" w:w="60"/>
              <w:right w:type="dxa" w:w="100"/>
            </w:tcMar>
            <w:vAlign w:val="top"/>
          </w:tcPr>
          <w:p>
            <w:pPr>
              <w:spacing w:before="60" w:after="60"/>
            </w:pPr>
            <w:r>
              <w:rPr>
                <w:rFonts w:ascii="Calibri" w:cs="Calibri" w:eastAsia="Calibri" w:hAnsi="Calibri"/>
                <w:color w:val="000000"/>
                <w:sz w:val="17"/>
                <w:szCs w:val="17"/>
              </w:rPr>
              <w:t xml:space="preserve">UAE was removed from FATF grey list Feb 2024 following reforms. The threat of re-listing remains the primary coercive lever for UAE AML compliance. Coordinate Treasury/State diplomatic engagement with specific UAE enforcement benchmarks as condition of continued bilateral financial cooperation. This node is OFF-LIMITS for unilateral US action but is the highest-leverage diplomatic enforcement mechanism available in the UAE context.</w:t>
            </w:r>
          </w:p>
        </w:tc>
      </w:tr>
    </w:tbl>
    <w:p>
      <w:pPr>
        <w:spacing w:before="40" w:after="40"/>
      </w:pPr>
      <w:r>
        <w:rPr>
          <w:rFonts w:ascii="Calibri" w:cs="Calibri" w:hAnsi="Calibri"/>
          <w:color w:val="000000"/>
          <w:sz w:val="18"/>
          <w:szCs w:val="18"/>
        </w:rPr>
        <w:t xml:space="preserve"/>
      </w:r>
    </w:p>
    <w:sectPr>
      <w:headerReference w:type="default" r:id="rId6"/>
      <w:footerReference w:type="default" r:id="rId7"/>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3" w:space="3"/>
      </w:pBdr>
      <w:jc w:val="center"/>
    </w:pPr>
    <w:r>
      <w:rPr>
        <w:rFonts w:ascii="Calibri" w:cs="Calibri" w:eastAsia="Calibri" w:hAnsi="Calibri"/>
        <w:color w:val="888888"/>
        <w:sz w:val="15"/>
        <w:szCs w:val="15"/>
      </w:rPr>
      <w:t xml:space="preserve">STRATEGIC ANALYSIS (SIMULATED) • FOR ACADEMIC AND POLICY RESEARCH PURPOSES ONLY • March 13,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3" w:space="3"/>
      </w:pBdr>
      <w:tabs>
        <w:tab w:val="right" w:pos="13680"/>
      </w:tabs>
    </w:pPr>
    <w:r>
      <w:rPr>
        <w:rFonts w:ascii="Calibri" w:cs="Calibri" w:eastAsia="Calibri" w:hAnsi="Calibri"/>
        <w:b/>
        <w:bCs/>
        <w:color w:val="666666"/>
        <w:sz w:val="16"/>
        <w:szCs w:val="16"/>
      </w:rPr>
      <w:t xml:space="preserve">WP-2026-SENI-01  |  Strategic Enforcement Node Index (SENI)  |  C. GEORGE  |  March 2026</w:t>
    </w:r>
    <w:r>
      <w:rPr>
        <w:rFonts w:ascii="Calibri" w:cs="Calibri" w:eastAsia="Calibri" w:hAnsi="Calibri"/>
        <w:color w:val="888888"/>
        <w:sz w:val="16"/>
        <w:szCs w:val="16"/>
      </w:rPr>
      <w:t xml:space="preserve">	STRATEGIC ANALYSIS (SIMULATED) — NOT 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C2B4A"/>
      <w:sz w:val="30"/>
      <w:szCs w:val="30"/>
    </w:rPr>
  </w:style>
  <w:style w:type="paragraph" w:styleId="Heading2">
    <w:name w:val="Heading 2"/>
    <w:basedOn w:val="Normal"/>
    <w:next w:val="Normal"/>
    <w:qFormat/>
    <w:pPr>
      <w:spacing w:before="280" w:after="80"/>
      <w:outlineLvl w:val="1"/>
    </w:pPr>
    <w:rPr>
      <w:rFonts w:ascii="Calibri" w:cs="Calibri" w:eastAsia="Calibri" w:hAnsi="Calibri"/>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2026-03-14T00:37:50.821Z</dcterms:created>
  <dcterms:modified xsi:type="dcterms:W3CDTF">2026-03-14T00:37:50.821Z</dcterms:modified>
</cp:coreProperties>
</file>

<file path=docProps/custom.xml><?xml version="1.0" encoding="utf-8"?>
<Properties xmlns="http://schemas.openxmlformats.org/officeDocument/2006/custom-properties" xmlns:vt="http://schemas.openxmlformats.org/officeDocument/2006/docPropsVTypes"/>
</file>