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line="276"/>
      </w:pPr>
      <w:r>
        <w:rPr>
          <w:rFonts w:ascii="Arial" w:cs="Arial" w:eastAsia="Arial" w:hAnsi="Arial"/>
          <w:b/>
          <w:bCs/>
          <w:color w:val="8B6914"/>
          <w:sz w:val="20"/>
          <w:szCs w:val="20"/>
        </w:rPr>
        <w:t xml:space="preserve">WP-2026-CI-ENFORCE-01</w:t>
      </w:r>
    </w:p>
    <w:p>
      <w:pPr>
        <w:spacing w:after="200"/>
      </w:pPr>
    </w:p>
    <w:p>
      <w:pPr>
        <w:pBdr>
          <w:bottom w:val="single" w:color="1B2A4A" w:sz="6" w:space="8"/>
        </w:pBdr>
        <w:spacing w:after="80"/>
      </w:pPr>
      <w:r>
        <w:rPr>
          <w:rFonts w:ascii="Arial" w:cs="Arial" w:eastAsia="Arial" w:hAnsi="Arial"/>
          <w:b/>
          <w:bCs/>
          <w:color w:val="1B2A4A"/>
          <w:sz w:val="40"/>
          <w:szCs w:val="40"/>
        </w:rPr>
        <w:t xml:space="preserve">Counterintelligence Exposure Assessment: Enforcement Architecture Series</w:t>
      </w:r>
    </w:p>
    <w:p>
      <w:pPr>
        <w:spacing w:after="120" w:line="276"/>
        <w:rPr>
          <w:color w:val="1B2A4A"/>
          <w:sz w:val="26"/>
          <w:szCs w:val="26"/>
        </w:rPr>
      </w:pPr>
      <w:r>
        <w:rPr>
          <w:rFonts w:ascii="Arial" w:cs="Arial" w:eastAsia="Arial" w:hAnsi="Arial"/>
          <w:color w:val="1B2A4A"/>
          <w:sz w:val="26"/>
          <w:szCs w:val="26"/>
        </w:rPr>
        <w:t xml:space="preserve">UNIFIED-01, CTF-01, CPF-02, ARCH-03, NUC-01, CYBER-01, STRAT-NSCC-01</w:t>
      </w:r>
    </w:p>
    <w:p>
      <w:pPr>
        <w:spacing w:after="400"/>
      </w:pPr>
    </w:p>
    <w:p>
      <w:pPr>
        <w:spacing w:after="120" w:line="276"/>
      </w:pPr>
      <w:r>
        <w:rPr>
          <w:rFonts w:ascii="Arial" w:cs="Arial" w:eastAsia="Arial" w:hAnsi="Arial"/>
          <w:b/>
          <w:bCs/>
          <w:color w:val="1B2A4A"/>
          <w:sz w:val="22"/>
          <w:szCs w:val="22"/>
        </w:rPr>
        <w:t xml:space="preserve">Collin George</w:t>
      </w:r>
    </w:p>
    <w:p>
      <w:pPr>
        <w:spacing w:after="120" w:line="276"/>
        <w:rPr>
          <w:color w:val="666666"/>
          <w:sz w:val="20"/>
          <w:szCs w:val="20"/>
        </w:rPr>
      </w:pPr>
      <w:r>
        <w:rPr>
          <w:rFonts w:ascii="Arial" w:cs="Arial" w:eastAsia="Arial" w:hAnsi="Arial"/>
          <w:color w:val="666666"/>
          <w:sz w:val="20"/>
          <w:szCs w:val="20"/>
        </w:rPr>
        <w:t xml:space="preserve">Center for Competitive Statecraft &amp; Strategic Policy  |  collinbgeorge.com</w:t>
      </w:r>
    </w:p>
    <w:p>
      <w:pPr>
        <w:spacing w:after="600"/>
        <w:rPr>
          <w:color w:val="666666"/>
          <w:sz w:val="20"/>
          <w:szCs w:val="20"/>
        </w:rPr>
      </w:pPr>
      <w:r>
        <w:rPr>
          <w:rFonts w:ascii="Arial" w:cs="Arial" w:eastAsia="Arial" w:hAnsi="Arial"/>
          <w:color w:val="666666"/>
          <w:sz w:val="20"/>
          <w:szCs w:val="20"/>
        </w:rPr>
        <w:t xml:space="preserve">April 2026</w:t>
      </w:r>
    </w:p>
    <w:p>
      <w:pPr>
        <w:spacing w:after="120" w:line="276"/>
      </w:pPr>
      <w:r>
        <w:rPr>
          <w:rFonts w:ascii="Arial" w:cs="Arial" w:eastAsia="Arial" w:hAnsi="Arial"/>
          <w:b/>
          <w:bCs/>
          <w:color w:val="8B6914"/>
          <w:sz w:val="18"/>
          <w:szCs w:val="18"/>
        </w:rPr>
        <w:t xml:space="preserve">UNCLASSIFIED // OPEN SOURCE // INDEPENDENT POLICY RESEARCH</w:t>
      </w:r>
    </w:p>
    <w:p>
      <w:r>
        <w:br w:type="page"/>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NOTICE — SCOPE AND METHODOLOGY: </w:t>
      </w:r>
      <w:r>
        <w:rPr>
          <w:rFonts w:ascii="Arial" w:cs="Arial" w:eastAsia="Arial" w:hAnsi="Arial"/>
          <w:sz w:val="20"/>
          <w:szCs w:val="20"/>
        </w:rPr>
        <w:t xml:space="preserve">Independent policy research. Open-source CI exposure methodology applied to seven newly deployed WP-2026 series documents. No classified information used or referenced. Adversary utility assessments are analytically inferred from document content and known adversary OSINT collection practices — not intelligence reporting. These documents are published on GitHub and should be treated as already collected by adversary OSINT programs. This assessment supplements WP-2026-CI-Assessment v3.0 (series-level). Assessment methodology follows MAP-CI-01 five-dimension framework adapted for document-based products.</w:t>
      </w:r>
    </w:p>
    <w:p>
      <w:pPr>
        <w:pStyle w:val="Heading1"/>
        <w:spacing w:after="200" w:before="360"/>
      </w:pPr>
      <w:r>
        <w:rPr>
          <w:rFonts w:ascii="Arial" w:cs="Arial" w:eastAsia="Arial" w:hAnsi="Arial"/>
          <w:b/>
          <w:bCs/>
          <w:color w:val="1B2A4A"/>
          <w:sz w:val="30"/>
          <w:szCs w:val="30"/>
        </w:rPr>
        <w:t xml:space="preserve">Abstract</w:t>
      </w:r>
    </w:p>
    <w:p>
      <w:pPr>
        <w:spacing w:after="120" w:line="276"/>
      </w:pPr>
      <w:r>
        <w:rPr>
          <w:rFonts w:ascii="Arial" w:cs="Arial" w:eastAsia="Arial" w:hAnsi="Arial"/>
          <w:sz w:val="22"/>
          <w:szCs w:val="22"/>
          <w:color w:val="000000"/>
        </w:rPr>
        <w:t xml:space="preserve">Counterintelligence exposure assessment of seven WP-2026 series documents deployed in April 2026: the enforcement architecture suite (UNIFIED-01, CTF-01, CPF-02, ARCH-03), two infrastructure policy papers (NUC-01, CYBER-01), and one operational strategy memorandum (STRAT-NSCC-01). Applies the five-dimension CI exposure methodology established in WP-2026-MAP-CI-01, adapted for document-based products. Assesses enforcement logic disclosure, evidentiary gap disclosure, litigation vulnerability mapping, institutional capacity constraint disclosure, and GitHub hosting exposure. Finds: legal exposure very low (no statute applicable; First Amendment fully protective); highest CI-significant content is the Principal Legal Risks sections providing pre-built defensive litigation maps; NUC-01, CYBER-01, and STRAT-NSCC-01 present lower exposure (aggregation of publicly available data only, with STRAT-NSCC-01 presenting a distinct exposure profile as an event-driven enforcement calibration memo responding to publicly reported PRC data breach). Supplements WP-2026-CI-Assessment v3.0 (series-level). All analysis based on open-source data only.</w:t>
      </w:r>
    </w:p>
    <w:p>
      <w:pPr>
        <w:pStyle w:val="Heading1"/>
        <w:spacing w:after="200" w:before="360"/>
      </w:pPr>
      <w:r>
        <w:rPr>
          <w:rFonts w:ascii="Arial" w:cs="Arial" w:eastAsia="Arial" w:hAnsi="Arial"/>
          <w:b/>
          <w:bCs/>
          <w:color w:val="1B2A4A"/>
          <w:sz w:val="30"/>
          <w:szCs w:val="30"/>
        </w:rPr>
        <w:t xml:space="preserve">Key Judgments</w:t>
      </w:r>
    </w:p>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MODERATE-HIGH CONFIDENCE  ·  Analytically Inferred</w:t>
            </w:r>
          </w:p>
          <w:p>
            <w:pPr>
              <w:spacing w:after="80" w:line="276"/>
            </w:pPr>
            <w:r>
              <w:rPr>
                <w:rFonts w:ascii="Arial" w:cs="Arial" w:eastAsia="Arial" w:hAnsi="Arial"/>
                <w:sz w:val="20"/>
                <w:szCs w:val="20"/>
              </w:rPr>
              <w:t xml:space="preserve">The enforcement architecture series (UNIFIED-01, CTF-01, CPF-02, ARCH-03) constitutes the highest-specificity legal-operational content in the WP-2026 corpus outside the SENI targeting register. The six-part mechanism format — authority, threshold showing, procedural path, evidentiary basis, principal legal risks, operational effect — discloses the precise enforcement logic a practitioner would follow, including the specific evidentiary gaps and litigation vulnerabilities that constrain each proposed action. This is analytically useful to adversaries seeking to structure evasion around identified enforcement constraints.</w:t>
            </w:r>
          </w:p>
          <w:p>
            <w:pPr>
              <w:spacing w:after="0"/>
            </w:pPr>
            <w:r>
              <w:rPr>
                <w:rFonts w:ascii="Arial" w:cs="Arial" w:eastAsia="Arial" w:hAnsi="Arial"/>
                <w:i/>
                <w:iCs/>
                <w:color w:val="4A5568"/>
                <w:sz w:val="18"/>
                <w:szCs w:val="18"/>
              </w:rPr>
              <w:t xml:space="preserve">Basis: Document content analysis. The enforcement papers disclose enforcement logic and constraints at a level of specificity approaching internal enforcement concept papers.</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HIGH CONFIDENCE  ·  Documented</w:t>
            </w:r>
          </w:p>
          <w:p>
            <w:pPr>
              <w:spacing w:after="80" w:line="276"/>
            </w:pPr>
            <w:r>
              <w:rPr>
                <w:rFonts w:ascii="Arial" w:cs="Arial" w:eastAsia="Arial" w:hAnsi="Arial"/>
                <w:sz w:val="20"/>
                <w:szCs w:val="20"/>
              </w:rPr>
              <w:t xml:space="preserve">The legal exposure of all seven documents is assessed as very low — identical to the WP-2026-CI-Assessment v3.0 determination. All content is derived from publicly available statutory text, published government assessments, open-source enforcement precedent, and publicly available energy and cybersecurity data. No National Defense Information element is satisfied. First Amendment protections apply at the highest level for policy commentary on matters of public concern.</w:t>
            </w:r>
          </w:p>
          <w:p>
            <w:pPr>
              <w:spacing w:after="0"/>
            </w:pPr>
            <w:r>
              <w:rPr>
                <w:rFonts w:ascii="Arial" w:cs="Arial" w:eastAsia="Arial" w:hAnsi="Arial"/>
                <w:i/>
                <w:iCs/>
                <w:color w:val="4A5568"/>
                <w:sz w:val="18"/>
                <w:szCs w:val="18"/>
              </w:rPr>
              <w:t xml:space="preserve">Basis: Tier 1 legal analysis consistent with CI-Assessment v3.0. No statute identified as applicable.</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Analytically Inferred</w:t>
            </w:r>
          </w:p>
          <w:p>
            <w:pPr>
              <w:spacing w:after="80" w:line="276"/>
            </w:pPr>
            <w:r>
              <w:rPr>
                <w:rFonts w:ascii="Arial" w:cs="Arial" w:eastAsia="Arial" w:hAnsi="Arial"/>
                <w:sz w:val="20"/>
                <w:szCs w:val="20"/>
              </w:rPr>
              <w:t xml:space="preserve">The Principal Legal Risks sections in CTF-01, CPF-02, and ARCH-03 constitute the most CI-significant content category in the enforcement suite. These sections explicitly identify APA vulnerabilities, overbreadth arguments, record insufficiency conditions, jurisdictional nexus weaknesses, and evidentiary admissibility challenges for each proposed enforcement mechanism — providing adversary legal counsel with a pre-built defensive litigation map.</w:t>
            </w:r>
          </w:p>
          <w:p>
            <w:pPr>
              <w:spacing w:after="0"/>
            </w:pPr>
            <w:r>
              <w:rPr>
                <w:rFonts w:ascii="Arial" w:cs="Arial" w:eastAsia="Arial" w:hAnsi="Arial"/>
                <w:i/>
                <w:iCs/>
                <w:color w:val="4A5568"/>
                <w:sz w:val="18"/>
                <w:szCs w:val="18"/>
              </w:rPr>
              <w:t xml:space="preserve">Basis: Document content analysis. Adversary utility of defensive litigation information is analytically inferred from standard adversary legal preparation practices.</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Analytically Inferred</w:t>
            </w:r>
          </w:p>
          <w:p>
            <w:pPr>
              <w:spacing w:after="80" w:line="276"/>
            </w:pPr>
            <w:r>
              <w:rPr>
                <w:rFonts w:ascii="Arial" w:cs="Arial" w:eastAsia="Arial" w:hAnsi="Arial"/>
                <w:sz w:val="20"/>
                <w:szCs w:val="20"/>
              </w:rPr>
              <w:t xml:space="preserve">NUC-01, CYBER-01, and STRAT-NSCC-01 present lower CI exposure than the enforcement suite. These documents analyze publicly reported U.S. infrastructure constraints, policy gaps, and PRC defense-industrial indicators using exclusively Tier 1/2 public sources. Adversary utility is limited to confirmation of publicly available assessments rather than novel disclosure. The principal CI exposure is the aggregation of constraint analysis into actionable assessments — the papers identify specific bottlenecks (HALEU supply chain, CISA staffing gaps, transmission interconnection queues) and enforcement calibration actions that an adversary could use to calibrate infrastructure targeting, influence operations, or enforcement evasion strategies. STRAT-NSCC-01 presents a distinct exposure profile: its enforcement recommendations, if adopted, would directly affect PRC procurement network operations, and its source reliability appendix explicitly discloses the evidentiary ceiling of the analysis.</w:t>
            </w:r>
          </w:p>
          <w:p>
            <w:pPr>
              <w:spacing w:after="0"/>
            </w:pPr>
            <w:r>
              <w:rPr>
                <w:rFonts w:ascii="Arial" w:cs="Arial" w:eastAsia="Arial" w:hAnsi="Arial"/>
                <w:i/>
                <w:iCs/>
                <w:color w:val="4A5568"/>
                <w:sz w:val="18"/>
                <w:szCs w:val="18"/>
              </w:rPr>
              <w:t xml:space="preserve">Basis: Document content analysis. All underlying data publicly available from EIA, DOE, NRC, NERC, CISA, and GAO reporting.</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Analytically Inferred</w:t>
            </w:r>
          </w:p>
          <w:p>
            <w:pPr>
              <w:spacing w:after="80" w:line="276"/>
            </w:pPr>
            <w:r>
              <w:rPr>
                <w:rFonts w:ascii="Arial" w:cs="Arial" w:eastAsia="Arial" w:hAnsi="Arial"/>
                <w:sz w:val="20"/>
                <w:szCs w:val="20"/>
              </w:rPr>
              <w:t xml:space="preserve">The Scope Limitations and Explicit Non-Claims sections, while methodologically correct, also function as an adversary confidence calibration tool: they explicitly disclose what the author does not know (no SAR access, no classified sources, no field-validated network topology, scenario-based estimates only). An adversary analyst reading these sections can immediately assess the evidentiary ceiling of the entire enforcement architecture and identify which analytical claims rest on the thinnest empirical foundation.</w:t>
            </w:r>
          </w:p>
          <w:p>
            <w:pPr>
              <w:spacing w:after="0"/>
            </w:pPr>
            <w:r>
              <w:rPr>
                <w:rFonts w:ascii="Arial" w:cs="Arial" w:eastAsia="Arial" w:hAnsi="Arial"/>
                <w:i/>
                <w:iCs/>
                <w:color w:val="4A5568"/>
                <w:sz w:val="18"/>
                <w:szCs w:val="18"/>
              </w:rPr>
              <w:t xml:space="preserve">Basis: Document content analysis. Analogous to MAP-CI-01 KJ5 (commit history as confidence map). The scope limitations perform an equivalent function at the document level. Note on reflexivity: this CI assessment’s own exposure rankings (identifying litigation vulnerability maps as the highest-value content category) themselves constitute a prioritization guide for adversary collection within the enforcement suite. This reflexivity is inherent to any CI self-assessment and cannot be fully resolved; acknowledging it demonstrates awareness of the meta-level exposure.</w:t>
            </w:r>
          </w:p>
        </w:tc>
      </w:tr>
    </w:tbl>
    <w:p>
      <w:pPr>
        <w:spacing w:after="12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B2A4A"/>
          <w:sz w:val="30"/>
          <w:szCs w:val="30"/>
        </w:rPr>
        <w:t xml:space="preserve">Part I — Document-Level Exposure Profiles</w:t>
      </w:r>
    </w:p>
    <w:p>
      <w:pPr>
        <w:pStyle w:val="Heading2"/>
        <w:spacing w:after="160" w:before="280"/>
      </w:pPr>
      <w:r>
        <w:rPr>
          <w:rFonts w:ascii="Arial" w:cs="Arial" w:eastAsia="Arial" w:hAnsi="Arial"/>
          <w:b/>
          <w:bCs/>
          <w:color w:val="1B2A4A"/>
          <w:sz w:val="24"/>
          <w:szCs w:val="24"/>
        </w:rPr>
        <w:t xml:space="preserve">1.1 Enforcement Architecture Suite (UNIFIED-01, CTF-01, CPF-02, ARCH-03)</w:t>
      </w:r>
    </w:p>
    <w:p>
      <w:pPr>
        <w:spacing w:after="120" w:before="200"/>
      </w:pPr>
      <w:r>
        <w:rPr>
          <w:rFonts w:ascii="Arial" w:cs="Arial" w:eastAsia="Arial" w:hAnsi="Arial"/>
          <w:b/>
          <w:bCs/>
          <w:color w:val="4A5568"/>
          <w:sz w:val="22"/>
          <w:szCs w:val="22"/>
        </w:rPr>
        <w:t xml:space="preserve">Exposure Dimension 1: Enforcement Logic Disclosure</w:t>
      </w:r>
    </w:p>
    <w:p>
      <w:pPr>
        <w:spacing w:after="120" w:line="276"/>
      </w:pPr>
      <w:r>
        <w:rPr>
          <w:rFonts w:ascii="Arial" w:cs="Arial" w:eastAsia="Arial" w:hAnsi="Arial"/>
          <w:sz w:val="22"/>
          <w:szCs w:val="22"/>
        </w:rPr>
        <w:t xml:space="preserve">The six-part mechanism format discloses the complete enforcement decision architecture for each proposed action: what statute authorizes it, what facts must be established, what procedural steps are required, what evidence currently exists, what legal challenges are anticipated, and what operational effect is projected. This level of specificity exceeds typical policy analysis — it approaches the level of an internal designation support memo or enforcement concept paper.</w:t>
      </w:r>
    </w:p>
    <w:p>
      <w:pPr>
        <w:spacing w:after="120" w:line="276"/>
      </w:pPr>
      <w:r>
        <w:rPr>
          <w:rFonts w:ascii="Arial" w:cs="Arial" w:eastAsia="Arial" w:hAnsi="Arial"/>
          <w:sz w:val="22"/>
          <w:szCs w:val="22"/>
        </w:rPr>
        <w:t xml:space="preserve">CI significance: An adversary reading the enforcement architecture receives a complete map of the enforcement pathways available to U.S. authorities and the specific constraints on each. The discretion node boxes explicitly identify which agency has decision authority at each step. The evidentiary basis sections explicitly identify what facts are established, what facts are inferred, and what facts require development — disclosing the precise evidentiary gaps that would need to be filled before enforcement action.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ADVERSARY UTILITY: </w:t>
      </w:r>
      <w:r>
        <w:rPr>
          <w:rFonts w:ascii="Arial" w:cs="Arial" w:eastAsia="Arial" w:hAnsi="Arial"/>
          <w:sz w:val="20"/>
          <w:szCs w:val="20"/>
        </w:rPr>
        <w:t xml:space="preserve">Moderate-High. The enforcement logic disclosure enables adversary legal teams to prepare defensive strategies before any designation or enforcement action is initiated. The litigation risk sections function as a pre-built defense brief. However, the enforcement mechanisms themselves operate through structural legal authority and institutional capacity, not information asymmetry — knowing the enforcement logic does not transfer the designation authority required to execute it.</w:t>
      </w:r>
    </w:p>
    <w:p>
      <w:pPr>
        <w:spacing w:after="120" w:before="200"/>
      </w:pPr>
      <w:r>
        <w:rPr>
          <w:rFonts w:ascii="Arial" w:cs="Arial" w:eastAsia="Arial" w:hAnsi="Arial"/>
          <w:b/>
          <w:bCs/>
          <w:color w:val="4A5568"/>
          <w:sz w:val="22"/>
          <w:szCs w:val="22"/>
        </w:rPr>
        <w:t xml:space="preserve">Exposure Dimension 2: Evidentiary Gap Disclosure</w:t>
      </w:r>
    </w:p>
    <w:p>
      <w:pPr>
        <w:spacing w:after="120" w:line="276"/>
      </w:pPr>
      <w:r>
        <w:rPr>
          <w:rFonts w:ascii="Arial" w:cs="Arial" w:eastAsia="Arial" w:hAnsi="Arial"/>
          <w:sz w:val="22"/>
          <w:szCs w:val="22"/>
        </w:rPr>
        <w:t xml:space="preserve">The “Not Established” subsections in the Analytic Distinctions framework and the Key Unknowns sections explicitly identify what the author does not know and what evidence is unavailable in the public record. Specific disclosures include:</w:t>
      </w:r>
    </w:p>
    <w:p>
      <w:pPr>
        <w:pStyle w:val="ListParagraph"/>
        <w:numPr>
          <w:ilvl w:val="0"/>
          <w:numId w:val="2"/>
        </w:numPr>
        <w:spacing w:after="80" w:line="276"/>
      </w:pPr>
      <w:r>
        <w:rPr>
          <w:rFonts w:ascii="Arial" w:cs="Arial" w:eastAsia="Arial" w:hAnsi="Arial"/>
          <w:sz w:val="22"/>
          <w:szCs w:val="22"/>
        </w:rPr>
        <w:t xml:space="preserve">Cartel financial network reconstitution timelines not established (ARCH-03)</w:t>
      </w:r>
    </w:p>
    <w:p>
      <w:pPr>
        <w:pStyle w:val="ListParagraph"/>
        <w:numPr>
          <w:ilvl w:val="0"/>
          <w:numId w:val="2"/>
        </w:numPr>
        <w:spacing w:after="80" w:line="276"/>
      </w:pPr>
      <w:r>
        <w:rPr>
          <w:rFonts w:ascii="Arial" w:cs="Arial" w:eastAsia="Arial" w:hAnsi="Arial"/>
          <w:sz w:val="22"/>
          <w:szCs w:val="22"/>
        </w:rPr>
        <w:t xml:space="preserve">PRC enforcement cooperation thresholds not characterized (ARCH-03, CPF-02)</w:t>
      </w:r>
    </w:p>
    <w:p>
      <w:pPr>
        <w:pStyle w:val="ListParagraph"/>
        <w:numPr>
          <w:ilvl w:val="0"/>
          <w:numId w:val="2"/>
        </w:numPr>
        <w:spacing w:after="80" w:line="276"/>
      </w:pPr>
      <w:r>
        <w:rPr>
          <w:rFonts w:ascii="Arial" w:cs="Arial" w:eastAsia="Arial" w:hAnsi="Arial"/>
          <w:sz w:val="22"/>
          <w:szCs w:val="22"/>
        </w:rPr>
        <w:t xml:space="preserve">Hawala class designation judicial durability untested (CTF-01)</w:t>
      </w:r>
    </w:p>
    <w:p>
      <w:pPr>
        <w:pStyle w:val="ListParagraph"/>
        <w:numPr>
          <w:ilvl w:val="0"/>
          <w:numId w:val="2"/>
        </w:numPr>
        <w:spacing w:after="80" w:line="276"/>
      </w:pPr>
      <w:r>
        <w:rPr>
          <w:rFonts w:ascii="Arial" w:cs="Arial" w:eastAsia="Arial" w:hAnsi="Arial"/>
          <w:sz w:val="22"/>
          <w:szCs w:val="22"/>
        </w:rPr>
        <w:t xml:space="preserve">Registry-level E.O. 13382 designation unprecedented (CPF-02)</w:t>
      </w:r>
    </w:p>
    <w:p>
      <w:pPr>
        <w:pStyle w:val="ListParagraph"/>
        <w:numPr>
          <w:ilvl w:val="0"/>
          <w:numId w:val="2"/>
        </w:numPr>
        <w:spacing w:after="80" w:line="276"/>
      </w:pPr>
      <w:r>
        <w:rPr>
          <w:rFonts w:ascii="Arial" w:cs="Arial" w:eastAsia="Arial" w:hAnsi="Arial"/>
          <w:sz w:val="22"/>
          <w:szCs w:val="22"/>
        </w:rPr>
        <w:t xml:space="preserve">Whistleblower effectiveness in PRC/Middle Eastern contexts not established (all four)</w:t>
      </w:r>
    </w:p>
    <w:p>
      <w:pPr>
        <w:pStyle w:val="ListParagraph"/>
        <w:numPr>
          <w:ilvl w:val="0"/>
          <w:numId w:val="2"/>
        </w:numPr>
        <w:spacing w:after="80" w:line="276"/>
      </w:pPr>
      <w:r>
        <w:rPr>
          <w:rFonts w:ascii="Arial" w:cs="Arial" w:eastAsia="Arial" w:hAnsi="Arial"/>
          <w:sz w:val="22"/>
          <w:szCs w:val="22"/>
        </w:rPr>
        <w:t xml:space="preserve">Cross-domain enforcement multiplier effect unquantified (UNIFIED-01)</w:t>
      </w:r>
    </w:p>
    <w:p>
      <w:pPr>
        <w:spacing w:after="120" w:line="276"/>
      </w:pPr>
      <w:r>
        <w:rPr>
          <w:rFonts w:ascii="Arial" w:cs="Arial" w:eastAsia="Arial" w:hAnsi="Arial"/>
          <w:sz w:val="22"/>
          <w:szCs w:val="22"/>
        </w:rPr>
        <w:t xml:space="preserve">CI significance: These disclosures are methodologically correct and required by ODNI analytic standards. They also function as an adversary gap map — an adversary reading the Key Unknowns sections can identify precisely where the enforcement architecture rests on inference rather than evidence, and calibrate evasion strategies accordingly.</w:t>
      </w:r>
    </w:p>
    <w:p>
      <w:pPr>
        <w:spacing w:after="120" w:before="200"/>
      </w:pPr>
      <w:r>
        <w:rPr>
          <w:rFonts w:ascii="Arial" w:cs="Arial" w:eastAsia="Arial" w:hAnsi="Arial"/>
          <w:b/>
          <w:bCs/>
          <w:color w:val="4A5568"/>
          <w:sz w:val="22"/>
          <w:szCs w:val="22"/>
        </w:rPr>
        <w:t xml:space="preserve">Exposure Dimension 3: Litigation Vulnerability Map</w:t>
      </w:r>
    </w:p>
    <w:p>
      <w:pPr>
        <w:spacing w:after="120" w:line="276"/>
      </w:pPr>
      <w:r>
        <w:rPr>
          <w:rFonts w:ascii="Arial" w:cs="Arial" w:eastAsia="Arial" w:hAnsi="Arial"/>
          <w:sz w:val="22"/>
          <w:szCs w:val="22"/>
        </w:rPr>
        <w:t xml:space="preserve">The Principal Legal Risks sections across all four enforcement documents identify:</w:t>
      </w:r>
    </w:p>
    <w:p>
      <w:pPr>
        <w:pStyle w:val="ListParagraph"/>
        <w:numPr>
          <w:ilvl w:val="0"/>
          <w:numId w:val="3"/>
        </w:numPr>
        <w:spacing w:after="80" w:line="276"/>
      </w:pPr>
      <w:r>
        <w:rPr>
          <w:rFonts w:ascii="Arial" w:cs="Arial" w:eastAsia="Arial" w:hAnsi="Arial"/>
          <w:sz w:val="22"/>
          <w:szCs w:val="22"/>
        </w:rPr>
        <w:t xml:space="preserve">APA arbitrary-and-capricious challenge vectors for Section 311 designations</w:t>
      </w:r>
    </w:p>
    <w:p>
      <w:pPr>
        <w:pStyle w:val="ListParagraph"/>
        <w:numPr>
          <w:ilvl w:val="0"/>
          <w:numId w:val="3"/>
        </w:numPr>
        <w:spacing w:after="80" w:line="276"/>
      </w:pPr>
      <w:r>
        <w:rPr>
          <w:rFonts w:ascii="Arial" w:cs="Arial" w:eastAsia="Arial" w:hAnsi="Arial"/>
          <w:sz w:val="22"/>
          <w:szCs w:val="22"/>
        </w:rPr>
        <w:t xml:space="preserve">Overbreadth and proportionality arguments for class-based and corridor-wide designations</w:t>
      </w:r>
    </w:p>
    <w:p>
      <w:pPr>
        <w:pStyle w:val="ListParagraph"/>
        <w:numPr>
          <w:ilvl w:val="0"/>
          <w:numId w:val="3"/>
        </w:numPr>
        <w:spacing w:after="80" w:line="276"/>
      </w:pPr>
      <w:r>
        <w:rPr>
          <w:rFonts w:ascii="Arial" w:cs="Arial" w:eastAsia="Arial" w:hAnsi="Arial"/>
          <w:sz w:val="22"/>
          <w:szCs w:val="22"/>
        </w:rPr>
        <w:t xml:space="preserve">First-impression statutory interpretation risk for novel legal theories (§ 5318A(a)(4)(A), registry-level E.O. 13382)</w:t>
      </w:r>
    </w:p>
    <w:p>
      <w:pPr>
        <w:pStyle w:val="ListParagraph"/>
        <w:numPr>
          <w:ilvl w:val="0"/>
          <w:numId w:val="3"/>
        </w:numPr>
        <w:spacing w:after="80" w:line="276"/>
      </w:pPr>
      <w:r>
        <w:rPr>
          <w:rFonts w:ascii="Arial" w:cs="Arial" w:eastAsia="Arial" w:hAnsi="Arial"/>
          <w:sz w:val="22"/>
          <w:szCs w:val="22"/>
        </w:rPr>
        <w:t xml:space="preserve">Scienter and knowledge-element challenges for § 2339B material support prosecutions</w:t>
      </w:r>
    </w:p>
    <w:p>
      <w:pPr>
        <w:pStyle w:val="ListParagraph"/>
        <w:numPr>
          <w:ilvl w:val="0"/>
          <w:numId w:val="3"/>
        </w:numPr>
        <w:spacing w:after="80" w:line="276"/>
      </w:pPr>
      <w:r>
        <w:rPr>
          <w:rFonts w:ascii="Arial" w:cs="Arial" w:eastAsia="Arial" w:hAnsi="Arial"/>
          <w:sz w:val="22"/>
          <w:szCs w:val="22"/>
        </w:rPr>
        <w:t xml:space="preserve">Daubert challenges to blockchain forensic evidence admissibility</w:t>
      </w:r>
    </w:p>
    <w:p>
      <w:pPr>
        <w:pStyle w:val="ListParagraph"/>
        <w:numPr>
          <w:ilvl w:val="0"/>
          <w:numId w:val="3"/>
        </w:numPr>
        <w:spacing w:after="80" w:line="276"/>
      </w:pPr>
      <w:r>
        <w:rPr>
          <w:rFonts w:ascii="Arial" w:cs="Arial" w:eastAsia="Arial" w:hAnsi="Arial"/>
          <w:sz w:val="22"/>
          <w:szCs w:val="22"/>
        </w:rPr>
        <w:t xml:space="preserve">FSIA sovereign immunity defenses for PRC state-owned banks</w:t>
      </w:r>
    </w:p>
    <w:p>
      <w:pPr>
        <w:pStyle w:val="ListParagraph"/>
        <w:numPr>
          <w:ilvl w:val="0"/>
          <w:numId w:val="3"/>
        </w:numPr>
        <w:spacing w:after="80" w:line="276"/>
      </w:pPr>
      <w:r>
        <w:rPr>
          <w:rFonts w:ascii="Arial" w:cs="Arial" w:eastAsia="Arial" w:hAnsi="Arial"/>
          <w:sz w:val="22"/>
          <w:szCs w:val="22"/>
        </w:rPr>
        <w:t xml:space="preserve">Foreign sovereign conflict-of-law defenses (PRC anti-sanctions legislation)</w:t>
      </w:r>
    </w:p>
    <w:p>
      <w:pPr>
        <w:spacing w:after="120" w:line="276"/>
      </w:pPr>
      <w:r>
        <w:rPr>
          <w:rFonts w:ascii="Arial" w:cs="Arial" w:eastAsia="Arial" w:hAnsi="Arial"/>
          <w:sz w:val="22"/>
          <w:szCs w:val="22"/>
        </w:rPr>
        <w:t xml:space="preserve">CI significance: This is the highest-specificity CI exposure category in the enforcement suite. The litigation risks are identified with sufficient precision that adversary legal counsel could use them as a defensive preparation checklist. The mitigation is that these vulnerabilities are inherent to the enforcement mechanisms and would be identified by competent defense counsel regardless of whether this paper existed.</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DOCUMENTED STRUCTURAL CONSTRAINT: </w:t>
      </w:r>
      <w:r>
        <w:rPr>
          <w:rFonts w:ascii="Arial" w:cs="Arial" w:eastAsia="Arial" w:hAnsi="Arial"/>
          <w:sz w:val="20"/>
          <w:szCs w:val="20"/>
        </w:rPr>
        <w:t xml:space="preserve">The litigation vulnerabilities disclosed in the enforcement papers are inherent to the proposed mechanisms and would be identified by adversary legal counsel through independent statutory analysis. The CI exposure is acceleration of adversary defensive preparation, not disclosure of otherwise unknown vulnerabilities. The enforcement mechanisms are designed to operate through structural legal authority, not information asymmetry.</w:t>
      </w:r>
    </w:p>
    <w:p>
      <w:pPr>
        <w:spacing w:after="120" w:before="200"/>
      </w:pPr>
      <w:r>
        <w:rPr>
          <w:rFonts w:ascii="Arial" w:cs="Arial" w:eastAsia="Arial" w:hAnsi="Arial"/>
          <w:b/>
          <w:bCs/>
          <w:color w:val="4A5568"/>
          <w:sz w:val="22"/>
          <w:szCs w:val="22"/>
        </w:rPr>
        <w:t xml:space="preserve">Exposure Dimension 4: Institutional Capacity Constraints</w:t>
      </w:r>
    </w:p>
    <w:p>
      <w:pPr>
        <w:spacing w:after="120" w:line="276"/>
      </w:pPr>
      <w:r>
        <w:rPr>
          <w:rFonts w:ascii="Arial" w:cs="Arial" w:eastAsia="Arial" w:hAnsi="Arial"/>
          <w:sz w:val="22"/>
          <w:szCs w:val="22"/>
        </w:rPr>
        <w:t xml:space="preserve">UNIFIED-01’s Implementation Friction analysis explicitly identifies institutional throughput as the binding constraint on the enforcement architecture. Specific disclosures: Treasury OGC throughput limited to 3–5 simultaneous designation packages; record contamination risk across domains; classification management challenges for mixed-source administrative records; interagency deconfliction requirements.</w:t>
      </w:r>
    </w:p>
    <w:p>
      <w:pPr>
        <w:spacing w:after="120" w:line="276"/>
      </w:pPr>
      <w:r>
        <w:rPr>
          <w:rFonts w:ascii="Arial" w:cs="Arial" w:eastAsia="Arial" w:hAnsi="Arial"/>
          <w:sz w:val="22"/>
          <w:szCs w:val="22"/>
        </w:rPr>
        <w:t xml:space="preserve">CI significance: An adversary reading the friction analysis can estimate the maximum enforcement tempo the U.S. government can sustain and identify which institutional bottlenecks constrain escalation speed. This is useful for calibrating evasion tempo — if the adversary knows the maximum designation throughput, it can estimate how quickly it needs to reconstitute disrupted nodes.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ADVERSARY UTILITY: </w:t>
      </w:r>
      <w:r>
        <w:rPr>
          <w:rFonts w:ascii="Arial" w:cs="Arial" w:eastAsia="Arial" w:hAnsi="Arial"/>
          <w:sz w:val="20"/>
          <w:szCs w:val="20"/>
        </w:rPr>
        <w:t xml:space="preserve">Moderate. Institutional capacity constraints are partially observable from public enforcement records (OFAC designation frequency, DOJ prosecution timelines). The friction analysis aggregates and synthesizes these observations into a single throughput estimate, accelerating adversary understanding but not disclosing non-public capacity data.</w:t>
      </w:r>
    </w:p>
    <w:p>
      <w:pPr>
        <w:spacing w:after="120" w:before="200"/>
      </w:pPr>
      <w:r>
        <w:rPr>
          <w:rFonts w:ascii="Arial" w:cs="Arial" w:eastAsia="Arial" w:hAnsi="Arial"/>
          <w:b/>
          <w:bCs/>
          <w:color w:val="4A5568"/>
          <w:sz w:val="22"/>
          <w:szCs w:val="22"/>
        </w:rPr>
        <w:t xml:space="preserve">Exposure Dimension 5: GitHub Hosting and Indexing</w:t>
      </w:r>
    </w:p>
    <w:p>
      <w:pPr>
        <w:spacing w:after="120" w:line="276"/>
      </w:pPr>
      <w:r>
        <w:rPr>
          <w:rFonts w:ascii="Arial" w:cs="Arial" w:eastAsia="Arial" w:hAnsi="Arial"/>
          <w:sz w:val="22"/>
          <w:szCs w:val="22"/>
        </w:rPr>
        <w:t xml:space="preserve">The enforcement suite DOCX and PDF files are hosted on GitHub at github.com/collingeorge/WP-2026 and indexed by search engines. Commit history documents the revision sequence — the progression from initial February 2026 drafts through ODNI tradecraft calibration, JD case-handler grade rebuild, and production brief implementation is visible in the commit record.</w:t>
      </w:r>
    </w:p>
    <w:p>
      <w:pPr>
        <w:spacing w:after="120" w:line="276"/>
      </w:pPr>
      <w:r>
        <w:rPr>
          <w:rFonts w:ascii="Arial" w:cs="Arial" w:eastAsia="Arial" w:hAnsi="Arial"/>
          <w:sz w:val="22"/>
          <w:szCs w:val="22"/>
        </w:rPr>
        <w:t xml:space="preserve">CI significance: The commit history for the enforcement suite is more CI-significant than for most other series documents because it discloses the analytical maturation process: an adversary reading the commit sequence can observe the document evolving from policy analysis to JD-grade enforcement architecture, and can infer which legal theories received the most iterative review (hawala class designation, maritime de-flagging) versus which were accepted with less revision.</w:t>
      </w:r>
    </w:p>
    <w:p>
      <w:pPr>
        <w:pStyle w:val="Heading2"/>
        <w:spacing w:after="160" w:before="280"/>
      </w:pPr>
      <w:r>
        <w:rPr>
          <w:rFonts w:ascii="Arial" w:cs="Arial" w:eastAsia="Arial" w:hAnsi="Arial"/>
          <w:b/>
          <w:bCs/>
          <w:color w:val="1B2A4A"/>
          <w:sz w:val="24"/>
          <w:szCs w:val="24"/>
        </w:rPr>
        <w:t xml:space="preserve">1.2 NUC-01 (U.S. Nuclear Capacity Expansion and Grid Modernization)</w:t>
      </w:r>
    </w:p>
    <w:p>
      <w:pPr>
        <w:spacing w:after="120" w:line="276"/>
      </w:pPr>
      <w:r>
        <w:rPr>
          <w:rFonts w:ascii="Arial" w:cs="Arial" w:eastAsia="Arial" w:hAnsi="Arial"/>
          <w:sz w:val="22"/>
          <w:szCs w:val="22"/>
        </w:rPr>
        <w:t xml:space="preserve">CI exposure profile: Low-Moderate.</w:t>
      </w:r>
    </w:p>
    <w:p>
      <w:pPr>
        <w:pStyle w:val="ListParagraph"/>
        <w:numPr>
          <w:ilvl w:val="0"/>
          <w:numId w:val="4"/>
        </w:numPr>
        <w:spacing w:after="80" w:line="276"/>
      </w:pPr>
      <w:r>
        <w:rPr>
          <w:rFonts w:ascii="Arial" w:cs="Arial" w:eastAsia="Arial" w:hAnsi="Arial"/>
          <w:sz w:val="22"/>
          <w:szCs w:val="22"/>
        </w:rPr>
        <w:t xml:space="preserve">All data derived from EIA, DOE, NRC, NERC, FERC, and published industry assessments [Tier 1].</w:t>
      </w:r>
    </w:p>
    <w:p>
      <w:pPr>
        <w:spacing w:after="120" w:line="276"/>
      </w:pPr>
      <w:r>
        <w:rPr>
          <w:rFonts w:ascii="Arial" w:cs="Arial" w:eastAsia="Arial" w:hAnsi="Arial"/>
          <w:sz w:val="18"/>
          <w:szCs w:val="18"/>
          <w:color w:val="4A5568"/>
          <w:i/>
          <w:iCs/>
        </w:rPr>
        <w:t xml:space="preserve">Tier 1 = Primary government source, official reporting, or enacted statutory authority. Tier 2 = Analytically inferred from corroborated reporting, private-sector data, or scenario-based assessment.</w:t>
      </w:r>
    </w:p>
    <w:p>
      <w:pPr>
        <w:pStyle w:val="ListParagraph"/>
        <w:numPr>
          <w:ilvl w:val="0"/>
          <w:numId w:val="4"/>
        </w:numPr>
        <w:spacing w:after="80" w:line="276"/>
      </w:pPr>
      <w:r>
        <w:rPr>
          <w:rFonts w:ascii="Arial" w:cs="Arial" w:eastAsia="Arial" w:hAnsi="Arial"/>
          <w:sz w:val="22"/>
          <w:szCs w:val="22"/>
        </w:rPr>
        <w:t xml:space="preserve">HALEU supply chain constraint analysis (∼23x shortfall) is publicly reported by DOE and industry sources.</w:t>
      </w:r>
    </w:p>
    <w:p>
      <w:pPr>
        <w:pStyle w:val="ListParagraph"/>
        <w:numPr>
          <w:ilvl w:val="0"/>
          <w:numId w:val="4"/>
        </w:numPr>
        <w:spacing w:after="80" w:line="276"/>
      </w:pPr>
      <w:r>
        <w:rPr>
          <w:rFonts w:ascii="Arial" w:cs="Arial" w:eastAsia="Arial" w:hAnsi="Arial"/>
          <w:sz w:val="22"/>
          <w:szCs w:val="22"/>
        </w:rPr>
        <w:t xml:space="preserve">Adversary utility: confirmation and aggregation of publicly available U.S. energy infrastructure vulnerabilities. The paper identifies specific bottlenecks (HALEU enrichment capacity, transmission interconnection queue, PJM capacity auction shortfalls) that could inform adversary infrastructure targeting or influence operations calibrated to exploit grid reliability anxieties.</w:t>
      </w:r>
    </w:p>
    <w:p>
      <w:pPr>
        <w:pStyle w:val="ListParagraph"/>
        <w:numPr>
          <w:ilvl w:val="0"/>
          <w:numId w:val="4"/>
        </w:numPr>
        <w:spacing w:after="80" w:line="276"/>
      </w:pPr>
      <w:r>
        <w:rPr>
          <w:rFonts w:ascii="Arial" w:cs="Arial" w:eastAsia="Arial" w:hAnsi="Arial"/>
          <w:sz w:val="22"/>
          <w:szCs w:val="22"/>
        </w:rPr>
        <w:t xml:space="preserve">No non-public facility data, operational parameters, or classified vulnerability assessments disclosed.</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ADVERSARY UTILITY: </w:t>
      </w:r>
      <w:r>
        <w:rPr>
          <w:rFonts w:ascii="Arial" w:cs="Arial" w:eastAsia="Arial" w:hAnsi="Arial"/>
          <w:sz w:val="20"/>
          <w:szCs w:val="20"/>
        </w:rPr>
        <w:t xml:space="preserve">Low. Aggregation value only. Underlying data independently available from DOE, EIA, NRC, and NERC public reporting.</w:t>
      </w:r>
    </w:p>
    <w:p>
      <w:pPr>
        <w:pStyle w:val="Heading2"/>
        <w:spacing w:after="160" w:before="280"/>
      </w:pPr>
      <w:r>
        <w:rPr>
          <w:rFonts w:ascii="Arial" w:cs="Arial" w:eastAsia="Arial" w:hAnsi="Arial"/>
          <w:b/>
          <w:bCs/>
          <w:color w:val="1B2A4A"/>
          <w:sz w:val="24"/>
          <w:szCs w:val="24"/>
        </w:rPr>
        <w:t xml:space="preserve">1.3 CYBER-01 (U.S. Cybersecurity Execution Gap)</w:t>
      </w:r>
    </w:p>
    <w:p>
      <w:pPr>
        <w:spacing w:after="120" w:line="276"/>
      </w:pPr>
      <w:r>
        <w:rPr>
          <w:rFonts w:ascii="Arial" w:cs="Arial" w:eastAsia="Arial" w:hAnsi="Arial"/>
          <w:sz w:val="22"/>
          <w:szCs w:val="22"/>
        </w:rPr>
        <w:t xml:space="preserve">CI exposure profile: Low-Moderate.</w:t>
      </w:r>
    </w:p>
    <w:p>
      <w:pPr>
        <w:pStyle w:val="ListParagraph"/>
        <w:numPr>
          <w:ilvl w:val="0"/>
          <w:numId w:val="5"/>
        </w:numPr>
        <w:spacing w:after="80" w:line="276"/>
      </w:pPr>
      <w:r>
        <w:rPr>
          <w:rFonts w:ascii="Arial" w:cs="Arial" w:eastAsia="Arial" w:hAnsi="Arial"/>
          <w:sz w:val="22"/>
          <w:szCs w:val="22"/>
        </w:rPr>
        <w:t xml:space="preserve">All data derived from CISA, GAO, OMB, NIST, and published cybersecurity assessments [Tier 1].</w:t>
      </w:r>
    </w:p>
    <w:p>
      <w:pPr>
        <w:pStyle w:val="ListParagraph"/>
        <w:numPr>
          <w:ilvl w:val="0"/>
          <w:numId w:val="5"/>
        </w:numPr>
        <w:spacing w:after="80" w:line="276"/>
      </w:pPr>
      <w:r>
        <w:rPr>
          <w:rFonts w:ascii="Arial" w:cs="Arial" w:eastAsia="Arial" w:hAnsi="Arial"/>
          <w:sz w:val="22"/>
          <w:szCs w:val="22"/>
        </w:rPr>
        <w:t xml:space="preserve">CISA staffing gaps, sector-specific risk assessment shortfalls, and critical infrastructure vulnerability concentrations are publicly reported in GAO and CISA reporting.</w:t>
      </w:r>
    </w:p>
    <w:p>
      <w:pPr>
        <w:pStyle w:val="ListParagraph"/>
        <w:numPr>
          <w:ilvl w:val="0"/>
          <w:numId w:val="5"/>
        </w:numPr>
        <w:spacing w:after="80" w:line="276"/>
      </w:pPr>
      <w:r>
        <w:rPr>
          <w:rFonts w:ascii="Arial" w:cs="Arial" w:eastAsia="Arial" w:hAnsi="Arial"/>
          <w:sz w:val="22"/>
          <w:szCs w:val="22"/>
        </w:rPr>
        <w:t xml:space="preserve">Adversary utility: aggregation of U.S. cybersecurity institutional capacity constraints into a single assessment. The paper identifies specific execution gaps (workforce shortfalls, incident response capacity, sector-specific coverage ratios) that could calibrate adversary cyber targeting toward under-defended sectors.</w:t>
      </w:r>
    </w:p>
    <w:p>
      <w:pPr>
        <w:pStyle w:val="ListParagraph"/>
        <w:numPr>
          <w:ilvl w:val="0"/>
          <w:numId w:val="5"/>
        </w:numPr>
        <w:spacing w:after="80" w:line="276"/>
      </w:pPr>
      <w:r>
        <w:rPr>
          <w:rFonts w:ascii="Arial" w:cs="Arial" w:eastAsia="Arial" w:hAnsi="Arial"/>
          <w:sz w:val="22"/>
          <w:szCs w:val="22"/>
        </w:rPr>
        <w:t xml:space="preserve">No non-public vulnerability data, classified threat assessments, or specific defensive capability parameters disclosed.</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ADVERSARY UTILITY: </w:t>
      </w:r>
      <w:r>
        <w:rPr>
          <w:rFonts w:ascii="Arial" w:cs="Arial" w:eastAsia="Arial" w:hAnsi="Arial"/>
          <w:sz w:val="20"/>
          <w:szCs w:val="20"/>
        </w:rPr>
        <w:t xml:space="preserve">Low-Moderate. Marginally higher than NUC-01 because cybersecurity execution gaps have more direct adversary operational utility than energy infrastructure constraint analysis. However, the underlying data is publicly available from CISA and GAO.</w:t>
      </w:r>
    </w:p>
    <w:p>
      <w:pPr>
        <w:pStyle w:val="Heading2"/>
        <w:spacing w:after="160" w:before="280"/>
      </w:pPr>
      <w:r>
        <w:rPr>
          <w:rFonts w:ascii="Arial" w:cs="Arial" w:eastAsia="Arial" w:hAnsi="Arial"/>
          <w:b/>
          <w:bCs/>
          <w:color w:val="1B2A4A"/>
          <w:sz w:val="26"/>
          <w:szCs w:val="26"/>
        </w:rPr>
        <w:t xml:space="preserve">1.4 STRAT-NSCC-01 (Exploitation of PRC Defense-Industrial Intelligence and Calibration of U.S. Enforcement Architecture)</w:t>
      </w:r>
    </w:p>
    <w:p>
      <w:pPr>
        <w:spacing w:after="120" w:line="276"/>
      </w:pPr>
      <w:r>
        <w:rPr>
          <w:rFonts w:ascii="Arial" w:cs="Arial" w:eastAsia="Arial" w:hAnsi="Arial"/>
          <w:sz w:val="22"/>
          <w:szCs w:val="22"/>
        </w:rPr>
        <w:t xml:space="preserve">CI exposure profile: Moderate.</w:t>
      </w:r>
    </w:p>
    <w:p>
      <w:pPr>
        <w:spacing w:after="120" w:line="276"/>
      </w:pPr>
      <w:r>
        <w:rPr>
          <w:rFonts w:ascii="Arial" w:cs="Arial" w:eastAsia="Arial" w:hAnsi="Arial"/>
          <w:sz w:val="22"/>
          <w:szCs w:val="22"/>
        </w:rPr>
        <w:t xml:space="preserve">STRAT-NSCC-01 is an event-driven operational strategy memorandum responding to the publicly reported FlamingChina breach of China’s National Supercomputing Center (NSCC) in Tianjin. It proposes twelve enforcement calibration actions across three Lines of Effort (Financial Intelligence Targeting, Export Control Recalibration, Diplomatic Multilateralization), with all actions mapped to specific U.S. statutory authorities. The document explicitly identifies itself as open-source analysis and includes a Source Reliability and Bibliography appendix (Annex C) that transparently discloses its 20 unique sources and the concentration of its predicate-event reporting tier.</w:t>
      </w:r>
    </w:p>
    <w:p>
      <w:pPr>
        <w:spacing w:after="120" w:line="276"/>
      </w:pPr>
      <w:r>
        <w:rPr>
          <w:rFonts w:ascii="Arial" w:cs="Arial" w:eastAsia="Arial" w:hAnsi="Arial"/>
          <w:b/>
          <w:bCs/>
          <w:sz w:val="22"/>
          <w:szCs w:val="22"/>
        </w:rPr>
        <w:t xml:space="preserve">Exposure Dimension 1: Enforcement Calibration Logic.</w:t>
      </w:r>
      <w:r>
        <w:rPr>
          <w:rFonts w:ascii="Arial" w:cs="Arial" w:eastAsia="Arial" w:hAnsi="Arial"/>
          <w:sz w:val="22"/>
          <w:szCs w:val="22"/>
        </w:rPr>
        <w:t xml:space="preserve"> The memorandum discloses how the U.S. enforcement architecture could be recalibrated in response to a specific intelligence event — including which authorities are immediately executable under existing delegations (11 of 12 actions), which require presidential decision (1 action), and which interagency synchronization gaps create enforcement lag. A PRC adversary reading the decision matrix receives a clear map of the U.S. enforcement response timeline and the distinction between 90-day, 180-day, and 360-day action sets.</w:t>
      </w:r>
    </w:p>
    <w:p>
      <w:pPr>
        <w:spacing w:after="120" w:line="276"/>
      </w:pPr>
      <w:r>
        <w:rPr>
          <w:rFonts w:ascii="Arial" w:cs="Arial" w:eastAsia="Arial" w:hAnsi="Arial"/>
          <w:b/>
          <w:bCs/>
          <w:sz w:val="22"/>
          <w:szCs w:val="22"/>
        </w:rPr>
        <w:t xml:space="preserve">Exposure Dimension 2: Transshipment Node Identification.</w:t>
      </w:r>
      <w:r>
        <w:rPr>
          <w:rFonts w:ascii="Arial" w:cs="Arial" w:eastAsia="Arial" w:hAnsi="Arial"/>
          <w:sz w:val="22"/>
          <w:szCs w:val="22"/>
        </w:rPr>
        <w:t xml:space="preserve"> The memorandum explicitly names Singapore, UAE, and Malaysia as priority transshipment nodes for PRC defense-industrial procurement evasion. While this characterization is based on publicly reported BIS enforcement actions and is not novel, the aggregation into a prioritized enforcement targeting list with specific diplomatic timelines and observable behavioral indicators provides operational structure that an adversary could use to pre-position evasion activity in alternative jurisdictions.</w:t>
      </w:r>
    </w:p>
    <w:p>
      <w:pPr>
        <w:spacing w:after="120" w:line="276"/>
      </w:pPr>
      <w:r>
        <w:rPr>
          <w:rFonts w:ascii="Arial" w:cs="Arial" w:eastAsia="Arial" w:hAnsi="Arial"/>
          <w:b/>
          <w:bCs/>
          <w:sz w:val="22"/>
          <w:szCs w:val="22"/>
        </w:rPr>
        <w:t xml:space="preserve">Exposure Dimension 3: Source Ceiling Transparency.</w:t>
      </w:r>
      <w:r>
        <w:rPr>
          <w:rFonts w:ascii="Arial" w:cs="Arial" w:eastAsia="Arial" w:hAnsi="Arial"/>
          <w:sz w:val="22"/>
          <w:szCs w:val="22"/>
        </w:rPr>
        <w:t xml:space="preserve"> Annex C (Source Reliability and Bibliography) explicitly discloses that the document’s predicate-event reporting tier consists of three news outlets reporting on unverified breach claims, with a single Substack post (NetAskari) providing the only detailed sample interpretation. This transparency is methodologically correct but functions as an adversary confidence calibration tool — analogous to the Scope Limitations exposure identified in KJ-5 of this assessment. An adversary analyst reading Annex C can immediately identify which analytical claims in the memorandum rest on the thinnest evidentiary foundation.</w:t>
      </w:r>
    </w:p>
    <w:p>
      <w:pPr>
        <w:spacing w:after="120" w:line="276"/>
      </w:pPr>
      <w:r>
        <w:rPr>
          <w:rFonts w:ascii="Arial" w:cs="Arial" w:eastAsia="Arial" w:hAnsi="Arial"/>
          <w:b/>
          <w:bCs/>
          <w:sz w:val="22"/>
          <w:szCs w:val="22"/>
        </w:rPr>
        <w:t xml:space="preserve">Exposure Dimension 4: Counterintelligence Risk Self-Assessment.</w:t>
      </w:r>
      <w:r>
        <w:rPr>
          <w:rFonts w:ascii="Arial" w:cs="Arial" w:eastAsia="Arial" w:hAnsi="Arial"/>
          <w:sz w:val="22"/>
          <w:szCs w:val="22"/>
        </w:rPr>
        <w:t xml:space="preserve"> The memorandum includes an internal CI risk section that explicitly identifies the possibility that the NSCC breach data may constitute a controlled leak or deception operation and segregates enforcement calibration actions (justified regardless of breach authenticity) from force posture adaptations (dependent on parameter validity). This is the correct CI methodology. However, the Annex B force posture section — even with its explicit illustrative caveat — partially undermines this segregation by discussing defense simulation scenarios derived from potentially manipulated data. The document acknowledges this tension through its caveat architecture.</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ADVERSARY UTILITY: </w:t>
      </w:r>
      <w:r>
        <w:rPr>
          <w:rFonts w:ascii="Arial" w:cs="Arial" w:eastAsia="Arial" w:hAnsi="Arial"/>
          <w:sz w:val="20"/>
          <w:szCs w:val="20"/>
        </w:rPr>
        <w:t xml:space="preserve">Moderate. Higher than NUC-01 and CYBER-01 because the enforcement calibration logic, transshipment node prioritization, and decision matrix timelines have direct operational relevance to PRC procurement network adaptation. Lower than the enforcement architecture suite because STRAT-NSCC-01 describes enforcement calibration at the policy-recommendation level rather than the mechanism-specific level of CTF-01/CPF-02/ARCH-03. The document’s primary CI mitigant is that its enforcement recommendations operate through structural legal authority and institutional capacity, not information asymmetry — knowing the recommended enforcement recalibration does not transfer the OFAC, BIS, or FinCEN authority required to execute it.</w:t>
      </w:r>
    </w:p>
    <w:p>
      <w:pPr>
        <w:pStyle w:val="Heading1"/>
        <w:spacing w:after="200" w:before="360"/>
      </w:pPr>
      <w:r>
        <w:rPr>
          <w:rFonts w:ascii="Arial" w:cs="Arial" w:eastAsia="Arial" w:hAnsi="Arial"/>
          <w:b/>
          <w:bCs/>
          <w:color w:val="1B2A4A"/>
          <w:sz w:val="30"/>
          <w:szCs w:val="30"/>
        </w:rPr>
        <w:t xml:space="preserve">Part II — Adversary-Specific Utility Assessment</w:t>
      </w:r>
    </w:p>
    <w:p>
      <w:pPr>
        <w:pStyle w:val="Heading2"/>
        <w:spacing w:after="160" w:before="280"/>
      </w:pPr>
      <w:r>
        <w:rPr>
          <w:rFonts w:ascii="Arial" w:cs="Arial" w:eastAsia="Arial" w:hAnsi="Arial"/>
          <w:b/>
          <w:bCs/>
          <w:color w:val="1B2A4A"/>
          <w:sz w:val="24"/>
          <w:szCs w:val="24"/>
        </w:rPr>
        <w:t xml:space="preserve">2.1 Russia — SVR / FSB / GRU OSINT Collection</w:t>
      </w:r>
    </w:p>
    <w:p>
      <w:pPr>
        <w:spacing w:after="120" w:line="276"/>
      </w:pPr>
      <w:r>
        <w:rPr>
          <w:rFonts w:ascii="Arial" w:cs="Arial" w:eastAsia="Arial" w:hAnsi="Arial"/>
          <w:sz w:val="22"/>
          <w:szCs w:val="22"/>
        </w:rPr>
        <w:t xml:space="preserve">Russian adversary utility from the enforcement suite is assessed as moderate and concentrated in CPF-02. The CAATSA/CISADA secondary sanctions framework, maritime de-flagging enforcement mechanism, and semiconductor supply chain chokepoint analysis directly address Russian evasion infrastructure. The Principal Legal Risks sections for maritime de-flagging and secondary sanctions disclose the specific legal vulnerabilities Russia’s legal counsel could exploit (registry sovereignty, proportionality, diplomatic escalation leverage). The NUC-01 HALEU supply chain analysis also identifies Russian leverage points in the U.S. nuclear fuel cycle (Rosatom/TENEX dependence).</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UTILITY: </w:t>
      </w:r>
      <w:r>
        <w:rPr>
          <w:rFonts w:ascii="Arial" w:cs="Arial" w:eastAsia="Arial" w:hAnsi="Arial"/>
          <w:sz w:val="20"/>
          <w:szCs w:val="20"/>
        </w:rPr>
        <w:t xml:space="preserve">Moderate. CPF-02 litigation risks and evasion pathway analysis are the highest-value content. NUC-01 HALEU analysis confirms publicly reported dependence.</w:t>
      </w:r>
    </w:p>
    <w:p>
      <w:pPr>
        <w:pStyle w:val="Heading2"/>
        <w:spacing w:after="160" w:before="280"/>
      </w:pPr>
      <w:r>
        <w:rPr>
          <w:rFonts w:ascii="Arial" w:cs="Arial" w:eastAsia="Arial" w:hAnsi="Arial"/>
          <w:b/>
          <w:bCs/>
          <w:color w:val="1B2A4A"/>
          <w:sz w:val="24"/>
          <w:szCs w:val="24"/>
        </w:rPr>
        <w:t xml:space="preserve">2.2 People’s Republic of China — MSS</w:t>
      </w:r>
    </w:p>
    <w:p>
      <w:pPr>
        <w:spacing w:after="120" w:line="276"/>
      </w:pPr>
      <w:r>
        <w:rPr>
          <w:rFonts w:ascii="Arial" w:cs="Arial" w:eastAsia="Arial" w:hAnsi="Arial"/>
          <w:sz w:val="22"/>
          <w:szCs w:val="22"/>
        </w:rPr>
        <w:t xml:space="preserve">PRC adversary utility is assessed as moderate and concentrated in the enforcement suite’s treatment of PRC-domiciled banks. ARCH-03 and CPF-02 explicitly analyze § 981(k) asset substitution authority against PRC correspondent accounts, FSIA sovereign immunity defenses for PRC state-owned banks, and PRC anti-sanctions legislation as a conflict-of-law defense. The Key Unknowns sections explicitly identify PRC enforcement cooperation thresholds and secondary sanctions absorption capacity as unestablished — disclosing the precise uncertainty boundary the U.S. enforcement architecture cannot resolve from public sources.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UTILITY: </w:t>
      </w:r>
      <w:r>
        <w:rPr>
          <w:rFonts w:ascii="Arial" w:cs="Arial" w:eastAsia="Arial" w:hAnsi="Arial"/>
          <w:sz w:val="20"/>
          <w:szCs w:val="20"/>
        </w:rPr>
        <w:t xml:space="preserve">Moderate-High. The PRC maintains the most sophisticated legal defense infrastructure among assessed adversaries and is the most likely to operationalize the litigation vulnerability map systematically. PRC legal teams preparing for § 981(k) actions against state-owned banks would find the FSIA sovereign immunity analysis, the anti-sanctions legislation defense mapping, and the institutional throughput constraints directly useful for pre-positioning legal defenses. The enforcement suite aggregates and structures analysis that PRC counsel could develop independently, but accelerates and focuses that preparation. STRAT-NSCC-01 adds a distinct PRC-specific exposure layer: the memorandum explicitly identifies enforcement recalibration actions targeting PRC defense-industrial procurement networks, names priority transshipment jurisdictions, and discloses the decision matrix timelines that define the U.S. enforcement response tempo. PRC procurement network operators reading STRAT-NSCC-01 would receive advance notice of the enforcement actions most likely to be pursued and the approximate timelines for implementation, enabling pre-emptive network restructuring. The mitigant is that the recommended actions operate through structural legal authority and would be publicly visible at implementation.</w:t>
      </w:r>
    </w:p>
    <w:p>
      <w:pPr>
        <w:pStyle w:val="Heading2"/>
        <w:spacing w:after="160" w:before="280"/>
      </w:pPr>
      <w:r>
        <w:rPr>
          <w:rFonts w:ascii="Arial" w:cs="Arial" w:eastAsia="Arial" w:hAnsi="Arial"/>
          <w:b/>
          <w:bCs/>
          <w:color w:val="1B2A4A"/>
          <w:sz w:val="24"/>
          <w:szCs w:val="24"/>
        </w:rPr>
        <w:t xml:space="preserve">2.3 Iran — MOIS / IRGC Intelligence</w:t>
      </w:r>
    </w:p>
    <w:p>
      <w:pPr>
        <w:spacing w:after="120" w:line="276"/>
      </w:pPr>
      <w:r>
        <w:rPr>
          <w:rFonts w:ascii="Arial" w:cs="Arial" w:eastAsia="Arial" w:hAnsi="Arial"/>
          <w:sz w:val="22"/>
          <w:szCs w:val="22"/>
        </w:rPr>
        <w:t xml:space="preserve">Iranian adversary utility is assessed as low-moderate. CPF-02’s maritime de-flagging analysis directly addresses Iran’s shadow fleet operations and identifies the enforcement mechanism that could constrain oil exports (registry-level designation → P&amp;I club coverage denial). The sensitivity analysis discloses the projected export reduction range (20–50% under base case). NUC-01’s Iran-related content is limited to HALEU supply chain context.</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UTILITY: </w:t>
      </w:r>
      <w:r>
        <w:rPr>
          <w:rFonts w:ascii="Arial" w:cs="Arial" w:eastAsia="Arial" w:hAnsi="Arial"/>
          <w:sz w:val="20"/>
          <w:szCs w:val="20"/>
        </w:rPr>
        <w:t xml:space="preserve">Low-Moderate. Maritime de-flagging logic is the primary exposure. Iran’s shadow fleet operations are already well-documented in OFAC enforcement actions.</w:t>
      </w:r>
    </w:p>
    <w:p>
      <w:pPr>
        <w:pStyle w:val="Heading2"/>
        <w:spacing w:after="160" w:before="280"/>
      </w:pPr>
      <w:r>
        <w:rPr>
          <w:rFonts w:ascii="Arial" w:cs="Arial" w:eastAsia="Arial" w:hAnsi="Arial"/>
          <w:b/>
          <w:bCs/>
          <w:color w:val="1B2A4A"/>
          <w:sz w:val="24"/>
          <w:szCs w:val="24"/>
        </w:rPr>
        <w:t xml:space="preserve">2.4 Mexican Cartels — Sinaloa / CJNG</w:t>
      </w:r>
    </w:p>
    <w:p>
      <w:pPr>
        <w:spacing w:after="120" w:line="276"/>
      </w:pPr>
      <w:r>
        <w:rPr>
          <w:rFonts w:ascii="Arial" w:cs="Arial" w:eastAsia="Arial" w:hAnsi="Arial"/>
          <w:sz w:val="22"/>
          <w:szCs w:val="22"/>
        </w:rPr>
        <w:t xml:space="preserve">Cartel adversary utility from ARCH-03 is assessed as low. The enhanced notice procedure logic — the paper’s core analytical contribution — describes an enforcement mechanism that operates against PRC precursor suppliers, not against the cartels directly. The cartels’ exposure is indirect: supply chain disruption through supplier-side enforcement. The Key Unknowns section’s disclosure that cartel financial network reconstitution timelines are not established is marginally useful for cartel financial operations planning but does not disclose non-public information about cartel structure.</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ASSESSED UTILITY: </w:t>
      </w:r>
      <w:r>
        <w:rPr>
          <w:rFonts w:ascii="Arial" w:cs="Arial" w:eastAsia="Arial" w:hAnsi="Arial"/>
          <w:sz w:val="20"/>
          <w:szCs w:val="20"/>
        </w:rPr>
        <w:t xml:space="preserve">Low. Enforcement architecture targets the supply chain, not the cartels directly. Cartel legal counsel already understands FTO designation implications.</w:t>
      </w:r>
    </w:p>
    <w:p>
      <w:pPr>
        <w:pStyle w:val="Heading1"/>
        <w:spacing w:after="200" w:before="360"/>
      </w:pPr>
      <w:r>
        <w:rPr>
          <w:rFonts w:ascii="Arial" w:cs="Arial" w:eastAsia="Arial" w:hAnsi="Arial"/>
          <w:b/>
          <w:bCs/>
          <w:color w:val="1B2A4A"/>
          <w:sz w:val="30"/>
          <w:szCs w:val="30"/>
        </w:rPr>
        <w:t xml:space="preserve">Part III — Consolidated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80"/>
        <w:gridCol w:w="1040"/>
        <w:gridCol w:w="1040"/>
        <w:gridCol w:w="2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Exposure Category</w:t>
            </w:r>
          </w:p>
        </w:tc>
        <w:tc>
          <w:tcPr>
            <w:tcW w:type="dxa" w:w="2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Detail</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Rating</w:t>
            </w:r>
          </w:p>
        </w:tc>
        <w:tc>
          <w:tcPr>
            <w:tcW w:type="dxa" w:w="1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Conf.</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 Adversary Utility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Litigation map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APA, overbreadth, first-impression risk for § 5318A(a)(4)(A) class designation</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Pre-built defensive litigation strategy for novel hawala designation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CPF-02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Enforcement logic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Maritime de-flagging mechanism, CAATSA/CISADA escalation, § 981(k) against PRC banks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Russian/Iranian evasion calibration; PRC legal preparation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ARCH-03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Evidentiary gaps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PRC cooperation threshold, cartel adaptation timelines, whistleblower effectiveness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Evasion tempo calibration; PRC non-cooperation strategy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UNIFIED-01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Throughput constraints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OGC capacity, record contamination, sequencing logic</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Evasion tempo calibrated to U.S. institutional capacity ceiling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NUC-01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Aggregation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HALEU shortfall, grid reliability margins, PJM capacity</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LOW</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Confirmation of publicly reported infrastructure constraints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CYBER-01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Aggregation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CISA staffing, sector coverage, incident response gaps</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LOW-MOD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Sector-specific targeting calibration for under-defended sectors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STRAT-NSCC-01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Enforcement calibration + source ceiling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Decision matrix timelines, transshipment node prioritization, source reliability disclosure</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PRC procurement network adaptation; enforcement tempo calibration</w:t>
            </w:r>
          </w:p>
        </w:tc>
      </w:tr>
    </w:tbl>
    <w:p>
      <w:pPr>
        <w:spacing w:after="200" w:before="60"/>
      </w:pPr>
      <w:r>
        <w:rPr>
          <w:rFonts w:ascii="Arial" w:cs="Arial" w:eastAsia="Arial" w:hAnsi="Arial"/>
          <w:i/>
          <w:iCs/>
          <w:color w:val="4A5568"/>
          <w:sz w:val="18"/>
          <w:szCs w:val="18"/>
        </w:rPr>
        <w:t xml:space="preserve">Table 1: Consolidated CI Exposure Risk Matrix.</w:t>
      </w:r>
    </w:p>
    <w:p>
      <w:pPr>
        <w:pStyle w:val="Heading1"/>
        <w:spacing w:after="200" w:before="360"/>
      </w:pPr>
      <w:r>
        <w:rPr>
          <w:rFonts w:ascii="Arial" w:cs="Arial" w:eastAsia="Arial" w:hAnsi="Arial"/>
          <w:b/>
          <w:bCs/>
          <w:color w:val="1B2A4A"/>
          <w:sz w:val="30"/>
          <w:szCs w:val="30"/>
        </w:rPr>
        <w:t xml:space="preserve">Part IV — Legal Exposure Assessment</w:t>
      </w:r>
    </w:p>
    <w:p>
      <w:pPr>
        <w:spacing w:after="120" w:line="276"/>
      </w:pPr>
      <w:r>
        <w:rPr>
          <w:rFonts w:ascii="Arial" w:cs="Arial" w:eastAsia="Arial" w:hAnsi="Arial"/>
          <w:sz w:val="22"/>
          <w:szCs w:val="22"/>
        </w:rPr>
        <w:t xml:space="preserve">The legal exposure determination for all seven documents is identical to WP-2026-CI-Assessment v3.0. The following summarizes the key determinations by reference.</w:t>
      </w:r>
    </w:p>
    <w:p>
      <w:pPr>
        <w:pStyle w:val="ListParagraph"/>
        <w:numPr>
          <w:ilvl w:val="0"/>
          <w:numId w:val="6"/>
        </w:numPr>
        <w:spacing w:after="80" w:line="276"/>
      </w:pPr>
      <w:r>
        <w:rPr>
          <w:rFonts w:ascii="Arial" w:cs="Arial" w:eastAsia="Arial" w:hAnsi="Arial"/>
          <w:sz w:val="22"/>
          <w:szCs w:val="22"/>
        </w:rPr>
        <w:t xml:space="preserve">Espionage Act (18 U.S.C. § 793): Not applicable. All content derived from public sources. No National Defense Information element satisfied.</w:t>
      </w:r>
    </w:p>
    <w:p>
      <w:pPr>
        <w:pStyle w:val="ListParagraph"/>
        <w:numPr>
          <w:ilvl w:val="0"/>
          <w:numId w:val="6"/>
        </w:numPr>
        <w:spacing w:after="80" w:line="276"/>
      </w:pPr>
      <w:r>
        <w:rPr>
          <w:rFonts w:ascii="Arial" w:cs="Arial" w:eastAsia="Arial" w:hAnsi="Arial"/>
          <w:sz w:val="22"/>
          <w:szCs w:val="22"/>
        </w:rPr>
        <w:t xml:space="preserve">AECA / ITAR (22 C.F.R. Parts 120–130): Not applicable. Documents present enforcement architecture analysis and infrastructure policy assessment, not weapons design parameters or controlled technical specifications.</w:t>
      </w:r>
    </w:p>
    <w:p>
      <w:pPr>
        <w:pStyle w:val="ListParagraph"/>
        <w:numPr>
          <w:ilvl w:val="0"/>
          <w:numId w:val="6"/>
        </w:numPr>
        <w:spacing w:after="80" w:line="276"/>
      </w:pPr>
      <w:r>
        <w:rPr>
          <w:rFonts w:ascii="Arial" w:cs="Arial" w:eastAsia="Arial" w:hAnsi="Arial"/>
          <w:sz w:val="22"/>
          <w:szCs w:val="22"/>
        </w:rPr>
        <w:t xml:space="preserve">Export Control Reform Act (50 U.S.C. § 4819): Not applicable. ECCN citations reference publicly available Commerce Control List entries.</w:t>
      </w:r>
    </w:p>
    <w:p>
      <w:pPr>
        <w:pStyle w:val="ListParagraph"/>
        <w:numPr>
          <w:ilvl w:val="0"/>
          <w:numId w:val="6"/>
        </w:numPr>
        <w:spacing w:after="80" w:line="276"/>
      </w:pPr>
      <w:r>
        <w:rPr>
          <w:rFonts w:ascii="Arial" w:cs="Arial" w:eastAsia="Arial" w:hAnsi="Arial"/>
          <w:sz w:val="22"/>
          <w:szCs w:val="22"/>
        </w:rPr>
        <w:t xml:space="preserve">First Amendment: Fully protective. All seven documents constitute protected academic and policy commentary on matters of public concern. Snyder v. Phelps protections apply at the highest level.</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DOCUMENTED STRUCTURAL CONSTRAINT — PUBLIC SOURCE BASIS: </w:t>
      </w:r>
      <w:r>
        <w:rPr>
          <w:rFonts w:ascii="Arial" w:cs="Arial" w:eastAsia="Arial" w:hAnsi="Arial"/>
          <w:sz w:val="20"/>
          <w:szCs w:val="20"/>
        </w:rPr>
        <w:t xml:space="preserve">Every analytical claim in all seven documents is derived from publicly available sources: enacted statutes, published executive orders, OFAC designation records, DOJ enforcement actions, FinCEN press releases, DOE/EIA/NRC reporting, CISA/GAO assessments, and open-source policy analysis. The enforcement architecture is the author’s analytical work product synthesizing public legal authorities. Proactive disclosure of these documents in SF-86 and adjudication proceedings is recommended, consistent with WP-2026-CI-Assessment v3.0 Section 4.6.</w:t>
      </w:r>
    </w:p>
    <w:p>
      <w:pPr>
        <w:pStyle w:val="Heading1"/>
        <w:spacing w:after="200" w:before="360"/>
      </w:pPr>
      <w:r>
        <w:rPr>
          <w:rFonts w:ascii="Arial" w:cs="Arial" w:eastAsia="Arial" w:hAnsi="Arial"/>
          <w:b/>
          <w:bCs/>
          <w:color w:val="1B2A4A"/>
          <w:sz w:val="30"/>
          <w:szCs w:val="30"/>
        </w:rPr>
        <w:t xml:space="preserve">Part V — Recommendations</w:t>
      </w:r>
    </w:p>
    <w:p>
      <w:pPr>
        <w:pStyle w:val="Heading2"/>
        <w:spacing w:after="160" w:before="280"/>
      </w:pPr>
      <w:r>
        <w:rPr>
          <w:rFonts w:ascii="Arial" w:cs="Arial" w:eastAsia="Arial" w:hAnsi="Arial"/>
          <w:b/>
          <w:bCs/>
          <w:color w:val="1B2A4A"/>
          <w:sz w:val="24"/>
          <w:szCs w:val="24"/>
        </w:rPr>
        <w:t xml:space="preserve">6.1 For Document Management</w:t>
      </w:r>
    </w:p>
    <w:p>
      <w:pPr>
        <w:pStyle w:val="ListParagraph"/>
        <w:numPr>
          <w:ilvl w:val="0"/>
          <w:numId w:val="7"/>
        </w:numPr>
        <w:spacing w:after="80" w:line="276"/>
      </w:pPr>
      <w:r>
        <w:rPr>
          <w:rFonts w:ascii="Arial" w:cs="Arial" w:eastAsia="Arial" w:hAnsi="Arial"/>
          <w:sz w:val="22"/>
          <w:szCs w:val="22"/>
        </w:rPr>
        <w:t xml:space="preserve">No retraction recommended. The enforcement architecture documents and STRAT-NSCC-01 are published, indexed, and should be treated as already collected. Retraction carries no CI benefit and significant academic and professional cost.</w:t>
      </w:r>
    </w:p>
    <w:p>
      <w:pPr>
        <w:pStyle w:val="ListParagraph"/>
        <w:numPr>
          <w:ilvl w:val="0"/>
          <w:numId w:val="7"/>
        </w:numPr>
        <w:spacing w:after="80" w:line="276"/>
      </w:pPr>
      <w:r>
        <w:rPr>
          <w:rFonts w:ascii="Arial" w:cs="Arial" w:eastAsia="Arial" w:hAnsi="Arial"/>
          <w:sz w:val="22"/>
          <w:szCs w:val="22"/>
        </w:rPr>
        <w:t xml:space="preserve">The Scope Limitations sections adequately bound the analytical claims and should remain as published.</w:t>
      </w:r>
    </w:p>
    <w:p>
      <w:pPr>
        <w:pStyle w:val="ListParagraph"/>
        <w:numPr>
          <w:ilvl w:val="0"/>
          <w:numId w:val="7"/>
        </w:numPr>
        <w:spacing w:after="80" w:line="276"/>
      </w:pPr>
      <w:r>
        <w:rPr>
          <w:rFonts w:ascii="Arial" w:cs="Arial" w:eastAsia="Arial" w:hAnsi="Arial"/>
          <w:sz w:val="22"/>
          <w:szCs w:val="22"/>
        </w:rPr>
        <w:t xml:space="preserve">Future revisions incorporating additional enforcement detail (specific designation targets, named financial institutions, transaction-level case studies) should be assessed against this document’s five-dimension exposure methodology before publication.</w:t>
      </w:r>
    </w:p>
    <w:p>
      <w:pPr>
        <w:pStyle w:val="Heading2"/>
        <w:spacing w:after="160" w:before="280"/>
      </w:pPr>
      <w:r>
        <w:rPr>
          <w:rFonts w:ascii="Arial" w:cs="Arial" w:eastAsia="Arial" w:hAnsi="Arial"/>
          <w:b/>
          <w:bCs/>
          <w:color w:val="1B2A4A"/>
          <w:sz w:val="24"/>
          <w:szCs w:val="24"/>
        </w:rPr>
        <w:t xml:space="preserve">6.2 For Security Clearance Adjudication</w:t>
      </w:r>
    </w:p>
    <w:p>
      <w:pPr>
        <w:spacing w:after="120" w:line="276"/>
      </w:pPr>
      <w:r>
        <w:rPr>
          <w:rFonts w:ascii="Arial" w:cs="Arial" w:eastAsia="Arial" w:hAnsi="Arial"/>
          <w:sz w:val="22"/>
          <w:szCs w:val="22"/>
        </w:rPr>
        <w:t xml:space="preserve">The legal exposure determination (Part IV) establishes that no content in any of the six documents implicates any criminal statute or clearance-disqualifying act. Proactive disclosure of the enforcement architecture series, STRAT-NSCC-01, the GitHub repository, and all CI assessments (CI-Assessment v3.0, MAP-CI-01, and this document) in SF-86 and adjudication proceedings is recommended. The production of standalone CI exposure assessments of one’s own published work is the marker of the security discipline that adjudicative guidelines assess favorably under the whole-person standard.</w:t>
      </w:r>
    </w:p>
    <w:p>
      <w:pPr>
        <w:pStyle w:val="Heading2"/>
        <w:spacing w:after="160" w:before="280"/>
      </w:pPr>
      <w:r>
        <w:rPr>
          <w:rFonts w:ascii="Arial" w:cs="Arial" w:eastAsia="Arial" w:hAnsi="Arial"/>
          <w:b/>
          <w:bCs/>
          <w:color w:val="1B2A4A"/>
          <w:sz w:val="24"/>
          <w:szCs w:val="24"/>
        </w:rPr>
        <w:t xml:space="preserve">6.3 For Georgetown SSP Submission</w:t>
      </w:r>
    </w:p>
    <w:p>
      <w:pPr>
        <w:spacing w:after="120" w:line="276"/>
      </w:pPr>
      <w:r>
        <w:rPr>
          <w:rFonts w:ascii="Arial" w:cs="Arial" w:eastAsia="Arial" w:hAnsi="Arial"/>
          <w:sz w:val="22"/>
          <w:szCs w:val="22"/>
        </w:rPr>
        <w:t xml:space="preserve">The enforcement architecture series and STRAT-NSCC-01 demonstrate institutional-grade legal-operational analytical capability at a register consistent with senior analyst or attorney-advisor positions at Treasury, DOJ, or ODNI. STRAT-NSCC-01 additionally demonstrates event-driven policy response capability — the ability to translate a breaking intelligence event into a structured, authority-mapped enforcement calibration memorandum with interagency synchronization logic. The CI self-assessment posture — producing this document alongside the enforcement suite — demonstrates the professional judgment and operational security awareness the program selects for.</w:t>
      </w:r>
    </w:p>
    <w:p>
      <w:pPr>
        <w:pStyle w:val="Heading1"/>
        <w:spacing w:after="200" w:before="360"/>
      </w:pPr>
      <w:r>
        <w:rPr>
          <w:rFonts w:ascii="Arial" w:cs="Arial" w:eastAsia="Arial" w:hAnsi="Arial"/>
          <w:b/>
          <w:bCs/>
          <w:color w:val="1B2A4A"/>
          <w:sz w:val="30"/>
          <w:szCs w:val="30"/>
        </w:rPr>
        <w:t xml:space="preserve">Final Judgment</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FINAL ASSESSMENT: </w:t>
      </w:r>
      <w:r>
        <w:rPr>
          <w:rFonts w:ascii="Arial" w:cs="Arial" w:eastAsia="Arial" w:hAnsi="Arial"/>
          <w:sz w:val="20"/>
          <w:szCs w:val="20"/>
        </w:rPr>
        <w:t xml:space="preserve">Available evidence supports the judgment that the enforcement architecture series’ CI exposure profile is acceptable and consistent with the open-source publication posture of the WP-2026 series. STRAT-NSCC-01’s addition to the corpus introduces a moderate-level exposure increment concentrated in PRC-specific enforcement calibration logic and transshipment node identification, but this exposure is mitigated by the document’s structural legal authority framing and its transparent source reliability disclosure. The enforcement mechanisms described in the suite operate through structural legal authority and institutional capacity, not information asymmetry. This CI assessment’s own exposure rankings and adversary utility ratings constitute a prioritization guide for adversary collection focus; this reflexivity is inherent to any published CI self-assessment and does not alter the acceptability determination. Knowing the enforcement logic does not transfer the OFAC designation authority, DOJ prosecutorial discretion, BIS export control jurisdiction, or secondary sanctions enforcement capacity required to execute enforcement action. The legal exposure is very low. The academic, professional, and demonstration value is very high. The CI self-assessment posture is the correct professional response. [MODERATE CONFIDENCE, ANALYTICALLY INFERRED]</w:t>
      </w:r>
    </w:p>
    <w:p>
      <w:pPr>
        <w:spacing w:after="120" w:line="276"/>
      </w:pPr>
      <w:r>
        <w:rPr>
          <w:rFonts w:ascii="Arial" w:cs="Arial" w:eastAsia="Arial" w:hAnsi="Arial"/>
          <w:sz w:val="22"/>
          <w:szCs w:val="22"/>
        </w:rPr>
        <w:t xml:space="preserve"/>
      </w:r>
    </w:p>
    <w:p>
      <w:pPr>
        <w:spacing w:after="120" w:line="276"/>
        <w:jc w:val="center"/>
        <w:rPr>
          <w:b/>
          <w:bCs/>
          <w:color w:val="1B2A4A"/>
          <w:sz w:val="20"/>
          <w:szCs w:val="20"/>
        </w:rPr>
      </w:pPr>
      <w:r>
        <w:rPr>
          <w:rFonts w:ascii="Arial" w:cs="Arial" w:eastAsia="Arial" w:hAnsi="Arial"/>
          <w:b/>
          <w:bCs/>
          <w:color w:val="1B2A4A"/>
          <w:sz w:val="20"/>
          <w:szCs w:val="20"/>
        </w:rPr>
        <w:t xml:space="preserve">END OF DOCUMENT — WP-2026-CI-ENFORCE-01 — APRIL 2026 — UNCLASSIFIED // OPEN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WP-2026-CI-ENFORCE-01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pPr>
    <w:r>
      <w:rPr>
        <w:rFonts w:ascii="Arial" w:cs="Arial" w:eastAsia="Arial" w:hAnsi="Arial"/>
        <w:caps/>
        <w:color w:val="4A5568"/>
        <w:sz w:val="16"/>
        <w:szCs w:val="16"/>
      </w:rPr>
      <w:t xml:space="preserve">WP-2026-CI-ENFORCE-01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2026-04-07T00:26:32.252Z</dcterms:created>
  <dcterms:modified xsi:type="dcterms:W3CDTF">2026-04-07T00:26:32.253Z</dcterms:modified>
</cp:coreProperties>
</file>

<file path=docProps/custom.xml><?xml version="1.0" encoding="utf-8"?>
<Properties xmlns="http://schemas.openxmlformats.org/officeDocument/2006/custom-properties" xmlns:vt="http://schemas.openxmlformats.org/officeDocument/2006/docPropsVTypes"/>
</file>