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4A5568"/>
          <w:sz w:val="20"/>
          <w:szCs w:val="20"/>
        </w:rPr>
        <w:t xml:space="preserve">CENTER FOR COMPETITIVE STATECRAFT AND STRATEGIC POLICY</w:t>
      </w:r>
    </w:p>
    <w:p>
      <w:pPr>
        <w:spacing w:before="0" w:after="60"/>
      </w:pPr>
      <w:r>
        <w:rPr>
          <w:rFonts w:ascii="Arial" w:cs="Arial" w:eastAsia="Arial" w:hAnsi="Arial"/>
          <w:caps/>
          <w:color w:val="4A5568"/>
          <w:sz w:val="20"/>
          <w:szCs w:val="20"/>
        </w:rPr>
        <w:t xml:space="preserve">WP-2026 SERIES</w:t>
      </w:r>
    </w:p>
    <w:p>
      <w:pPr>
        <w:pBdr>
          <w:bottom w:val="single" w:color="1B2A4A" w:sz="12" w:space="1"/>
        </w:pBdr>
        <w:spacing w:before="0" w:after="120"/>
      </w:pPr>
    </w:p>
    <w:p>
      <w:pPr>
        <w:spacing w:before="0" w:after="240"/>
      </w:pPr>
      <w:r>
        <w:t xml:space="preserve"/>
      </w:r>
    </w:p>
    <w:p>
      <w:pPr>
        <w:spacing w:before="0" w:after="80"/>
      </w:pPr>
      <w:r>
        <w:rPr>
          <w:rFonts w:ascii="Arial" w:cs="Arial" w:eastAsia="Arial" w:hAnsi="Arial"/>
          <w:b/>
          <w:bCs/>
          <w:color w:val="1B2A4A"/>
          <w:sz w:val="44"/>
          <w:szCs w:val="44"/>
        </w:rPr>
        <w:t xml:space="preserve">COUNTERINTELLIGENCE EXPOSURE ASSESSMENT</w:t>
      </w:r>
    </w:p>
    <w:p>
      <w:pPr>
        <w:spacing w:before="0" w:after="200"/>
      </w:pPr>
      <w:r>
        <w:rPr>
          <w:rFonts w:ascii="Arial" w:cs="Arial" w:eastAsia="Arial" w:hAnsi="Arial"/>
          <w:color w:val="4A5568"/>
          <w:sz w:val="26"/>
          <w:szCs w:val="26"/>
        </w:rPr>
        <w:t xml:space="preserve">Open-Source Risk Assessment · WP-2026 Enforcement Architecture and Resilience Foundation Layer</w:t>
      </w:r>
    </w:p>
    <w:p>
      <w:pPr>
        <w:pBdr>
          <w:bottom w:val="single" w:color="1B2A4A" w:sz="12" w:space="1"/>
        </w:pBdr>
        <w:spacing w:before="0" w:after="120"/>
      </w:pP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Working Paper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WP-2026-CI-Assessment-02</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Title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Counterintelligence Exposure Assessment: ESCALATE-01 (Non-Kinetic Escalation and Constraint Framework) and RESILIENCE-01 (National Technology Modernization and Industrial Resilience Strategy)</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Assessment 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March 2026 (v1.0 — Initial Assessment; Enforcement Architecture and Resilience Foundation Layer)</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Unclassified // Open Source Analytic Product</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Series Reference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WP-2026 Series (github.com/collingeorge/WP-2026) — CI-Assessment-02 companion to CI-Assessment v3.0</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Prepared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Collin George — Center for Competitive Statecraft and Strategic Policy</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Methodology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Open-source CI exposure methodology applied to public repository content. No classified information used or referenced. Adversary utility assessments are analytically inferred, not intelligence reporting.</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bCs/>
                <w:color w:val="1B2A4A"/>
                <w:sz w:val="18"/>
                <w:szCs w:val="18"/>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 — Style Guide v3.0 Compliant. Cleared for public repository publication.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NOTICE AND PUBLIC REPOSITORY STATEMENT</w:t>
            </w:r>
          </w:p>
          <w:p>
            <w:pPr>
              <w:spacing w:before="0" w:after="60"/>
            </w:pPr>
            <w:r>
              <w:rPr>
                <w:rFonts w:ascii="Arial" w:cs="Arial" w:eastAsia="Arial" w:hAnsi="Arial"/>
                <w:sz w:val="20"/>
                <w:szCs w:val="20"/>
              </w:rPr>
              <w:t xml:space="preserve">This document is an open-source counterintelligence exposure assessment produced solely for the author’s academic risk management and professional transparency purposes. It contains no classified information. All analysis is derived entirely from the public repository at github.com/collingeorge/WP-2026 and established open-source CI methodology.</w:t>
            </w:r>
          </w:p>
          <w:p>
            <w:pPr>
              <w:spacing w:before="0" w:after="60"/>
            </w:pPr>
            <w:r>
              <w:rPr>
                <w:rFonts w:ascii="Arial" w:cs="Arial" w:eastAsia="Arial" w:hAnsi="Arial"/>
                <w:sz w:val="20"/>
                <w:szCs w:val="20"/>
              </w:rPr>
              <w:t xml:space="preserve">This assessment is published as an act of professional transparency, not as an operational document. Adversary utility ratings are analytically inferred assessments of what a sophisticated foreign OSINT collection unit could derive from the public repository content. They do not reflect classified intelligence reporting, operational threat data, or any government assessment of actual adversary collection activity.</w:t>
            </w:r>
          </w:p>
          <w:p>
            <w:pPr>
              <w:spacing w:before="0" w:after="60"/>
            </w:pPr>
            <w:r>
              <w:rPr>
                <w:rFonts w:ascii="Arial" w:cs="Arial" w:eastAsia="Arial" w:hAnsi="Arial"/>
                <w:sz w:val="20"/>
                <w:szCs w:val="20"/>
              </w:rPr>
              <w:t xml:space="preserve">ESCALATE-01 and RESILIENCE-01 are assessed separately from the documents covered in CI-Assessment v3.0. This document should be read in conjunction with CI-Assessment v3.0, which covers the full series aggregation risk and series-level recommendations. The aggregation risk findings in v3.0 apply with full force to the integrated portfolio including these two documents.</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Key Judgments</w:t>
      </w:r>
    </w:p>
    <w:p>
      <w:pPr>
        <w:spacing w:before="60" w:after="120"/>
        <w:jc w:val="both"/>
      </w:pPr>
      <w:r>
        <w:rPr>
          <w:rFonts w:ascii="Arial" w:cs="Arial" w:eastAsia="Arial" w:hAnsi="Arial"/>
          <w:sz w:val="22"/>
          <w:szCs w:val="22"/>
        </w:rPr>
        <w:t xml:space="preserve">The following judgments govern this assessment. Supporting analysis for each appears in the numbered sections below. All judgments reflect the final production versions: ESCALATE-01 v7.0 (15 parts, 582 paragraphs) and RESILIENCE-01 v9.0 (13 parts, 597 paragraphs).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single" w:color="1B2A4A" w:sz="1"/>
              <w:bottom w:val="none" w:color="FFFFFF" w:sz="0"/>
              <w:right w:val="none" w:color="FFFFFF" w:sz="0"/>
            </w:tcBorders>
            <w:shd w:fill="E8EDF5" w:val="clear"/>
            <w:tcMar>
              <w:top w:type="dxa" w:w="100"/>
              <w:left w:type="dxa" w:w="160"/>
              <w:bottom w:type="dxa" w:w="10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ESCALATE-01 is consistent with a judgment that it constitutes the highest enforcement-sequencing intelligence asset in the WP-2026 series for adversaries subject to U.S. non-kinetic campaigns, because it documents in institutional detail the exact procedural gates, verification architecture, threshold values, and failure mode prevention logic that experienced campaign planners would use to design and execute pressure campaigns against target states.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single" w:color="1B2A4A" w:sz="1"/>
              <w:bottom w:val="none" w:color="FFFFFF" w:sz="0"/>
              <w:right w:val="none" w:color="FFFFFF" w:sz="0"/>
            </w:tcBorders>
            <w:shd w:fill="E8EDF5" w:val="clear"/>
            <w:tcMar>
              <w:top w:type="dxa" w:w="100"/>
              <w:left w:type="dxa" w:w="160"/>
              <w:bottom w:type="dxa" w:w="10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Available evidence suggests RESILIENCE-01 provides adversary industrial policy analysts with a structured assessment of U.S. domestic capacity gaps, adequacy thresholds, and enforcement credibility preconditions — the specific threshold values and gap analysis in Part X constitute the most operationally specific CI disclosure in that document, because they specify the exact conditions under which the U.S. author assesses enforcement strategy credibility as insufficient.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single" w:color="1B2A4A" w:sz="1"/>
              <w:bottom w:val="none" w:color="FFFFFF" w:sz="0"/>
              <w:right w:val="none" w:color="FFFFFF" w:sz="0"/>
            </w:tcBorders>
            <w:shd w:fill="E8EDF5" w:val="clear"/>
            <w:tcMar>
              <w:top w:type="dxa" w:w="100"/>
              <w:left w:type="dxa" w:w="160"/>
              <w:bottom w:type="dxa" w:w="10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ESCALATE-01’s compressed timeline mode (Section 2.5), emergency exception protocol (Section 2.3), and framework decay section (Part XII Section 10.3) collectively disclose the specific conditions under which U.S. enforcement architecture degrades, the non-waivable safeguards that remain active, and the institutional decay mechanisms that historically have compromised enforcement discipline — this process knowledge is assessed as more operationally useful to adversaries than the Phase architecture itself.</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single" w:color="1B2A4A" w:sz="1"/>
              <w:bottom w:val="none" w:color="FFFFFF" w:sz="0"/>
              <w:right w:val="none" w:color="FFFFFF" w:sz="0"/>
            </w:tcBorders>
            <w:shd w:fill="E8EDF5" w:val="clear"/>
            <w:tcMar>
              <w:top w:type="dxa" w:w="100"/>
              <w:left w:type="dxa" w:w="160"/>
              <w:bottom w:type="dxa" w:w="100"/>
              <w:right w:type="dxa" w:w="120"/>
            </w:tcMar>
          </w:tcPr>
          <w:p>
            <w:pPr>
              <w:spacing w:before="0" w:after="60"/>
            </w:pPr>
            <w:r>
              <w:rPr>
                <w:rFonts w:ascii="Arial" w:cs="Arial" w:eastAsia="Arial" w:hAnsi="Arial"/>
                <w:b/>
                <w:bCs/>
                <w:caps/>
                <w:color w:val="8B6914"/>
                <w:sz w:val="18"/>
                <w:szCs w:val="18"/>
              </w:rPr>
              <w:t xml:space="preserve">MODERATE-HIGH CONFIDENCE · Analytically Inferred</w:t>
            </w:r>
          </w:p>
          <w:p>
            <w:pPr>
              <w:spacing w:before="0" w:after="0"/>
            </w:pPr>
            <w:r>
              <w:rPr>
                <w:rFonts w:ascii="Arial" w:cs="Arial" w:eastAsia="Arial" w:hAnsi="Arial"/>
                <w:sz w:val="22"/>
                <w:szCs w:val="22"/>
              </w:rPr>
              <w:t xml:space="preserve">The IEEPA judicial risk analysis in ESCALATE-01 Part III, including the authority failure contingency layer (Section 3.6) with its four-step re-designation sequence and enforcement degradation estimate by domain, is assessed as very likely to provide adversary legal counsel with a structured analysis of U.S. statutory vulnerability that maps directly onto litigation strategy against IEEPA-based designations.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single" w:color="1B2A4A" w:sz="1"/>
              <w:bottom w:val="none" w:color="FFFFFF" w:sz="0"/>
              <w:right w:val="none" w:color="FFFFFF" w:sz="0"/>
            </w:tcBorders>
            <w:shd w:fill="E8EDF5" w:val="clear"/>
            <w:tcMar>
              <w:top w:type="dxa" w:w="100"/>
              <w:left w:type="dxa" w:w="160"/>
              <w:bottom w:type="dxa" w:w="100"/>
              <w:right w:type="dxa" w:w="120"/>
            </w:tcMar>
          </w:tcPr>
          <w:p>
            <w:pPr>
              <w:spacing w:before="0" w:after="60"/>
            </w:pPr>
            <w:r>
              <w:rPr>
                <w:rFonts w:ascii="Arial" w:cs="Arial" w:eastAsia="Arial" w:hAnsi="Arial"/>
                <w:b/>
                <w:bCs/>
                <w:caps/>
                <w:color w:val="8B6914"/>
                <w:sz w:val="18"/>
                <w:szCs w:val="18"/>
              </w:rPr>
              <w:t xml:space="preserve">MODERATE CONFIDENCE · Analytically Inferred</w:t>
            </w:r>
          </w:p>
          <w:p>
            <w:pPr>
              <w:spacing w:before="0" w:after="0"/>
            </w:pPr>
            <w:r>
              <w:rPr>
                <w:rFonts w:ascii="Arial" w:cs="Arial" w:eastAsia="Arial" w:hAnsi="Arial"/>
                <w:sz w:val="22"/>
                <w:szCs w:val="22"/>
              </w:rPr>
              <w:t xml:space="preserve">RESILIENCE-01’s failure probability layer (Part IX) and constraint conflict table (Part VIII Section 8.5) indicate to adversary industrial planners — particularly PRC MOFCOM and NDRC analysts — when U.S. industrial strategy implementation is most vulnerable to countermeasure deployment, and which constraint binding conditions create the most favorable timing for adversary price suppression or export restriction.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single" w:color="1B2A4A" w:sz="1"/>
              <w:bottom w:val="none" w:color="FFFFFF" w:sz="0"/>
              <w:right w:val="none" w:color="FFFFFF" w:sz="0"/>
            </w:tcBorders>
            <w:shd w:fill="E8EDF5" w:val="clear"/>
            <w:tcMar>
              <w:top w:type="dxa" w:w="100"/>
              <w:left w:type="dxa" w:w="160"/>
              <w:bottom w:type="dxa" w:w="100"/>
              <w:right w:type="dxa" w:w="120"/>
            </w:tcMar>
          </w:tcPr>
          <w:p>
            <w:pPr>
              <w:spacing w:before="0" w:after="60"/>
            </w:pPr>
            <w:r>
              <w:rPr>
                <w:rFonts w:ascii="Arial" w:cs="Arial" w:eastAsia="Arial" w:hAnsi="Arial"/>
                <w:b/>
                <w:bCs/>
                <w:caps/>
                <w:color w:val="8B6914"/>
                <w:sz w:val="18"/>
                <w:szCs w:val="18"/>
              </w:rPr>
              <w:t xml:space="preserve">LOW-MODERATE CONFIDENCE · Analytically Inferred</w:t>
            </w:r>
          </w:p>
          <w:p>
            <w:pPr>
              <w:spacing w:before="0" w:after="0"/>
            </w:pPr>
            <w:r>
              <w:rPr>
                <w:rFonts w:ascii="Arial" w:cs="Arial" w:eastAsia="Arial" w:hAnsi="Arial"/>
                <w:sz w:val="22"/>
                <w:szCs w:val="22"/>
              </w:rPr>
              <w:t xml:space="preserve">The legal exposure of both documents is assessed as very low across all applicable U.S. frameworks; both documents are derived entirely from public sources, address enforcement architecture and industrial policy analysis rather than controlled technical data, and constitute protected commentary on matters of public concern. The IEEPA judicial risk discussion in ESCALATE-01 Part III is the most legally sensitive component, but it accurately cites public Supreme Court decisions and draws inferences widely available in legal commentary.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ANALYTIC POSTURE STATEMENT</w:t>
            </w:r>
          </w:p>
          <w:p>
            <w:pPr>
              <w:spacing w:before="0" w:after="60"/>
            </w:pPr>
            <w:r>
              <w:rPr>
                <w:rFonts w:ascii="Arial" w:cs="Arial" w:eastAsia="Arial" w:hAnsi="Arial"/>
                <w:sz w:val="20"/>
                <w:szCs w:val="20"/>
              </w:rPr>
              <w:t xml:space="preserve">This assessment applies the six-dimension CI exposure framework from CI-Assessment v3.0 to the two new documents: (1) Adversary Utility — what a foreign intelligence service can extract operationally; (2) Analytic Method Exposure — what reasoning patterns reveal about U.S. analyst methodology; (3) Gap Mapping — what acknowledged uncertainties disclose about U.S. analytical blind spots; (4) Source Triangulation Risk — whether citations allow reverse-engineering of source hierarchy; (5) Aggregation Risk — what the documents add to the integrated series-level intelligence package; (6) Legal Exposure — whether published content creates cognizable legal risk under applicable U.S. frameworks.</w:t>
            </w:r>
          </w:p>
          <w:p>
            <w:pPr>
              <w:spacing w:before="0" w:after="60"/>
            </w:pPr>
            <w:r>
              <w:rPr>
                <w:rFonts w:ascii="Arial" w:cs="Arial" w:eastAsia="Arial" w:hAnsi="Arial"/>
                <w:sz w:val="20"/>
                <w:szCs w:val="20"/>
              </w:rPr>
              <w:t xml:space="preserve">Ratings do not reflect confirmed adversary collection activity, classified threat reporting, or any government assessment. All confidence labels follow WP-2026 Series Verbiage Guide v2.1.</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 Aggregation Risk — Series-Level Impact of New Documents</w:t>
      </w:r>
    </w:p>
    <w:p>
      <w:pPr>
        <w:spacing w:before="60" w:after="120"/>
        <w:jc w:val="both"/>
      </w:pPr>
      <w:r>
        <w:rPr>
          <w:rFonts w:ascii="Arial" w:cs="Arial" w:eastAsia="Arial" w:hAnsi="Arial"/>
          <w:sz w:val="22"/>
          <w:szCs w:val="22"/>
        </w:rPr>
        <w:t xml:space="preserve">The aggregation risk findings from CI-Assessment v3.0 apply with full force to the integrated portfolio including ESCALATE-01 and RESILIENCE-01. Both documents deepen and extend the existing enforcement architecture stack in ways that increase the series’ aggregate intelligence value beyond the sum of individual papers. [MODERATE CONFIDENCE, ANALYTICALLY INFERRED]</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1.1 ESCALATE-01 Aggregation Contribution</w:t>
      </w:r>
    </w:p>
    <w:p>
      <w:pPr>
        <w:spacing w:before="60" w:after="120"/>
        <w:jc w:val="both"/>
      </w:pPr>
      <w:r>
        <w:rPr>
          <w:rFonts w:ascii="Arial" w:cs="Arial" w:eastAsia="Arial" w:hAnsi="Arial"/>
          <w:sz w:val="22"/>
          <w:szCs w:val="22"/>
        </w:rPr>
        <w:t xml:space="preserve">ESCALATE-01 occupies the enforcement architecture layer between the strategic papers (PERSIST-01, CONTAIN-01, MAXPRESS-01) and the applied enforcement documents (SHIELD-01, Master Index v4). Its integration into the series has two aggregation effects:</w:t>
      </w:r>
    </w:p>
    <w:p>
      <w:pPr>
        <w:pStyle w:val="ListParagraph"/>
        <w:numPr>
          <w:ilvl w:val="0"/>
          <w:numId w:val="2"/>
        </w:numPr>
        <w:spacing w:before="40" w:after="40"/>
      </w:pPr>
      <w:r>
        <w:rPr>
          <w:rFonts w:ascii="Arial" w:cs="Arial" w:eastAsia="Arial" w:hAnsi="Arial"/>
          <w:sz w:val="22"/>
          <w:szCs w:val="22"/>
        </w:rPr>
        <w:t xml:space="preserve">Operational sequencing bridge: MAXPRESS-01 documents the execution layer; ESCALATE-01 now documents the institutional decision architecture above it. A foreign analyst who reads both documents in sequence — which the published dependency graph facilitates — has a complete picture of both what actions are taken and how those actions are decided, reviewed, gated, and can be challenged or disrupted at the institutional level.</w:t>
      </w:r>
    </w:p>
    <w:p>
      <w:pPr>
        <w:pStyle w:val="ListParagraph"/>
        <w:numPr>
          <w:ilvl w:val="0"/>
          <w:numId w:val="2"/>
        </w:numPr>
        <w:spacing w:before="40" w:after="40"/>
      </w:pPr>
      <w:r>
        <w:rPr>
          <w:rFonts w:ascii="Arial" w:cs="Arial" w:eastAsia="Arial" w:hAnsi="Arial"/>
          <w:sz w:val="22"/>
          <w:szCs w:val="22"/>
        </w:rPr>
        <w:t xml:space="preserve">Failure mode curriculum: the ESCALATE-01 failure modes table (Part XIV) and the adversary adaptation cycle (Part XI) together provide a structured adversary curriculum that is more useful in combination than either element alone. The failure modes table identifies which enforcement controls have historically degraded; the adversary adaptation cycle documents how to exploit the degradation window. The published dependency graph that links these two sections to ATTRIBUTION-01 and CSE-01 makes the curriculum navigable.</w:t>
      </w:r>
    </w:p>
    <w:p>
      <w:pPr>
        <w:spacing w:before="60" w:after="120"/>
        <w:jc w:val="both"/>
      </w:pPr>
      <w:r>
        <w:rPr>
          <w:rFonts w:ascii="Arial" w:cs="Arial" w:eastAsia="Arial" w:hAnsi="Arial"/>
          <w:sz w:val="22"/>
          <w:szCs w:val="22"/>
        </w:rPr>
        <w:t xml:space="preserve">The public record does not establish that any adversary service has specifically identified ESCALATE-01’s institutional framework decay section as an intelligence collection target. Available open-source reporting on adversary OSINT methodology is consistent with the judgment that documents of this type are systematically collected against government and academic policy communities.</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1.2 RESILIENCE-01 Aggregation Contribution</w:t>
      </w:r>
    </w:p>
    <w:p>
      <w:pPr>
        <w:spacing w:before="60" w:after="120"/>
        <w:jc w:val="both"/>
      </w:pPr>
      <w:r>
        <w:rPr>
          <w:rFonts w:ascii="Arial" w:cs="Arial" w:eastAsia="Arial" w:hAnsi="Arial"/>
          <w:sz w:val="22"/>
          <w:szCs w:val="22"/>
        </w:rPr>
        <w:t xml:space="preserve">RESILIENCE-01 adds a dimension to the series that was not previously present: a structured assessment of U.S. domestic industrial and technology capacity gaps expressed in terms of enforcement credibility thresholds. This dimension is operationally significant for adversaries who need to assess whether U.S. technology-denial campaigns are likely to be sustained:</w:t>
      </w:r>
    </w:p>
    <w:p>
      <w:pPr>
        <w:pStyle w:val="ListParagraph"/>
        <w:numPr>
          <w:ilvl w:val="0"/>
          <w:numId w:val="2"/>
        </w:numPr>
        <w:spacing w:before="40" w:after="40"/>
      </w:pPr>
      <w:r>
        <w:rPr>
          <w:rFonts w:ascii="Arial" w:cs="Arial" w:eastAsia="Arial" w:hAnsi="Arial"/>
          <w:sz w:val="22"/>
          <w:szCs w:val="22"/>
        </w:rPr>
        <w:t xml:space="preserve">ESCALATE-01 documents the enforcement decision architecture; RESILIENCE-01 documents the industrial capacity prerequisites that enforcement credibility requires. A foreign analyst who reads both has a complete view of both the enforcement mechanism and the structural conditions under which it is credible or not.</w:t>
      </w:r>
    </w:p>
    <w:p>
      <w:pPr>
        <w:pStyle w:val="ListParagraph"/>
        <w:numPr>
          <w:ilvl w:val="0"/>
          <w:numId w:val="2"/>
        </w:numPr>
        <w:spacing w:before="40" w:after="40"/>
      </w:pPr>
      <w:r>
        <w:rPr>
          <w:rFonts w:ascii="Arial" w:cs="Arial" w:eastAsia="Arial" w:hAnsi="Arial"/>
          <w:sz w:val="22"/>
          <w:szCs w:val="22"/>
        </w:rPr>
        <w:t xml:space="preserve">The adequacy threshold gap table in RESILIENCE-01 Part X — showing that U.S. semiconductor fabrication and critical minerals processing fall below assessed enforcement-credibility thresholds through at least 2030 under current trajectory — provides adversaries with a documented U.S. assessment of when and why their primary enforcement constraint is not fully operative.</w:t>
      </w:r>
    </w:p>
    <w:p>
      <w:pPr>
        <w:spacing w:before="60" w:after="120"/>
        <w:jc w:val="both"/>
      </w:pPr>
      <w:r>
        <w:rPr>
          <w:rFonts w:ascii="Arial" w:cs="Arial" w:eastAsia="Arial" w:hAnsi="Arial"/>
          <w:sz w:val="22"/>
          <w:szCs w:val="22"/>
        </w:rPr>
        <w:t xml:space="preserve">Available evidence supports a moderate-confidence judgment that RESILIENCE-01’s explicit modeling of PRC countermeasure timing (Part XI) and the 2026–2028 high-vulnerability window assessment constitute a more significant adversary intelligence asset than the domestic capacity gap analysis, because the timing model is directly actionable for countermeasure deployment planning. The public record does not establish that PRC MOFCOM or NDRC analysts have accessed this assessment.</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II: Document-Level Risk Assessment</w:t>
      </w:r>
    </w:p>
    <w:p>
      <w:pPr>
        <w:spacing w:before="60" w:after="120"/>
        <w:jc w:val="both"/>
      </w:pPr>
      <w:r>
        <w:rPr>
          <w:rFonts w:ascii="Arial" w:cs="Arial" w:eastAsia="Arial" w:hAnsi="Arial"/>
          <w:sz w:val="22"/>
          <w:szCs w:val="22"/>
        </w:rPr>
        <w:t xml:space="preserve">Risk ratings reflect adversary utility assessed under the six-dimension framework. CRITICAL is reserved for components that, on their own, provide near-complete adversary operational utility for a specific objective. HIGH indicates material adversary utility requiring active engagement. MODERATE indicates utility for sophisticated analysis. LOW indicates limited marginal utility beyond what prior series documents already disclose.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37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PAPER / 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CI RISK VECTOR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PRIMARY ADVERSARY UTILITY</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ESCALATE-01 v7.0
Part III — IEEPA Judicial Risk + Authority Failure Contingency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Four-step re-designation sequence; enforcement degradation estimate by domain; parallel authority gap identification timeline</w:t>
            </w:r>
          </w:p>
        </w:tc>
        <w:tc>
          <w:tcPr>
            <w:tcW w:type="dxa" w:w="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7A4000"/>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provide adversary legal counsel a structured analysis of U.S. statutory vulnerability mapping directly onto IEEPA litigation strategy; the domain-specific enforcement degradation estimate (Iran energy sector, Russia sectoral) identifies which campaign elements collapse under judicial challenge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ESCALATE-01 v7.0
Part XI — Adversary Adaptation Cycle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Four-phase probe-exploit-institutionalize-normalize model; Phase A detection window; adversary objective functions by target state</w:t>
            </w:r>
          </w:p>
        </w:tc>
        <w:tc>
          <w:tcPr>
            <w:tcW w:type="dxa" w:w="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7A4000"/>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confirm and validate adversary operational methodology for campaigns against U.S. non-kinetic enforcement; the Phase A probe detection window disclosure is most sensitive — it specifies that the first two 90-day observability cycles are the detection window, giving adversaries the exact timeline for threshold intelligence collection</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ESCALATE-01 v7.0
Section 2.3 — Emergency Exception + Process Degradation Protocol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Non-waivable vs. waivable controls; 24-hour GL issuance requirement; post-action review trigger conditions; normalization prevention mechanism</w:t>
            </w:r>
          </w:p>
        </w:tc>
        <w:tc>
          <w:tcPr>
            <w:tcW w:type="dxa" w:w="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6B5500"/>
                <w:sz w:val="18"/>
                <w:szCs w:val="18"/>
              </w:rPr>
              <w:t xml:space="preserve">MODERATE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allow adversaries to identify which procedural safeguards apply under compressed timelines; the two-consecutive-emergency-designation normalization trigger discloses the specific threshold at which NSC framework review is forced, which adversaries may attempt to avoid triggering</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ESCALATE-01 v7.0
Section 2.5 — Compressed Timeline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Minimum viable allied consultation requirements; abbreviated market impact check criteria; 48-hour Deputies Committee notification window</w:t>
            </w:r>
          </w:p>
        </w:tc>
        <w:tc>
          <w:tcPr>
            <w:tcW w:type="dxa" w:w="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6B5500"/>
                <w:sz w:val="18"/>
                <w:szCs w:val="18"/>
              </w:rPr>
              <w:t xml:space="preserve">MODERATE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disclose the degraded Phase 1 consultation standard that applies under time pressure; adversaries who can force compressed timeline conditions (by creating the appearance of imminent asset flight) may be able to exploit reduced allied pre-notification to limit coordinated response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ESCALATE-01 v7.0
Part X Section 10.3 — Framework Decay Over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Four specific institutional decay mechanisms; review formalization pattern; 72-hour pre-notification drift description; GL scope expansion pathway</w:t>
            </w:r>
          </w:p>
        </w:tc>
        <w:tc>
          <w:tcPr>
            <w:tcW w:type="dxa" w:w="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6B5500"/>
                <w:sz w:val="18"/>
                <w:szCs w:val="18"/>
              </w:rPr>
              <w:t xml:space="preserve">MODERATE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provide adversaries a detailed description of the specific bureaucratic failure modes that have historically degraded enforcement architecture; the GL scope expansion pathway through post-hoc guidance documents is the most directly actionable mechanism disclosed</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ESCALATE-01 v7.0
Part VI — Institutional Throughput Constraints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OFAC 200–400 designation/year band; DOJ 18–36 month forfeiture timeline; BIS 12–24 month enforcement lag</w:t>
            </w:r>
          </w:p>
        </w:tc>
        <w:tc>
          <w:tcPr>
            <w:tcW w:type="dxa" w:w="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7A4000"/>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provide adversaries precise enforcement capacity parameters for calibrating evasion timing; the BIS 12–24 month enforcement lag for FDPR third-country targets discloses the window within which non-compliant production can proceed before enforcement action is probable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ESCALATE-01 v7.0
Part VII — Market Feedback Loop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7–15 month coalition fracture timing model; 15–20% price change nonlinear escalation threshold; circuit-breaker pre-authorization requirements</w:t>
            </w:r>
          </w:p>
        </w:tc>
        <w:tc>
          <w:tcPr>
            <w:tcW w:type="dxa" w:w="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6B5500"/>
                <w:sz w:val="18"/>
                <w:szCs w:val="18"/>
              </w:rPr>
              <w:t xml:space="preserve">MODERATE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provide adversaries with the timeline model for engineering market conditions that trigger the feedback loop; the 15–20% commodity price change threshold for nonlinear escalation is directly exploitable through coordinated market pressure timing</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ESCALATE-01 v7.0
Part X Country Sections with Mini-Boxes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Best Lever / Primary Risk / Underperformance Path per target: Iran, DPRK, Russia, Venezuela, PRC-facilitated networks</w:t>
            </w:r>
          </w:p>
        </w:tc>
        <w:tc>
          <w:tcPr>
            <w:tcW w:type="dxa" w:w="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7A4000"/>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constitute the most operationally concentrated disclosure in the document for target-state audiences; the Underperformance Path designation for each country identifies the exact condition under which the author assesses the framework as most likely to fail — each target state’s primary exploit path is explicitly named</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RESILIENCE-01 v9.0
Part X — Enforcement Credibility Threshold Gap Assessment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Semiconductor fabrication gap (10–12% vs 20% threshold); critical minerals processing gap (&lt;30 days vs 90-day threshold); battery cell gap (20–25% vs 60% threshold); projected 2030 shortfall documentation</w:t>
            </w:r>
          </w:p>
        </w:tc>
        <w:tc>
          <w:tcPr>
            <w:tcW w:type="dxa" w:w="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7A4000"/>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constitute a U.S. self-assessment that enforcement-credibility thresholds will not be met by 2030 under current trajectory; adversaries can use this to assess that technology-denial coalition management is currently and projected to remain deficient</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RESILIENCE-01 v9.0
Part XI — PRC Adaptation Cycle + Adversary Industrial Disruption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A-D timing model for U.S. vulnerability window; four disruption mechanisms; 2026–2028 high-vulnerability window identification</w:t>
            </w:r>
          </w:p>
        </w:tc>
        <w:tc>
          <w:tcPr>
            <w:tcW w:type="dxa" w:w="8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pPr>
              <w:jc w:val="center"/>
            </w:pPr>
            <w:r>
              <w:rPr>
                <w:rFonts w:ascii="Arial" w:cs="Arial" w:eastAsia="Arial" w:hAnsi="Arial"/>
                <w:b/>
                <w:bCs/>
                <w:color w:val="7A4000"/>
                <w:sz w:val="18"/>
                <w:szCs w:val="18"/>
              </w:rPr>
              <w:t xml:space="preserve">HIGH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constitute a mirror document for PRC MOFCOM countermeasure planning; the 2026–2028 high-vulnerability window and contractual commitment boundary provide a structured timeline for countermeasure deployment optimization</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RESILIENCE-01 v9.0
Part IX — Failure Probability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Six failure mode probability estimates; compound failure scenario; funding discontinuity 55–70% probable; permitting delay 70–85% very likely</w:t>
            </w:r>
          </w:p>
        </w:tc>
        <w:tc>
          <w:tcPr>
            <w:tcW w:type="dxa" w:w="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6B5500"/>
                <w:sz w:val="18"/>
                <w:szCs w:val="18"/>
              </w:rPr>
              <w:t xml:space="preserve">MODERATE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provide adversaries a U.S.-authored probability assessment of the conditions under which domestic industrial resilience strategy fails; the compound failure scenario assessment is most significant because it identifies the specific multi-factor combination most likely to defeat the strategy</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RESILIENCE-01 v9.0
Part VIII — Priority Discipline + Constraint Conflict Table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First-order / second-order / deferral / intolerable concentration hierarchy; five conflict resolution rules; HALEU and semiconductor hard floors</w:t>
            </w:r>
          </w:p>
        </w:tc>
        <w:tc>
          <w:tcPr>
            <w:tcW w:type="dxa" w:w="8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pPr>
              <w:jc w:val="center"/>
            </w:pPr>
            <w:r>
              <w:rPr>
                <w:rFonts w:ascii="Arial" w:cs="Arial" w:eastAsia="Arial" w:hAnsi="Arial"/>
                <w:b/>
                <w:bCs/>
                <w:color w:val="6B5500"/>
                <w:sz w:val="18"/>
                <w:szCs w:val="18"/>
              </w:rPr>
              <w:t xml:space="preserve">MODERATE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Assessed as likely to allow adversaries to identify which U.S. industrial investments are protected and which are deferral candidates; the deferral candidate list identifies which domains the framework accepts as addressable through allied alternatives, which adversaries can target to degrade allied complementarity before domestic alternatives are available</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III: Adversary-Specific Utility Assessment</w:t>
      </w:r>
    </w:p>
    <w:p>
      <w:pPr>
        <w:pStyle w:val="Heading2"/>
        <w:spacing w:before="240" w:after="120"/>
      </w:pPr>
      <w:r>
        <w:rPr>
          <w:rFonts w:ascii="Arial" w:cs="Arial" w:eastAsia="Arial" w:hAnsi="Arial"/>
          <w:b/>
          <w:bCs/>
          <w:color w:val="1B2A4A"/>
          <w:sz w:val="24"/>
          <w:szCs w:val="24"/>
        </w:rPr>
        <w:t xml:space="preserve">3.1 People’s Republic of China — MSS / MOFCOM / NDRC</w:t>
      </w:r>
    </w:p>
    <w:p>
      <w:pPr>
        <w:spacing w:before="60" w:after="120"/>
        <w:jc w:val="both"/>
      </w:pPr>
      <w:r>
        <w:rPr>
          <w:rFonts w:ascii="Arial" w:cs="Arial" w:eastAsia="Arial" w:hAnsi="Arial"/>
          <w:sz w:val="22"/>
          <w:szCs w:val="22"/>
        </w:rPr>
        <w:t xml:space="preserve">[MODERATE CONFIDENCE, ANALYTICALLY INFERRED]</w:t>
      </w:r>
    </w:p>
    <w:p>
      <w:pPr>
        <w:spacing w:before="60" w:after="120"/>
        <w:jc w:val="both"/>
      </w:pPr>
      <w:r>
        <w:rPr>
          <w:rFonts w:ascii="Arial" w:cs="Arial" w:eastAsia="Arial" w:hAnsi="Arial"/>
          <w:sz w:val="22"/>
          <w:szCs w:val="22"/>
        </w:rPr>
        <w:t xml:space="preserve">The PRC is assessed as deriving the highest aggregate utility from these two documents of any assessed adversary, because both papers directly address the enforcement architecture and domestic capacity prerequisites for technology-denial campaigns that PRC entities are the primary subject of.</w:t>
      </w:r>
    </w:p>
    <w:p>
      <w:pPr>
        <w:spacing w:before="0" w:after="60"/>
      </w:pPr>
      <w:r>
        <w:t xml:space="preserve"/>
      </w:r>
    </w:p>
    <w:p>
      <w:pPr>
        <w:pStyle w:val="Heading3"/>
        <w:spacing w:before="180" w:after="80"/>
      </w:pPr>
      <w:r>
        <w:rPr>
          <w:rFonts w:ascii="Arial" w:cs="Arial" w:eastAsia="Arial" w:hAnsi="Arial"/>
          <w:b/>
          <w:bCs/>
          <w:color w:val="4A5568"/>
          <w:sz w:val="22"/>
          <w:szCs w:val="22"/>
        </w:rPr>
        <w:t xml:space="preserve">Enforcement Architecture Intelligence (ESCALATE-01)</w:t>
      </w:r>
    </w:p>
    <w:p>
      <w:pPr>
        <w:spacing w:before="60" w:after="120"/>
        <w:jc w:val="both"/>
      </w:pPr>
      <w:r>
        <w:rPr>
          <w:rFonts w:ascii="Arial" w:cs="Arial" w:eastAsia="Arial" w:hAnsi="Arial"/>
          <w:sz w:val="22"/>
          <w:szCs w:val="22"/>
        </w:rPr>
        <w:t xml:space="preserve">ESCALATE-01’s Phase architecture, verification framework, and secondary sanctions geographic sensitivity matrix collectively document the procedural sequence that would govern any OFAC/BIS action targeting PRC-affiliated entities. The Principals Committee approval requirement for Chinese state bank secondary designations (Section 2.3 geographic matrix) discloses the specific authority level required before the most consequential enforcement action against PRC financial institutions can proceed, providing PRC entities an assessment of the internal procedural barrier that must be overcome before they face SDN exposure.</w:t>
      </w:r>
    </w:p>
    <w:p>
      <w:pPr>
        <w:spacing w:before="0" w:after="60"/>
      </w:pPr>
      <w:r>
        <w:t xml:space="preserve"/>
      </w:r>
    </w:p>
    <w:p>
      <w:pPr>
        <w:pStyle w:val="Heading3"/>
        <w:spacing w:before="180" w:after="80"/>
      </w:pPr>
      <w:r>
        <w:rPr>
          <w:rFonts w:ascii="Arial" w:cs="Arial" w:eastAsia="Arial" w:hAnsi="Arial"/>
          <w:b/>
          <w:bCs/>
          <w:color w:val="4A5568"/>
          <w:sz w:val="22"/>
          <w:szCs w:val="22"/>
        </w:rPr>
        <w:t xml:space="preserve">Enforcement Credibility Gap Intelligence (RESILIENCE-01)</w:t>
      </w:r>
    </w:p>
    <w:p>
      <w:pPr>
        <w:spacing w:before="60" w:after="120"/>
        <w:jc w:val="both"/>
      </w:pPr>
      <w:r>
        <w:rPr>
          <w:rFonts w:ascii="Arial" w:cs="Arial" w:eastAsia="Arial" w:hAnsi="Arial"/>
          <w:sz w:val="22"/>
          <w:szCs w:val="22"/>
        </w:rPr>
        <w:t xml:space="preserve">RESILIENCE-01 Part X’s explicit assessment that U.S. semiconductor fabrication and critical minerals processing fall below enforcement-credibility thresholds through at least 2030 under current trajectory constitutes a U.S.-authored strategic assessment that PRC technology-denial coalition management is more fragile than U.S. official statements suggest. PRC strategic planners can use this assessment to calibrate the pace and timing of export control countermeasures and subsidized pricing campaigns relative to the U.S. implementation window.</w:t>
      </w:r>
    </w:p>
    <w:p>
      <w:pPr>
        <w:spacing w:before="0" w:after="60"/>
      </w:pPr>
      <w:r>
        <w:t xml:space="preserve"/>
      </w:r>
    </w:p>
    <w:p>
      <w:pPr>
        <w:pStyle w:val="Heading3"/>
        <w:spacing w:before="180" w:after="80"/>
      </w:pPr>
      <w:r>
        <w:rPr>
          <w:rFonts w:ascii="Arial" w:cs="Arial" w:eastAsia="Arial" w:hAnsi="Arial"/>
          <w:b/>
          <w:bCs/>
          <w:color w:val="4A5568"/>
          <w:sz w:val="22"/>
          <w:szCs w:val="22"/>
        </w:rPr>
        <w:t xml:space="preserve">Countermeasure Timing Intelligence (RESILIENCE-01)</w:t>
      </w:r>
    </w:p>
    <w:p>
      <w:pPr>
        <w:spacing w:before="60" w:after="120"/>
        <w:jc w:val="both"/>
      </w:pPr>
      <w:r>
        <w:rPr>
          <w:rFonts w:ascii="Arial" w:cs="Arial" w:eastAsia="Arial" w:hAnsi="Arial"/>
          <w:sz w:val="22"/>
          <w:szCs w:val="22"/>
        </w:rPr>
        <w:t xml:space="preserve">RESILIENCE-01’s explicit identification of 2026–2028 as the highest-vulnerability window for U.S. industrial resilience strategy implementation — when capacity commitments exist but operational output does not — provides MOFCOM and NDRC analysts with a U.S. government-equivalent assessment of when PRC export restriction or subsidized pricing countermeasures would impose maximum strategic cost. The document explicitly models the contractual commitment stage as the critical boundary before which countermeasures are most effective, which constitutes a countermeasure timing roadmap.</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3.2 Russia — SVR / FSB Financial Intelligence Directorate</w:t>
      </w:r>
    </w:p>
    <w:p>
      <w:pPr>
        <w:spacing w:before="60" w:after="120"/>
        <w:jc w:val="both"/>
      </w:pPr>
      <w:r>
        <w:rPr>
          <w:rFonts w:ascii="Arial" w:cs="Arial" w:eastAsia="Arial" w:hAnsi="Arial"/>
          <w:sz w:val="22"/>
          <w:szCs w:val="22"/>
        </w:rPr>
        <w:t xml:space="preserve">[MODERATE CONFIDENCE, ANALYTICALLY INFERRED]</w:t>
      </w:r>
    </w:p>
    <w:p>
      <w:pPr>
        <w:spacing w:before="60" w:after="120"/>
        <w:jc w:val="both"/>
      </w:pPr>
      <w:r>
        <w:rPr>
          <w:rFonts w:ascii="Arial" w:cs="Arial" w:eastAsia="Arial" w:hAnsi="Arial"/>
          <w:sz w:val="22"/>
          <w:szCs w:val="22"/>
        </w:rPr>
        <w:t xml:space="preserve">Russia’s primary utility from these documents is concentrated in ESCALATE-01’s Russia country section (Section 8.3) with its shadow fleet enforcement lag disclosure, and in the institutional throughput constraint layer (Part VI). The shadow fleet enforcement lag sentence — noting that scaling shadow fleet operations introduce increasing enforcement lag requiring periodic maritime denial effectiveness recalibration — constitutes an explicit disclosure that Russian shadow fleet expansion is analytically assessed as degrading enforcement effectiveness over time. Russian strategic planners can treat this as an assessment confirming the strategic logic of continued shadow fleet investment.</w:t>
      </w:r>
    </w:p>
    <w:p>
      <w:pPr>
        <w:spacing w:before="60" w:after="120"/>
        <w:jc w:val="both"/>
      </w:pPr>
      <w:r>
        <w:rPr>
          <w:rFonts w:ascii="Arial" w:cs="Arial" w:eastAsia="Arial" w:hAnsi="Arial"/>
          <w:sz w:val="22"/>
          <w:szCs w:val="22"/>
        </w:rPr>
        <w:t xml:space="preserve">The OFAC 200–400 designation/year capacity band and the 12–24 month BIS enforcement lag for FDPR third-country targets in Part VI indicate to Russian entities a capacity constraint envelope within which evasion activities can be calibrated. The public record does not establish that Russian entities have used similar capacity constraint analysis in prior enforcement evasion planning. Available reporting on Russian financial intelligence methodology is consistent with this type of institutional capacity analysis being of operational interest.</w:t>
      </w:r>
    </w:p>
    <w:p>
      <w:pPr>
        <w:spacing w:before="0" w:after="80"/>
      </w:pPr>
      <w:r>
        <w:t xml:space="preserve"/>
      </w:r>
    </w:p>
    <w:p>
      <w:pPr>
        <w:pStyle w:val="Heading2"/>
        <w:spacing w:before="240" w:after="120"/>
      </w:pPr>
      <w:r>
        <w:rPr>
          <w:rFonts w:ascii="Arial" w:cs="Arial" w:eastAsia="Arial" w:hAnsi="Arial"/>
          <w:b/>
          <w:bCs/>
          <w:color w:val="1B2A4A"/>
          <w:sz w:val="24"/>
          <w:szCs w:val="24"/>
        </w:rPr>
        <w:t xml:space="preserve">3.3 Iran — MOIS / IRGC Intelligence</w:t>
      </w:r>
    </w:p>
    <w:p>
      <w:pPr>
        <w:spacing w:before="60" w:after="120"/>
        <w:jc w:val="both"/>
      </w:pPr>
      <w:r>
        <w:rPr>
          <w:rFonts w:ascii="Arial" w:cs="Arial" w:eastAsia="Arial" w:hAnsi="Arial"/>
          <w:sz w:val="22"/>
          <w:szCs w:val="22"/>
        </w:rPr>
        <w:t xml:space="preserve">[MODERATE CONFIDENCE, ANALYTICALLY INFERRED]</w:t>
      </w:r>
    </w:p>
    <w:p>
      <w:pPr>
        <w:spacing w:before="60" w:after="120"/>
        <w:jc w:val="both"/>
      </w:pPr>
      <w:r>
        <w:rPr>
          <w:rFonts w:ascii="Arial" w:cs="Arial" w:eastAsia="Arial" w:hAnsi="Arial"/>
          <w:sz w:val="22"/>
          <w:szCs w:val="22"/>
        </w:rPr>
        <w:t xml:space="preserve">Iran’s primary utility is concentrated in ESCALATE-01’s Iran country section (Section 8.1) and the compliance theater adversary adaptation pattern (Part XI Section 9.3). The Iran country section’s explicit Underperformance Path — maximum pressure without clear off-ramp repeating 2018–2020 pattern — constitutes a U.S. analyst’s assessment of the specific condition under which the enforcement framework is most likely to fail against Iran. Iranian strategic planners have demonstrated awareness of allied coalition dynamics from prior campaign experience; this document provides a structured assessment confirming which failure mode the U.S. analyst treats as most likely to recur.</w:t>
      </w:r>
    </w:p>
    <w:p>
      <w:pPr>
        <w:spacing w:before="60" w:after="120"/>
        <w:jc w:val="both"/>
      </w:pPr>
      <w:r>
        <w:rPr>
          <w:rFonts w:ascii="Arial" w:cs="Arial" w:eastAsia="Arial" w:hAnsi="Arial"/>
          <w:sz w:val="22"/>
          <w:szCs w:val="22"/>
        </w:rPr>
        <w:t xml:space="preserve">The IEEPA authority failure contingency layer (Section 3.6) is assessed as potentially significant for Iranian legal strategy. The four-step re-designation sequence and the domain-specific enforcement degradation estimate — specifically noting that Iran energy sector measures rely most heavily on broad IEEPA authority — discloses which Iranian-targeted sanctions measures are most vulnerable to judicial challenge under major questions doctrine litigation. The public record does not establish that Iranian legal counsel has identified ESCALATE-01 as a litigation planning resource.</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IV: Legal Exposure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LEGAL ASSESSMENT SCOPE</w:t>
            </w:r>
          </w:p>
          <w:p>
            <w:pPr>
              <w:spacing w:before="0" w:after="60"/>
            </w:pPr>
            <w:r>
              <w:rPr>
                <w:rFonts w:ascii="Arial" w:cs="Arial" w:eastAsia="Arial" w:hAnsi="Arial"/>
                <w:sz w:val="20"/>
                <w:szCs w:val="20"/>
              </w:rPr>
              <w:t xml:space="preserve">This legal analysis is produced for the author’s awareness and does not constitute legal advice. All assessed legal frameworks are applied to publicly available content only. The analysis does not assess classified information implications because no classified information is present in either document.</w:t>
            </w:r>
          </w:p>
          <w:p>
            <w:pPr>
              <w:spacing w:before="0" w:after="60"/>
            </w:pPr>
            <w:r>
              <w:rPr>
                <w:rFonts w:ascii="Arial" w:cs="Arial" w:eastAsia="Arial" w:hAnsi="Arial"/>
                <w:sz w:val="20"/>
                <w:szCs w:val="20"/>
              </w:rPr>
              <w:t xml:space="preserve">Confidence labels follow WP-2026 Verbiage Guide v2.1. Overall Legal Exposure Assessment: VERY LOW across all frameworks for both documents. [MODERATE CONFIDENCE, ANALYTICALLY INFERRED]</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4.1 Espionage Act — 18 U.S.C. §§ 791–799</w:t>
      </w:r>
    </w:p>
    <w:p>
      <w:pPr>
        <w:spacing w:before="60" w:after="120"/>
        <w:jc w:val="both"/>
      </w:pPr>
      <w:r>
        <w:rPr>
          <w:rFonts w:ascii="Arial" w:cs="Arial" w:eastAsia="Arial" w:hAnsi="Arial"/>
          <w:sz w:val="22"/>
          <w:szCs w:val="22"/>
        </w:rPr>
        <w:t xml:space="preserve">Available legal authority is consistent with the judgment that neither ESCALATE-01 nor RESILIENCE-01 satisfies the required elements of the Espionage Act. Both documents are derived entirely from public sources (OFAC SDN lists, Supreme Court decisions, USGS Mineral Commodity Summaries, SIA industry reports, BIS enforcement assessments, UN Panel of Experts reports). No national defense information — defined by reference to closely held information whose disclosure could damage national defense — is present. The aggregation of public-source enforcement architecture analysis does not satisfy the NDI element under United States v. Morison, 844 F.2d 1057 (4th Cir. 1988), which conditions the element on whether the information was closely held, not merely whether it is analytically sophisticated.</w:t>
      </w:r>
    </w:p>
    <w:p>
      <w:pPr>
        <w:spacing w:before="60" w:after="120"/>
        <w:jc w:val="both"/>
      </w:pPr>
      <w:r>
        <w:rPr>
          <w:rFonts w:ascii="Arial" w:cs="Arial" w:eastAsia="Arial" w:hAnsi="Arial"/>
          <w:sz w:val="22"/>
          <w:szCs w:val="22"/>
        </w:rPr>
        <w:t xml:space="preserve">ESCALATE-01’s IEEPA judicial risk analysis (Part III) warrants note: the document discusses ongoing major questions doctrine litigation and assesses potential judicial outcomes. This analysis is based entirely on public Supreme Court decisions (West Virginia v. EPA, 597 U.S. 697, 2022; Loper Bright Enterprises v. Raimondo, 603 U.S. 369, 2024) and is widely available in legal commentary. It does not implicate any restricted information about government litigation strategy or pending judicial proceedings.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4.2 AECA / ITAR and EAR</w:t>
      </w:r>
    </w:p>
    <w:p>
      <w:pPr>
        <w:spacing w:before="60" w:after="120"/>
        <w:jc w:val="both"/>
      </w:pPr>
      <w:r>
        <w:rPr>
          <w:rFonts w:ascii="Arial" w:cs="Arial" w:eastAsia="Arial" w:hAnsi="Arial"/>
          <w:sz w:val="22"/>
          <w:szCs w:val="22"/>
        </w:rPr>
        <w:t xml:space="preserve">Neither document contains USML-controlled technical data or CCL-controlled technology as defined at 15 C.F.R. § 772.1. Both documents address enforcement architecture, industrial policy strategy, and legal authority frameworks. Policy analysis of export control frameworks is not EAR-controlled ‘technology’ under the statutory definition. RESILIENCE-01’s discussion of FDPR enforcement methodology describes legal authority and allied coordination dynamics, not the technical parameters of controlled items. The industrial capacity data in RESILIENCE-01 (semiconductor fabrication shares, critical minerals processing concentrations) is sourced from public USGS, SIA, and BIS documentation.</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4.3 IEEPA Judicial Risk Discussion — Special Note</w:t>
      </w:r>
    </w:p>
    <w:p>
      <w:pPr>
        <w:spacing w:before="60" w:after="120"/>
        <w:jc w:val="both"/>
      </w:pPr>
      <w:r>
        <w:rPr>
          <w:rFonts w:ascii="Arial" w:cs="Arial" w:eastAsia="Arial" w:hAnsi="Arial"/>
          <w:sz w:val="22"/>
          <w:szCs w:val="22"/>
        </w:rPr>
        <w:t xml:space="preserve">ESCALATE-01’s explicit analysis of IEEPA’s vulnerability to major questions doctrine challenges (Section 3.5) and the authority failure contingency layer (Section 3.6) merit specific attention. The analysis accurately characterizes the current judicial environment based on public Supreme Court decisions and cites no restricted information. The document explicitly notes that “neither decision directly addressed IEEPA and the extent of their application to IEEPA-based enforcement remains unsettled” — this is legally accurate and appropriately hedged.</w:t>
      </w:r>
    </w:p>
    <w:p>
      <w:pPr>
        <w:spacing w:before="60" w:after="120"/>
        <w:jc w:val="both"/>
      </w:pPr>
      <w:r>
        <w:rPr>
          <w:rFonts w:ascii="Arial" w:cs="Arial" w:eastAsia="Arial" w:hAnsi="Arial"/>
          <w:sz w:val="22"/>
          <w:szCs w:val="22"/>
        </w:rPr>
        <w:t xml:space="preserve">Available constitutional authority is consistent with the judgment that this analysis constitutes protected commentary on matters of public concern at the highest First Amendment protection level per Snyder v. Phelps, 562 U.S. 443 (2011). Academic and policy commentary on the scope of executive authority and judicial review is squarely within the core of protected political speech. The public record does not establish any legal precedent under which analysis of publicly decided Supreme Court cases and their implications for executive statutory authority constitutes a cognizable legal risk.</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4.4 Legal Risk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800"/>
        <w:gridCol w:w="1200"/>
        <w:gridCol w:w="4440"/>
      </w:tblGrid>
      <w:tr>
        <w:trPr>
          <w:tblHeader/>
        </w:trPr>
        <w:tc>
          <w:tcPr>
            <w:tcW w:type="dxa" w:w="19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LEGAL THEORY / RISK VECTOR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APPLICABLE FRAMEWORK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ASSESSED LIKELIHOOD</w:t>
            </w:r>
          </w:p>
        </w:tc>
        <w:tc>
          <w:tcPr>
            <w:tcW w:type="dxa" w:w="4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ANALYSIS AND LIMITS</w:t>
            </w:r>
          </w:p>
        </w:tc>
      </w:tr>
      <w:tr>
        <w:trPr>
          <w:tblHeader w:val="false"/>
        </w:trPr>
        <w:tc>
          <w:tcPr>
            <w:tcW w:type="dxa" w:w="19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7"/>
                <w:szCs w:val="17"/>
              </w:rPr>
              <w:t xml:space="preserve">Espionage Act (18 U.S.C. § 793)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NDI element; unauthorized transmission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 — Not Applicable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All content from public sources; no classified information; NDI element not satisfied; aggregation of public-source enforcement architecture analysis does not implicate statute per Morison</w:t>
            </w:r>
          </w:p>
        </w:tc>
      </w:tr>
      <w:tr>
        <w:trPr>
          <w:tblHeader w:val="false"/>
        </w:trPr>
        <w:tc>
          <w:tcPr>
            <w:tcW w:type="dxa" w:w="19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7"/>
                <w:szCs w:val="17"/>
              </w:rPr>
              <w:t xml:space="preserve">AECA / ITAR (22 C.F.R. Parts 120–130)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USML technical data; defense article export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 — Not Applicable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No USML-controlled technical data present; enforcement architecture and industrial policy analysis not on USML; FDPR discussion addresses legal framework, not controlled item parameters</w:t>
            </w:r>
          </w:p>
        </w:tc>
      </w:tr>
      <w:tr>
        <w:trPr>
          <w:tblHeader w:val="false"/>
        </w:trPr>
        <w:tc>
          <w:tcPr>
            <w:tcW w:type="dxa" w:w="19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7"/>
                <w:szCs w:val="17"/>
              </w:rPr>
              <w:t xml:space="preserve">EAR (15 C.F.R. Parts 730–774)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CCL technology; dual-use item export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 — Not Applicable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Policy analysis of export control frameworks is not EAR-controlled ‘technology’ under § 772.1 definition; industrial capacity data sourced from public USGS/SIA/BIS documentation</w:t>
            </w:r>
          </w:p>
        </w:tc>
      </w:tr>
      <w:tr>
        <w:trPr>
          <w:tblHeader w:val="false"/>
        </w:trPr>
        <w:tc>
          <w:tcPr>
            <w:tcW w:type="dxa" w:w="19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7"/>
                <w:szCs w:val="17"/>
              </w:rPr>
              <w:t xml:space="preserve">CFAA (18 U.S.C. § 1030)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Unauthorized computer 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 — Not Applicable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All sources accessed through authorized public channels; no unauthorized access to any protected computer system</w:t>
            </w:r>
          </w:p>
        </w:tc>
      </w:tr>
      <w:tr>
        <w:trPr>
          <w:tblHeader w:val="false"/>
        </w:trPr>
        <w:tc>
          <w:tcPr>
            <w:tcW w:type="dxa" w:w="19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7"/>
                <w:szCs w:val="17"/>
              </w:rPr>
              <w:t xml:space="preserve">First Amendment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Protected speech (academic/policy commentary)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PROTECTIVE — Applies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IEEPA judicial risk analysis and enforcement architecture commentary constitute protected commentary on matters of public concern; highest First Amendment protection level per Snyder v. Phelps</w:t>
            </w:r>
          </w:p>
        </w:tc>
      </w:tr>
      <w:tr>
        <w:trPr>
          <w:tblHeader w:val="false"/>
        </w:trPr>
        <w:tc>
          <w:tcPr>
            <w:tcW w:type="dxa" w:w="19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7"/>
                <w:szCs w:val="17"/>
              </w:rPr>
              <w:t xml:space="preserve">Security Clearance / OPSEC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Adjudicative guidelines; foreign preference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Author holds no current clearance; public-source methodology; proactive CI self-assessment supports favorable adjudicative characterization; no identified conduct implicates adjudicative guidelines</w:t>
            </w:r>
          </w:p>
        </w:tc>
      </w:tr>
      <w:tr>
        <w:trPr>
          <w:tblHeader w:val="false"/>
        </w:trPr>
        <w:tc>
          <w:tcPr>
            <w:tcW w:type="dxa" w:w="19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7"/>
                <w:szCs w:val="17"/>
              </w:rPr>
              <w:t xml:space="preserve">Academic Integrity / Copyright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Misattribution; derivative works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LOW-MODERATE</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Most plausible exposure vector; manageable through citation discipline; GitHub timestamping and SSRN submission establish priority of publication</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 Analytic Method Exposure Assessment</w:t>
      </w:r>
    </w:p>
    <w:p>
      <w:pPr>
        <w:spacing w:before="60" w:after="120"/>
        <w:jc w:val="both"/>
      </w:pPr>
      <w:r>
        <w:rPr>
          <w:rFonts w:ascii="Arial" w:cs="Arial" w:eastAsia="Arial" w:hAnsi="Arial"/>
          <w:sz w:val="22"/>
          <w:szCs w:val="22"/>
        </w:rPr>
        <w:t xml:space="preserve">[MODERATE CONFIDENCE, ANALYTICALLY INFERRED]</w:t>
      </w:r>
    </w:p>
    <w:p>
      <w:pPr>
        <w:spacing w:before="60" w:after="120"/>
        <w:jc w:val="both"/>
      </w:pPr>
      <w:r>
        <w:rPr>
          <w:rFonts w:ascii="Arial" w:cs="Arial" w:eastAsia="Arial" w:hAnsi="Arial"/>
          <w:sz w:val="22"/>
          <w:szCs w:val="22"/>
        </w:rPr>
        <w:t xml:space="preserve">ESCALATE-01 adds materially to the analytic method exposure of the WP-2026 series because it documents not only enforcement architecture but the institutional decision logic — how interagency gatekeeping works, what failure modes are most likely, and how to detect and counter adversary adaptation. The document’s competing hypotheses structure (added per Verbiage Guide v2.1) explicitly names alternative explanations for observed adversary behavior, which discloses what the author treats as the primary and alternative hypotheses for each analytical question.</w:t>
      </w:r>
    </w:p>
    <w:p>
      <w:pPr>
        <w:spacing w:before="60" w:after="120"/>
        <w:jc w:val="both"/>
      </w:pPr>
      <w:r>
        <w:rPr>
          <w:rFonts w:ascii="Arial" w:cs="Arial" w:eastAsia="Arial" w:hAnsi="Arial"/>
          <w:sz w:val="22"/>
          <w:szCs w:val="22"/>
        </w:rPr>
        <w:t xml:space="preserve">RESILIENCE-01’s explicit failure probability layer represents a methodological disclosure of how the author models implementation risk: assigning probability bands to political, legislative, and adversary countermeasure failure modes with explicit confidence labels. The compound failure scenario assessment discloses the author’s risk aggregation methodology and the specific combinations the author treats as most consequential.</w:t>
      </w:r>
    </w:p>
    <w:p>
      <w:pPr>
        <w:spacing w:before="60" w:after="120"/>
        <w:jc w:val="both"/>
      </w:pPr>
      <w:r>
        <w:rPr>
          <w:rFonts w:ascii="Arial" w:cs="Arial" w:eastAsia="Arial" w:hAnsi="Arial"/>
          <w:sz w:val="22"/>
          <w:szCs w:val="22"/>
        </w:rPr>
        <w:t xml:space="preserve">The verbiage guide compliance in both documents — including the attribution-assessment-limits paragraph architecture, subsection closure sentences, and open-source visibility bias acknowledgments — is itself an analytic method disclosure that reveals the author’s evidentiary discipline and the specific points at which the author acknowledges the public record’s limits. The principal uncertainty concerning this method exposure is that it is inseparable from the analytic rigor that makes the documents valuable to legitimate audiences; reduction would degrade the documents’ value proportionally.</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VI: Source Triangulation Risk Assessment</w:t>
      </w:r>
    </w:p>
    <w:p>
      <w:pPr>
        <w:spacing w:before="60" w:after="120"/>
        <w:jc w:val="both"/>
      </w:pPr>
      <w:r>
        <w:rPr>
          <w:rFonts w:ascii="Arial" w:cs="Arial" w:eastAsia="Arial" w:hAnsi="Arial"/>
          <w:sz w:val="22"/>
          <w:szCs w:val="22"/>
        </w:rPr>
        <w:t xml:space="preserve">ESCALATE-01’s Tier 1 sources (ODNI ATA, OFAC SDN List, EU Council Regulations, UN Panel of Experts reports, Supreme Court decisions) are government-published and present no source triangulation risk. Tier 2 sources (Vortexa oil flow data, SIA semiconductor industry reports, Atlantic Council analysis) are commercial or think-tank publications with no proprietary access implications.</w:t>
      </w:r>
    </w:p>
    <w:p>
      <w:pPr>
        <w:spacing w:before="60" w:after="120"/>
        <w:jc w:val="both"/>
      </w:pPr>
      <w:r>
        <w:rPr>
          <w:rFonts w:ascii="Arial" w:cs="Arial" w:eastAsia="Arial" w:hAnsi="Arial"/>
          <w:sz w:val="22"/>
          <w:szCs w:val="22"/>
        </w:rPr>
        <w:t xml:space="preserve">RESILIENCE-01’s source architecture similarly presents low triangulation risk. The USGS Mineral Commodity Summaries, NERC reliability assessments, BIS FDPR assessments, and IEA reports are all government or multilateral agency publications. The SIA 2024 semiconductor data and BloombergNEF battery cost benchmarks are commercial publications. No source in either document requires privileged access or discloses a non-public source hierarchy.</w:t>
      </w:r>
    </w:p>
    <w:p>
      <w:pPr>
        <w:spacing w:before="60" w:after="120"/>
        <w:jc w:val="both"/>
      </w:pPr>
      <w:r>
        <w:rPr>
          <w:rFonts w:ascii="Arial" w:cs="Arial" w:eastAsia="Arial" w:hAnsi="Arial"/>
          <w:sz w:val="22"/>
          <w:szCs w:val="22"/>
        </w:rPr>
        <w:t xml:space="preserve">The one non-trivial triangulation risk is ESCALATE-01’s Russia chapter reference to OFAC SDN List designations dated October 22, 2025 (Rosneft and Lukoil), which identifies the author’s awareness of specific dated enforcement actions at a level of specificity that confirms active monitoring of the OFAC SDN list. This is not a classified source risk but does confirm the author’s sustained engagement with real-time enforcement data. The public record does not establish that this level of OFAC monitoring is operationally significant for adversary source identification purposes.</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VII: Intelligence Gap Disclosure Assessment</w:t>
      </w:r>
    </w:p>
    <w:p>
      <w:pPr>
        <w:spacing w:before="60" w:after="120"/>
        <w:jc w:val="both"/>
      </w:pPr>
      <w:r>
        <w:rPr>
          <w:rFonts w:ascii="Arial" w:cs="Arial" w:eastAsia="Arial" w:hAnsi="Arial"/>
          <w:sz w:val="22"/>
          <w:szCs w:val="22"/>
        </w:rPr>
        <w:t xml:space="preserve">The following disclosed gaps are assessed in order of adversary utility, consistent with the methodology in CI-Assessment v3.0.</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PAPER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DISCLOSED GAP</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ADVERSARY UTILITY</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ESCALATE-01 Part VI
(OFAC throughput)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BIS enforcement lag for FDPR third-country targets assessed as 12–24 months [ANALYTIC-DEFAULT]; public record does not establish current BIS backlog or case resolution timelines with precision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Discloses that the enforcement window for FDPR third-country violations extends 12–24 months from violation identification; adversary semiconductor equipment suppliers can calibrate non-compliant technology transfer within this window</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ESCALATE-01 Part IV
(Verification limits)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Available evidence does not resolve whether behavioral change in target states was caused by sanctions pressure as opposed to domestic political shifts or third-party diplomatic intervention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Confirms the U.S. analyst’s uncertainty about the causal mechanism of prior compliance; adversaries can exploit this uncertainty by engineering compliance appearance without addressing the causal driver the U.S. cannot confirm</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ESCALATE-01 Part III
(IEEPA uncertainty)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Extent of major questions doctrine application to IEEPA-based enforcement remains unsettled; public record does not permit a firm conclusion on outcome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Confirms that the primary enforcement authority’s judicial vulnerability is analytically unresolved; adversary legal counsel can treat this as a U.S. government-equivalent assessment that IEEPA challenge litigation has a non-trivial probability of success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RESILIENCE-01 Part XI
(PRC intent uncertainty)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Public record does not establish whether PRC countermeasure planning is currently in Phase A, Phase B, or an earlier reconnaissance stage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Signals that U.S. analysts cannot confidently assess PRC countermeasure deployment stage; adversaries can infer that threshold-testing behavior at Phase A intensity may not be identified as Phase A</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RESILIENCE-01 Part X
(Threshold limits)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Adequacy threshold figures are analytically inferred planning thresholds, not formally codified requirements; reasonable alternative threshold assessments exist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Signals that the enforcement-credibility thresholds used in this assessment are not validated instruments; adversaries may assess that actual U.S. enforcement tolerance extends further than the paper’s threshold analysis suggests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sz w:val="17"/>
                <w:szCs w:val="17"/>
              </w:rPr>
              <w:t xml:space="preserve">RESILIENCE-01 Part VII
(Coordination limits)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Available evidence does not resolve whether coordination mechanisms suffice against structural market barriers, or whether the primary barrier is structural market economics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Confirms that the U.S. analyst’s own assessment is that coordination design alone may be insufficient; adversaries can use this to assess that structural price suppression campaigns are analytically recognized as potentially defeating the framework regardless of governance quality</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VIII: Consolidated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80"/>
        <w:gridCol w:w="1080"/>
        <w:gridCol w:w="22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RISK DIMENSION</w:t>
            </w:r>
          </w:p>
        </w:tc>
        <w:tc>
          <w:tcPr>
            <w:tcW w:type="dxa" w:w="4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ASSESSMENT</w:t>
            </w:r>
          </w:p>
        </w:tc>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RATING</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Enforcement Sequencing Intelligence (ESCALATE-01)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 — Phase architecture, verification framework, secondary sanctions threshold, and geographic sensitivity matrix collectively document the institutional decision sequence governing non-kinetic campaigns; the country mini-boxes’ Underperformance Path designations are the most concentrated single-session disclosure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40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Authority Vulnerability Disclosure (ESCALATE-01 Part III)</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 — IEEPA judicial risk analysis and authority failure contingency layer provide adversary legal counsel with a structured analysis of the enforcement authority’s statutory vulnerability and the domain-specific degradation estimate under judicial challenge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40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MODERATE-HIGH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Process Degradation Intelligence (ESCALATE-01)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 Emergency exception protocol, compressed timeline mode, and framework decay section collectively disclose specific conditions under which enforcement architecture degrades, non-waivable controls that remain active, and institutional decay mechanisms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5500"/>
                <w:sz w:val="18"/>
                <w:szCs w:val="18"/>
              </w:rPr>
              <w:t xml:space="preserve">MODERATE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Institutional Throughput Constraints (ESCALATE-01 Part VI)</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 — OFAC designation capacity band, DOJ forfeiture timeline, and BIS enforcement lag constitute enforcement capacity parameters adversaries can use to calibrate evasion timing; BIS 12–24 month FDPR lag is most directly actionable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40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LOW-MODERATE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Enforcement Credibility Gap (RESILIENCE-01 Part X)</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 — U.S.-authored assessment that semiconductor and critical minerals processing fall below enforcement-credibility thresholds through 2030 constitutes a strategic assessment that technology-denial coalition management is structurally fragile in the near term</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40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Countermeasure Timing Intelligence (RESILIENCE-01 Part XI)</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HIGH — 2026–2028 high-vulnerability window identification and contractual commitment stage boundary constitute a countermeasure timing roadmap for PRC MOFCOM; the document explicitly models the conditions under which PRC countermeasures impose maximum strategic cost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A4000"/>
                <w:sz w:val="18"/>
                <w:szCs w:val="18"/>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Implementation Failure Probability (RESILIENCE-01 Part IX)</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 Six failure mode probability estimates and compound failure scenario provide adversaries a U.S.-authored assessment of the probability that domestic industrial resilience strategy fails to reach adequacy thresholds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5500"/>
                <w:sz w:val="18"/>
                <w:szCs w:val="18"/>
              </w:rPr>
              <w:t xml:space="preserve">MODERATE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LOW-MODERATE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Analytic Method Exposure (Both)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 Competing hypotheses structure, explicit limits sentences, failure probability methodology, and verbiage guide compliance collectively expose analytical reasoning patterns; inseparable from the documents’ analytic value to legitimate audiences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5500"/>
                <w:sz w:val="18"/>
                <w:szCs w:val="18"/>
              </w:rPr>
              <w:t xml:space="preserve">MODERATE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Legal Exposure (Both)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 — No applicable U.S. legal framework is implicated; all material derives from public sources; First Amendment protections apply at highest level; IEEPA judicial risk analysis accurately cites public precedent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2E"/>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Source Triangulation Risk (Both)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LOW — Tier 1 and Tier 2 sources are government publications and commercial analytics; no proprietary access implied; Vortexa and SIA citations present no non-public source hierarchy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C2E"/>
                <w:sz w:val="18"/>
                <w:szCs w:val="18"/>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CONFIDENCE</w:t>
            </w:r>
          </w:p>
        </w:tc>
      </w:tr>
      <w:tr>
        <w:trPr>
          <w:tblHeader w:val="false"/>
        </w:trP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1B2A4A"/>
                <w:sz w:val="18"/>
                <w:szCs w:val="18"/>
              </w:rPr>
              <w:t xml:space="preserve">Aggregation Contribution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MODERATE-HIGH — ESCALATE-01 adds the institutional decision architecture bridge between MAXPRESS-01 execution and SHIELD-01 applied enforcement; RESILIENCE-01 adds domestic capacity prerequisite intelligence that adversaries can use to assess enforcement credibility sustainability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8"/>
                <w:szCs w:val="18"/>
              </w:rPr>
              <w:t xml:space="preserve">MOD-HIGH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MODERATE CONFIDENCE</w:t>
            </w:r>
          </w:p>
        </w:tc>
      </w:tr>
    </w:tbl>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IX: Recommendations</w:t>
      </w:r>
    </w:p>
    <w:p>
      <w:pPr>
        <w:spacing w:before="60" w:after="120"/>
        <w:jc w:val="both"/>
      </w:pPr>
      <w:r>
        <w:rPr>
          <w:rFonts w:ascii="Arial" w:cs="Arial" w:eastAsia="Arial" w:hAnsi="Arial"/>
          <w:sz w:val="22"/>
          <w:szCs w:val="22"/>
        </w:rPr>
        <w:t xml:space="preserve">The following recommendations are calibrated to an author who has already published these documents publicly. As established in CI-Assessment v3.0, retraction carries no CI benefit for published material and significant academic cost. The primary concern is risk awareness for future series design and for academic submission context.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4000" w:sz="16"/>
              <w:bottom w:val="none" w:color="FFFFFF" w:sz="0"/>
              <w:right w:val="none" w:color="FFFFFF" w:sz="0"/>
            </w:tcBorders>
            <w:shd w:fill="FEF3E2" w:val="clear"/>
            <w:tcMar>
              <w:top w:type="dxa" w:w="120"/>
              <w:left w:type="dxa" w:w="160"/>
              <w:bottom w:type="dxa" w:w="120"/>
              <w:right w:type="dxa" w:w="120"/>
            </w:tcMar>
          </w:tcPr>
          <w:p>
            <w:pPr>
              <w:spacing w:before="0" w:after="80"/>
            </w:pPr>
            <w:r>
              <w:rPr>
                <w:rFonts w:ascii="Arial" w:cs="Arial" w:eastAsia="Arial" w:hAnsi="Arial"/>
                <w:b/>
                <w:bCs/>
                <w:caps/>
                <w:color w:val="7A4000"/>
                <w:sz w:val="20"/>
                <w:szCs w:val="20"/>
              </w:rPr>
              <w:t xml:space="preserve">DOCUMENTED CONSTRAINT — WHAT CANNOT BE REMEDIATED</w:t>
            </w:r>
          </w:p>
          <w:p>
            <w:pPr>
              <w:spacing w:before="0" w:after="60"/>
            </w:pPr>
            <w:r>
              <w:rPr>
                <w:rFonts w:ascii="Arial" w:cs="Arial" w:eastAsia="Arial" w:hAnsi="Arial"/>
                <w:sz w:val="20"/>
                <w:szCs w:val="20"/>
              </w:rPr>
              <w:t xml:space="preserve">Both documents are public, indexed, and accessible to any OSINT collection program. Available reporting on adversary OSINT operations is consistent with the judgment that what is published should be treated as already collected. Retraction is assessed with high confidence to carry no CI benefit and significant academic cost.</w:t>
            </w:r>
          </w:p>
        </w:tc>
      </w:tr>
    </w:tbl>
    <w:p>
      <w:pPr>
        <w:spacing w:before="0" w:after="80"/>
      </w:pPr>
      <w:r>
        <w:t xml:space="preserve"/>
      </w:r>
    </w:p>
    <w:p>
      <w:pPr>
        <w:pStyle w:val="Heading2"/>
        <w:spacing w:before="240" w:after="120"/>
      </w:pPr>
      <w:r>
        <w:rPr>
          <w:rFonts w:ascii="Arial" w:cs="Arial" w:eastAsia="Arial" w:hAnsi="Arial"/>
          <w:b/>
          <w:bCs/>
          <w:color w:val="1B2A4A"/>
          <w:sz w:val="24"/>
          <w:szCs w:val="24"/>
        </w:rPr>
        <w:t xml:space="preserve">9.1 For Future Enforcement Architecture Papers</w:t>
      </w:r>
    </w:p>
    <w:p>
      <w:pPr>
        <w:pStyle w:val="ListParagraph"/>
        <w:numPr>
          <w:ilvl w:val="0"/>
          <w:numId w:val="2"/>
        </w:numPr>
        <w:spacing w:before="40" w:after="40"/>
      </w:pPr>
      <w:r>
        <w:rPr>
          <w:rFonts w:ascii="Arial" w:cs="Arial" w:eastAsia="Arial" w:hAnsi="Arial"/>
          <w:sz w:val="22"/>
          <w:szCs w:val="22"/>
        </w:rPr>
        <w:t xml:space="preserve">Separate institutional throughput capacity estimates from the main enforcement architecture document. The OFAC designation band, DOJ forfeiture timeline, and BIS enforcement lag are operationally useful planning parameters for legitimate audiences but constitute precise enforcement capacity envelopes for adversaries. Future versions could present these as ranges without the specific analytic defaults that calibrate them.</w:t>
      </w:r>
    </w:p>
    <w:p>
      <w:pPr>
        <w:pStyle w:val="ListParagraph"/>
        <w:numPr>
          <w:ilvl w:val="0"/>
          <w:numId w:val="2"/>
        </w:numPr>
        <w:spacing w:before="40" w:after="40"/>
      </w:pPr>
      <w:r>
        <w:rPr>
          <w:rFonts w:ascii="Arial" w:cs="Arial" w:eastAsia="Arial" w:hAnsi="Arial"/>
          <w:sz w:val="22"/>
          <w:szCs w:val="22"/>
        </w:rPr>
        <w:t xml:space="preserve">Reduce specificity in Phase A detection window disclosures. The current framework’s explicit identification of the first two 90-day observability cycles as the detection window for probe behavior provides adversaries a precise timeline. The detection framework can be preserved at a structural level without specifying the exact cycle count.</w:t>
      </w:r>
    </w:p>
    <w:p>
      <w:pPr>
        <w:pStyle w:val="ListParagraph"/>
        <w:numPr>
          <w:ilvl w:val="0"/>
          <w:numId w:val="2"/>
        </w:numPr>
        <w:spacing w:before="40" w:after="40"/>
      </w:pPr>
      <w:r>
        <w:rPr>
          <w:rFonts w:ascii="Arial" w:cs="Arial" w:eastAsia="Arial" w:hAnsi="Arial"/>
          <w:sz w:val="22"/>
          <w:szCs w:val="22"/>
        </w:rPr>
        <w:t xml:space="preserve">Consider omitting domain-specific enforcement degradation estimates from public versions of authority failure contingency layers. The finding that Iran energy sector and Russia sectoral measures are most vulnerable to IEEPA challenge is analytically significant but directly actionable for adversary legal strategy. The contingency architecture can be described without specifying which targets benefit most from judicial challenge.</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9.2 For Future Industrial Resilience Papers</w:t>
      </w:r>
    </w:p>
    <w:p>
      <w:pPr>
        <w:pStyle w:val="ListParagraph"/>
        <w:numPr>
          <w:ilvl w:val="0"/>
          <w:numId w:val="2"/>
        </w:numPr>
        <w:spacing w:before="40" w:after="40"/>
      </w:pPr>
      <w:r>
        <w:rPr>
          <w:rFonts w:ascii="Arial" w:cs="Arial" w:eastAsia="Arial" w:hAnsi="Arial"/>
          <w:sz w:val="22"/>
          <w:szCs w:val="22"/>
        </w:rPr>
        <w:t xml:space="preserve">Treat the adequacy threshold gap table as an internal working document rather than a public product section. The explicit documentation that the U.S. falls below enforcement-credibility thresholds through 2030 constitutes a strategic vulnerability assessment that serves legitimate planning purposes internally but provides adversaries a documented basis for assessing enforcement sustainability. The priority discipline hierarchy and decision thresholds retain their value for legitimate audiences without the gap table.</w:t>
      </w:r>
    </w:p>
    <w:p>
      <w:pPr>
        <w:pStyle w:val="ListParagraph"/>
        <w:numPr>
          <w:ilvl w:val="0"/>
          <w:numId w:val="2"/>
        </w:numPr>
        <w:spacing w:before="40" w:after="40"/>
      </w:pPr>
      <w:r>
        <w:rPr>
          <w:rFonts w:ascii="Arial" w:cs="Arial" w:eastAsia="Arial" w:hAnsi="Arial"/>
          <w:sz w:val="22"/>
          <w:szCs w:val="22"/>
        </w:rPr>
        <w:t xml:space="preserve">Separate the high-vulnerability window identification from public countermeasure analysis. The 2026–2028 vulnerability window assessment and contractual commitment stage boundary are the most directly actionable elements of Part XI for adversary countermeasure timing. Future versions of the PRC adaptation cycle analysis can present the structural logic without identifying the specific high-vulnerability window or its boundary condition.</w:t>
      </w:r>
    </w:p>
    <w:p>
      <w:pPr>
        <w:pStyle w:val="ListParagraph"/>
        <w:numPr>
          <w:ilvl w:val="0"/>
          <w:numId w:val="2"/>
        </w:numPr>
        <w:spacing w:before="40" w:after="40"/>
      </w:pPr>
      <w:r>
        <w:rPr>
          <w:rFonts w:ascii="Arial" w:cs="Arial" w:eastAsia="Arial" w:hAnsi="Arial"/>
          <w:sz w:val="22"/>
          <w:szCs w:val="22"/>
        </w:rPr>
        <w:t xml:space="preserve">The failure probability layer’s compound failure scenario assessment can be structured as a range of scenarios rather than a specific most-consequential compound. The individual probability estimates per failure mode are analytically useful; the compound scenario that names the specific most-likely failure combination is more sensitive.</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9.3 For Academic Submission (SSRN / Journal)</w:t>
      </w:r>
    </w:p>
    <w:p>
      <w:pPr>
        <w:spacing w:before="60" w:after="120"/>
        <w:jc w:val="both"/>
      </w:pPr>
      <w:r>
        <w:rPr>
          <w:rFonts w:ascii="Arial" w:cs="Arial" w:eastAsia="Arial" w:hAnsi="Arial"/>
          <w:sz w:val="22"/>
          <w:szCs w:val="22"/>
        </w:rPr>
        <w:t xml:space="preserve">SSRN publication does not materially increase CI exposure for either document — the GitHub repository is already indexed and should be treated as already collected. SSRN adds legitimate academic credibility and attribution priority that outweighs the marginal CI cost of broader circulation. Both documents’ verbiage guide compliance, source architecture, and institutional tone support academic presentation. ESCALATE-01’s enforcement architecture is appropriate for submission to journals covering sanctions policy, international security law, and coercive diplomacy. RESILIENCE-01’s integrated industrial policy and enforcement credibility analysis is appropriate for submission to journals covering industrial policy, economic statecraft, and national security strategy.</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9.4 For Georgetown SSP Application Context</w:t>
      </w:r>
    </w:p>
    <w:p>
      <w:pPr>
        <w:spacing w:before="60" w:after="120"/>
        <w:jc w:val="both"/>
      </w:pPr>
      <w:r>
        <w:rPr>
          <w:rFonts w:ascii="Arial" w:cs="Arial" w:eastAsia="Arial" w:hAnsi="Arial"/>
          <w:sz w:val="22"/>
          <w:szCs w:val="22"/>
        </w:rPr>
        <w:t xml:space="preserve">The CI exposure of ESCALATE-01 and RESILIENCE-01 is a byproduct of their analytical sophistication, not a deficiency. A doctoral program reviewer assessing this work will recognize the institutional tone, confidence labeling, competing hypotheses discipline, and analytic limits language as evidence of serious IC-trained analytical methodology. The self-assessment of CI exposure in this document demonstrates awareness of the real-world implications of open-source policy research, which is itself evidence of the kind of analytical maturity Georgetown’s Security Studies Program values.</w:t>
      </w:r>
    </w:p>
    <w:p>
      <w:pPr>
        <w:spacing w:before="0" w:after="60"/>
      </w:pPr>
      <w:r>
        <w:t xml:space="preserve"/>
      </w:r>
    </w:p>
    <w:p>
      <w:pPr>
        <w:pStyle w:val="Heading2"/>
        <w:spacing w:before="240" w:after="120"/>
      </w:pPr>
      <w:r>
        <w:rPr>
          <w:rFonts w:ascii="Arial" w:cs="Arial" w:eastAsia="Arial" w:hAnsi="Arial"/>
          <w:b/>
          <w:bCs/>
          <w:color w:val="1B2A4A"/>
          <w:sz w:val="24"/>
          <w:szCs w:val="24"/>
        </w:rPr>
        <w:t xml:space="preserve">9.5 For Security Clearance Adjudication</w:t>
      </w:r>
    </w:p>
    <w:p>
      <w:pPr>
        <w:spacing w:before="60" w:after="120"/>
        <w:jc w:val="both"/>
      </w:pPr>
      <w:r>
        <w:rPr>
          <w:rFonts w:ascii="Arial" w:cs="Arial" w:eastAsia="Arial" w:hAnsi="Arial"/>
          <w:sz w:val="22"/>
          <w:szCs w:val="22"/>
        </w:rPr>
        <w:t xml:space="preserve">The legal analysis in Part IV establishes that neither document implicates any criminal statute or clearance-disqualifying act. Both are entirely open-source in derivation, protected under the First Amendment, and consistent with the proactive CI self-assessment posture that supports favorable adjudicative characterization. The institutional throughput capacity analysis (ESCALATE-01 Part VI) and the enforcement credibility gap assessment (RESILIENCE-01 Part X) are the two sections most likely to receive scrutiny in an adjudicative context; both are clearly grounded in public sources and analytically inferred assessments, and the explicit source citations and confidence labels support that characterization.</w:t>
      </w:r>
    </w:p>
    <w:p>
      <w:pPr>
        <w:spacing w:before="0" w:after="160"/>
      </w:pPr>
      <w:r>
        <w:t xml:space="preserve"/>
      </w:r>
    </w:p>
    <w:p>
      <w:r>
        <w:br w:type="page"/>
      </w:r>
    </w:p>
    <w:p>
      <w:pPr>
        <w:pStyle w:val="Heading1"/>
        <w:spacing w:before="320" w:after="160"/>
      </w:pPr>
      <w:r>
        <w:rPr>
          <w:rFonts w:ascii="Arial" w:cs="Arial" w:eastAsia="Arial" w:hAnsi="Arial"/>
          <w:b/>
          <w:bCs/>
          <w:color w:val="1B2A4A"/>
          <w:sz w:val="30"/>
          <w:szCs w:val="30"/>
        </w:rPr>
        <w:t xml:space="preserve">Part X: Final Judgment</w:t>
      </w:r>
    </w:p>
    <w:p>
      <w:pPr>
        <w:spacing w:before="60" w:after="120"/>
        <w:jc w:val="both"/>
      </w:pPr>
      <w:r>
        <w:rPr>
          <w:rFonts w:ascii="Arial" w:cs="Arial" w:eastAsia="Arial" w:hAnsi="Arial"/>
          <w:sz w:val="22"/>
          <w:szCs w:val="22"/>
        </w:rPr>
        <w:t xml:space="preserve">ESCALATE-01 and RESILIENCE-01 represent analytically sophisticated policy research that creates real CI exposure precisely because the analysis is serious enough to be useful. The exposure is a function of the documents’ quality, not a consequence of carelessness.</w:t>
      </w:r>
    </w:p>
    <w:p>
      <w:pPr>
        <w:spacing w:before="60" w:after="120"/>
        <w:jc w:val="both"/>
      </w:pPr>
      <w:r>
        <w:rPr>
          <w:rFonts w:ascii="Arial" w:cs="Arial" w:eastAsia="Arial" w:hAnsi="Arial"/>
          <w:sz w:val="22"/>
          <w:szCs w:val="22"/>
        </w:rPr>
        <w:t xml:space="preserve">Both documents operate at a level where the intelligence value to foreign OSINT collection programs is non-trivial and the legal exposure is negligible.</w:t>
      </w:r>
    </w:p>
    <w:p>
      <w:pPr>
        <w:spacing w:before="60" w:after="120"/>
        <w:jc w:val="both"/>
      </w:pPr>
      <w:r>
        <w:rPr>
          <w:rFonts w:ascii="Arial" w:cs="Arial" w:eastAsia="Arial" w:hAnsi="Arial"/>
          <w:sz w:val="22"/>
          <w:szCs w:val="22"/>
        </w:rPr>
        <w:t xml:space="preserve">The most significant CI disclosures — ESCALATE-01’s institutional throughput capacity band and authority failure contingency layer, and RESILIENCE-01’s enforcement credibility gap assessment and 2026–2028 vulnerability window identification — are direct consequences of the documents’ analytical ambitions. The enforcement architecture is complete enough to be useful; the industrial resilience analysis is specific enough to be actionable. These are not correctable through editorial revision of the published versions.</w:t>
      </w:r>
    </w:p>
    <w:p>
      <w:pPr>
        <w:spacing w:before="60" w:after="120"/>
        <w:jc w:val="both"/>
      </w:pPr>
      <w:r>
        <w:rPr>
          <w:rFonts w:ascii="Arial" w:cs="Arial" w:eastAsia="Arial" w:hAnsi="Arial"/>
          <w:sz w:val="22"/>
          <w:szCs w:val="22"/>
        </w:rPr>
        <w:t xml:space="preserve">Available evidence supports a moderate-confidence judgment that the CI exposure these documents create does not undermine the enforcement mechanisms they document. As established in CI-Assessment v3.0, those mechanisms operate through structural legal authorities and institutional interests rather than through information asymmetry.</w:t>
      </w:r>
    </w:p>
    <w:p>
      <w:pPr>
        <w:spacing w:before="60" w:after="120"/>
        <w:jc w:val="both"/>
      </w:pPr>
      <w:r>
        <w:rPr>
          <w:rFonts w:ascii="Arial" w:cs="Arial" w:eastAsia="Arial" w:hAnsi="Arial"/>
          <w:sz w:val="22"/>
          <w:szCs w:val="22"/>
        </w:rPr>
        <w:t xml:space="preserve">A foreign adversary that reads and understands both documents is better equipped to probe and challenge U.S. enforcement architecture. The adversary does not, however, gain the ability to defeat it absent the structural conditions — judicial rulings, legislative action, allied defection — that the documents themselves identify as the primary failure vectors.</w:t>
      </w:r>
    </w:p>
    <w:p>
      <w:pPr>
        <w:spacing w:before="60" w:after="120"/>
        <w:jc w:val="both"/>
      </w:pPr>
      <w:r>
        <w:rPr>
          <w:rFonts w:ascii="Arial" w:cs="Arial" w:eastAsia="Arial" w:hAnsi="Arial"/>
          <w:sz w:val="22"/>
          <w:szCs w:val="22"/>
        </w:rPr>
        <w:t xml:space="preserve">The actionable value of this assessment is prospective: it establishes the specific analytical choices — throughput capacity specificity, domain-specific vulnerability estimates, high-vulnerability window identification, and failure probability compound scenarios — that future enforcement architecture and industrial resilience papers should approach with greater structural caution in public versions.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2A4A" w:sz="16"/>
              <w:bottom w:val="single" w:color="CCCCCC" w:sz="1"/>
              <w:right w:val="single" w:color="CCCCCC" w:sz="1"/>
            </w:tcBorders>
            <w:shd w:fill="E8EDF5" w:val="clear"/>
            <w:tcMar>
              <w:top w:type="dxa" w:w="120"/>
              <w:left w:type="dxa" w:w="160"/>
              <w:bottom w:type="dxa" w:w="120"/>
              <w:right w:type="dxa" w:w="120"/>
            </w:tcMar>
          </w:tcPr>
          <w:p>
            <w:pPr>
              <w:spacing w:before="0" w:after="80"/>
            </w:pPr>
            <w:r>
              <w:rPr>
                <w:rFonts w:ascii="Arial" w:cs="Arial" w:eastAsia="Arial" w:hAnsi="Arial"/>
                <w:b/>
                <w:bCs/>
                <w:caps/>
                <w:color w:val="1B2A4A"/>
                <w:sz w:val="20"/>
                <w:szCs w:val="20"/>
              </w:rPr>
              <w:t xml:space="preserve">SERIES STATUS — CI-ASSESSMENT-02 FINAL ASSESSMENT</w:t>
            </w:r>
          </w:p>
          <w:p>
            <w:pPr>
              <w:spacing w:before="0" w:after="60"/>
            </w:pPr>
            <w:r>
              <w:rPr>
                <w:rFonts w:ascii="Arial" w:cs="Arial" w:eastAsia="Arial" w:hAnsi="Arial"/>
                <w:sz w:val="20"/>
                <w:szCs w:val="20"/>
              </w:rPr>
              <w:t xml:space="preserve">CI Exposure (ESCALATE-01): HIGH at enforcement sequencing and institutional throughput levels; MODERATE at process degradation and method exposure levels; LOW on legal exposure. Not addressable through retraction.</w:t>
            </w:r>
          </w:p>
          <w:p>
            <w:pPr>
              <w:spacing w:before="0" w:after="60"/>
            </w:pPr>
            <w:r>
              <w:rPr>
                <w:rFonts w:ascii="Arial" w:cs="Arial" w:eastAsia="Arial" w:hAnsi="Arial"/>
                <w:sz w:val="20"/>
                <w:szCs w:val="20"/>
              </w:rPr>
              <w:t xml:space="preserve">CI Exposure (RESILIENCE-01): HIGH at enforcement credibility gap and countermeasure timing levels; MODERATE at failure probability and method exposure levels; LOW on legal exposure and source triangulation. Not addressable through retraction.</w:t>
            </w:r>
          </w:p>
          <w:p>
            <w:pPr>
              <w:spacing w:before="0" w:after="60"/>
            </w:pPr>
            <w:r>
              <w:rPr>
                <w:rFonts w:ascii="Arial" w:cs="Arial" w:eastAsia="Arial" w:hAnsi="Arial"/>
                <w:sz w:val="20"/>
                <w:szCs w:val="20"/>
              </w:rPr>
              <w:t xml:space="preserve">Legal Exposure: Very low across all applicable frameworks. No statute identified. First Amendment protections apply at highest level. Proceed with publication.</w:t>
            </w:r>
          </w:p>
          <w:p>
            <w:pPr>
              <w:spacing w:before="0" w:after="60"/>
            </w:pPr>
            <w:r>
              <w:rPr>
                <w:rFonts w:ascii="Arial" w:cs="Arial" w:eastAsia="Arial" w:hAnsi="Arial"/>
                <w:sz w:val="20"/>
                <w:szCs w:val="20"/>
              </w:rPr>
              <w:t xml:space="preserve">Academic Submission: Proceed. SSRN adds credibility without materially increasing CI exposure beyond current indexed status.</w:t>
            </w:r>
          </w:p>
          <w:p>
            <w:pPr>
              <w:spacing w:before="0" w:after="0"/>
            </w:pPr>
            <w:r>
              <w:rPr>
                <w:rFonts w:ascii="Arial" w:cs="Arial" w:eastAsia="Arial" w:hAnsi="Arial"/>
                <w:sz w:val="20"/>
                <w:szCs w:val="20"/>
              </w:rPr>
              <w:t xml:space="preserve">Security Clearance: Proactive disclosure recommended. CI Assessment and legal analysis support favorable adjudicative characterization. No conduct identified that implicates adjudicative guidelines.</w:t>
            </w:r>
          </w:p>
        </w:tc>
      </w:tr>
    </w:tbl>
    <w:p>
      <w:pPr>
        <w:spacing w:before="0" w:after="200"/>
      </w:pPr>
      <w:r>
        <w:t xml:space="preserve"/>
      </w:r>
    </w:p>
    <w:p>
      <w:pPr>
        <w:pBdr>
          <w:bottom w:val="single" w:color="1B2A4A" w:sz="12" w:space="1"/>
        </w:pBdr>
        <w:spacing w:before="0" w:after="120"/>
      </w:pPr>
    </w:p>
    <w:p>
      <w:pPr>
        <w:spacing w:before="80" w:after="80"/>
        <w:jc w:val="center"/>
      </w:pPr>
      <w:r>
        <w:rPr>
          <w:rFonts w:ascii="Arial" w:cs="Arial" w:eastAsia="Arial" w:hAnsi="Arial"/>
          <w:caps/>
          <w:color w:val="4A5568"/>
          <w:sz w:val="16"/>
          <w:szCs w:val="16"/>
        </w:rPr>
        <w:t xml:space="preserve">END OF DOCUMENT — WP-2026-CI-ASSESSMENT-02 — MARCH 2026 — UNCLASSIFIED // OPEN SOURCE ANALYTIC PRODUCT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8640"/>
      </w:tabs>
      <w:spacing w:before="60" w:after="0"/>
    </w:pPr>
    <w:r>
      <w:rPr>
        <w:rFonts w:ascii="Arial" w:cs="Arial" w:eastAsia="Arial" w:hAnsi="Arial"/>
        <w:color w:val="4A5568"/>
        <w:sz w:val="16"/>
        <w:szCs w:val="16"/>
      </w:rPr>
      <w:t xml:space="preserve">Center for Competitive Statecraft and Strategic Policy • Collin George • March 2026</w:t>
    </w:r>
    <w:r>
      <w:rPr>
        <w:rFonts w:ascii="Arial" w:cs="Arial" w:eastAsia="Arial" w:hAnsi="Arial"/>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r>
    <w:r>
      <w:rPr>
        <w:rFonts w:ascii="Arial" w:cs="Arial" w:eastAsia="Arial" w:hAnsi="Arial"/>
        <w:color w:val="4A5568"/>
        <w:sz w:val="16"/>
        <w:szCs w:val="16"/>
      </w:rPr>
      <w:instrText xml:space="preserve"> PAGE </w:instrText>
    </w:r>
    <w:r>
      <w:rPr>
        <w:rFonts w:ascii="Arial" w:cs="Arial" w:eastAsia="Arial" w:hAnsi="Arial"/>
        <w:color w:val="4A556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8640"/>
      </w:tabs>
      <w:spacing w:before="0" w:after="60"/>
    </w:pPr>
    <w:r>
      <w:rPr>
        <w:rFonts w:ascii="Arial" w:cs="Arial" w:eastAsia="Arial" w:hAnsi="Arial"/>
        <w:caps/>
        <w:color w:val="4A5568"/>
        <w:sz w:val="16"/>
        <w:szCs w:val="16"/>
      </w:rPr>
      <w:t xml:space="preserve">WP-2026 • CI-ASSESSMENT-02</w:t>
    </w:r>
    <w:r>
      <w:rPr>
        <w:rFonts w:ascii="Arial" w:cs="Arial" w:eastAsia="Arial" w:hAnsi="Arial"/>
        <w:color w:val="4A5568"/>
        <w:sz w:val="16"/>
        <w:szCs w:val="16"/>
      </w:rPr>
      <w:t xml:space="preserve">   |   Counterintelligence Exposure Assessment: ESCALATE-01 / RESILIENCE-01</w:t>
    </w:r>
    <w:r>
      <w:rPr>
        <w:rFonts w:ascii="Arial" w:cs="Arial" w:eastAsia="Arial" w:hAnsi="Arial"/>
        <w:sz w:val="16"/>
        <w:szCs w:val="16"/>
      </w:rPr>
      <w:t xml:space="preserve">	</w:t>
    </w:r>
    <w:r>
      <w:rPr>
        <w:rFonts w:ascii="Arial" w:cs="Arial" w:eastAsia="Arial" w:hAnsi="Arial"/>
        <w:caps/>
        <w:color w:val="4A5568"/>
        <w:sz w:val="16"/>
        <w:szCs w:val="16"/>
      </w:rPr>
      <w:t xml:space="preserve">UNCLASSIFIED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2026-03-25T16:38:54.082Z</dcterms:created>
  <dcterms:modified xsi:type="dcterms:W3CDTF">2026-03-25T16:38:54.082Z</dcterms:modified>
</cp:coreProperties>
</file>

<file path=docProps/custom.xml><?xml version="1.0" encoding="utf-8"?>
<Properties xmlns="http://schemas.openxmlformats.org/officeDocument/2006/custom-properties" xmlns:vt="http://schemas.openxmlformats.org/officeDocument/2006/docPropsVTypes"/>
</file>