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jc w:val="center"/>
            </w:pPr>
            <w:r>
              <w:rPr>
                <w:rFonts w:ascii="Arial" w:cs="Arial" w:eastAsia="Arial" w:hAnsi="Arial"/>
                <w:b/>
                <w:bCs/>
                <w:i w:val="false"/>
                <w:iCs w:val="false"/>
                <w:caps/>
                <w:color w:val="8B6914"/>
                <w:sz w:val="18"/>
                <w:szCs w:val="18"/>
              </w:rPr>
              <w:t xml:space="preserve">UNCLASSIFIED // OPEN SOURCE POLICY ANALYSIS</w:t>
            </w:r>
          </w:p>
        </w:tc>
      </w:tr>
    </w:tbl>
    <w:p>
      <w:pPr>
        <w:spacing w:before="40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val="false"/>
          <w:bCs w:val="false"/>
          <w:i w:val="false"/>
          <w:iCs w:val="false"/>
          <w:caps w:val="false"/>
          <w:color w:val="4A5568"/>
          <w:sz w:val="20"/>
          <w:szCs w:val="20"/>
        </w:rPr>
        <w:t xml:space="preserve">Center for Competitive Statecraft and Strategic Policy</w:t>
      </w:r>
    </w:p>
    <w:p>
      <w:pPr>
        <w:spacing w:before="0" w:after="240"/>
      </w:pPr>
      <w:r>
        <w:rPr>
          <w:rFonts w:ascii="Arial" w:cs="Arial" w:eastAsia="Arial" w:hAnsi="Arial"/>
          <w:b w:val="false"/>
          <w:bCs w:val="false"/>
          <w:i/>
          <w:iCs/>
          <w:caps w:val="false"/>
          <w:color w:val="4A5568"/>
          <w:sz w:val="20"/>
          <w:szCs w:val="20"/>
        </w:rPr>
        <w:t xml:space="preserve">WP-2026 Independent Policy Research Series — SENI Sub-Series</w:t>
      </w:r>
    </w:p>
    <w:p>
      <w:pPr>
        <w:pBdr>
          <w:bottom w:val="single" w:color="8B6914"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8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bCs/>
          <w:i w:val="false"/>
          <w:iCs w:val="false"/>
          <w:caps w:val="false"/>
          <w:color w:val="8B6914"/>
          <w:sz w:val="22"/>
          <w:szCs w:val="22"/>
        </w:rPr>
        <w:t xml:space="preserve">WP-2026-SENI-02</w:t>
      </w:r>
    </w:p>
    <w:p>
      <w:pPr>
        <w:spacing w:before="0" w:after="60"/>
      </w:pPr>
      <w:r>
        <w:rPr>
          <w:rFonts w:ascii="Arial" w:cs="Arial" w:eastAsia="Arial" w:hAnsi="Arial"/>
          <w:b/>
          <w:bCs/>
          <w:i w:val="false"/>
          <w:iCs w:val="false"/>
          <w:caps w:val="false"/>
          <w:color w:val="1B2A4A"/>
          <w:sz w:val="48"/>
          <w:szCs w:val="48"/>
        </w:rPr>
        <w:t xml:space="preserve">Illicit Finance Entity Exposure Reference</w:t>
      </w:r>
    </w:p>
    <w:p>
      <w:pPr>
        <w:spacing w:before="0" w:after="240"/>
      </w:pPr>
      <w:r>
        <w:rPr>
          <w:rFonts w:ascii="Arial" w:cs="Arial" w:eastAsia="Arial" w:hAnsi="Arial"/>
          <w:b w:val="false"/>
          <w:bCs w:val="false"/>
          <w:i/>
          <w:iCs/>
          <w:caps w:val="false"/>
          <w:color w:val="4A5568"/>
          <w:sz w:val="26"/>
          <w:szCs w:val="26"/>
        </w:rPr>
        <w:t xml:space="preserve">Open-Source Enforcement &amp; Designation Register by AML-01 Node Category</w:t>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Author</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Collin George</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Contact</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collin.george@protonmail.com</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Date</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March 2026</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Version</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Version 2.0 (Style Guide v3.0 / Editorial Directive Applied)</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Repository</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https://github.com/collingeorge/WP-2026</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Institution</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Center for Competitive Statecraft and Strategic Policy</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Status</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Unclassified // Open Source // Independent Policy Research</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License</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CC BY 4.0 — https://creativecommons.org/licenses/by/4.0/</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Companion</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WP-2026-AML-01 — AML/CFT/CPF Control Matrix</w:t>
            </w:r>
          </w:p>
        </w:tc>
      </w:tr>
      <w:tr>
        <w:tc>
          <w:tcPr>
            <w:tcW w:type="dxa" w:w="1800"/>
            <w:tcBorders>
              <w:top w:val="single" w:color="E8EDF5" w:sz="1"/>
              <w:left w:val="single" w:color="E8EDF5" w:sz="1"/>
              <w:bottom w:val="single" w:color="E8EDF5" w:sz="1"/>
              <w:right w:val="single" w:color="E8EDF5" w:sz="1"/>
            </w:tcBorders>
            <w:shd w:fill="E8EDF5" w:val="clear"/>
            <w:tcMar>
              <w:top w:type="dxa" w:w="60"/>
              <w:left w:type="dxa" w:w="120"/>
              <w:bottom w:type="dxa" w:w="60"/>
              <w:right w:type="dxa" w:w="120"/>
            </w:tcMar>
          </w:tcPr>
          <w:p>
            <w:r>
              <w:rPr>
                <w:rFonts w:ascii="Arial" w:cs="Arial" w:eastAsia="Arial" w:hAnsi="Arial"/>
                <w:b/>
                <w:bCs/>
                <w:i w:val="false"/>
                <w:iCs w:val="false"/>
                <w:caps w:val="false"/>
                <w:color w:val="1B2A4A"/>
                <w:sz w:val="18"/>
                <w:szCs w:val="18"/>
              </w:rPr>
              <w:t xml:space="preserve">Entities Documented</w:t>
            </w:r>
          </w:p>
        </w:tc>
        <w:tc>
          <w:tcPr>
            <w:tcW w:type="dxa" w:w="7560"/>
            <w:tcBorders>
              <w:top w:val="single" w:color="E8EDF5" w:sz="1"/>
              <w:left w:val="single" w:color="E8EDF5" w:sz="1"/>
              <w:bottom w:val="single" w:color="E8EDF5" w:sz="1"/>
              <w:right w:val="single" w:color="E8EDF5" w:sz="1"/>
            </w:tcBorders>
            <w:shd w:fill="FFFFFF" w:val="clear"/>
            <w:tcMar>
              <w:top w:type="dxa" w:w="60"/>
              <w:left w:type="dxa" w:w="120"/>
              <w:bottom w:type="dxa" w:w="60"/>
              <w:right w:type="dxa" w:w="120"/>
            </w:tcMar>
          </w:tcPr>
          <w:p>
            <w:r>
              <w:rPr>
                <w:rFonts w:ascii="Arial" w:cs="Arial" w:eastAsia="Arial" w:hAnsi="Arial"/>
                <w:b w:val="false"/>
                <w:bCs w:val="false"/>
                <w:i w:val="false"/>
                <w:iCs w:val="false"/>
                <w:caps w:val="false"/>
                <w:color w:val="000000"/>
                <w:sz w:val="18"/>
                <w:szCs w:val="18"/>
              </w:rPr>
              <w:t xml:space="preserve">65+ across 11 node categories</w:t>
            </w:r>
          </w:p>
        </w:tc>
      </w:tr>
    </w:tbl>
    <w:p>
      <w:pPr>
        <w:spacing w:before="120" w:after="0"/>
      </w:pPr>
      <w:r>
        <w:rPr>
          <w:rFonts w:ascii="Arial" w:cs="Arial" w:eastAsia="Arial" w:hAnsi="Arial"/>
          <w:b w:val="false"/>
          <w:bCs w:val="false"/>
          <w:i w:val="false"/>
          <w:iCs w:val="false"/>
          <w:caps w:val="false"/>
          <w:color w:val="000000"/>
          <w:sz w:val="20"/>
          <w:szCs w:val="20"/>
        </w:rPr>
        <w:t xml:space="preserve"/>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bCs/>
          <w:i w:val="false"/>
          <w:iCs w:val="false"/>
          <w:caps/>
          <w:color w:val="1B2A4A"/>
          <w:sz w:val="20"/>
          <w:szCs w:val="20"/>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CODE</w:t>
            </w:r>
          </w:p>
        </w:tc>
        <w:tc>
          <w:tcPr>
            <w:tcW w:type="dxa" w:w="864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DEFINITION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A</w:t>
            </w:r>
          </w:p>
        </w:tc>
        <w:tc>
          <w:tcPr>
            <w:tcW w:type="dxa" w:w="86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Adjudicated — final enforcement action, plea, or court judgment</w:t>
            </w:r>
          </w:p>
        </w:tc>
      </w:tr>
      <w:tr>
        <w:tc>
          <w:tcPr>
            <w:tcW w:type="dxa" w:w="7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D</w:t>
            </w:r>
          </w:p>
        </w:tc>
        <w:tc>
          <w:tcPr>
            <w:tcW w:type="dxa" w:w="86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Designated — OFAC SDN, FinCEN Section 311, BIS Entity List, or equivalent administrative action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I</w:t>
            </w:r>
          </w:p>
        </w:tc>
        <w:tc>
          <w:tcPr>
            <w:tcW w:type="dxa" w:w="86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Indicted / Complaint — formal allegation; matter not yet adjudicated</w:t>
            </w:r>
          </w:p>
        </w:tc>
      </w:tr>
      <w:tr>
        <w:tc>
          <w:tcPr>
            <w:tcW w:type="dxa" w:w="7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R</w:t>
            </w:r>
          </w:p>
        </w:tc>
        <w:tc>
          <w:tcPr>
            <w:tcW w:type="dxa" w:w="86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Reported — credible investigative or open-source public reporting; not yet formal action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w:t>
            </w:r>
          </w:p>
        </w:tc>
        <w:tc>
          <w:tcPr>
            <w:tcW w:type="dxa" w:w="86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Historical — matter resolved, institution defunct, acquired, or remediated</w:t>
            </w:r>
          </w:p>
        </w:tc>
      </w:tr>
      <w:tr>
        <w:tc>
          <w:tcPr>
            <w:tcW w:type="dxa" w:w="72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w:t>
            </w:r>
          </w:p>
        </w:tc>
        <w:tc>
          <w:tcPr>
            <w:tcW w:type="dxa" w:w="86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Ongoing — matter active; designation current, litigation pending, or investigation unresolved</w:t>
            </w:r>
          </w:p>
        </w:tc>
      </w:tr>
    </w:tbl>
    <w:p>
      <w:pPr>
        <w:spacing w:before="120" w:after="0"/>
      </w:pPr>
      <w:r>
        <w:rPr>
          <w:rFonts w:ascii="Arial" w:cs="Arial" w:eastAsia="Arial" w:hAnsi="Arial"/>
          <w:b w:val="false"/>
          <w:bCs w:val="false"/>
          <w:i w:val="false"/>
          <w:iCs w:val="false"/>
          <w:caps w:val="false"/>
          <w:color w:val="000000"/>
          <w:sz w:val="20"/>
          <w:szCs w:val="20"/>
        </w:rPr>
        <w:t xml:space="preserve"/>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bCs/>
          <w:i w:val="false"/>
          <w:iCs w:val="false"/>
          <w:caps/>
          <w:color w:val="1B2A4A"/>
          <w:sz w:val="20"/>
          <w:szCs w:val="20"/>
        </w:rPr>
        <w:t xml:space="preserve">ABSTRACT</w:t>
      </w:r>
    </w:p>
    <w:p>
      <w:pPr>
        <w:spacing w:before="0" w:after="200"/>
      </w:pPr>
      <w:r>
        <w:rPr>
          <w:rFonts w:ascii="Arial" w:cs="Arial" w:eastAsia="Arial" w:hAnsi="Arial"/>
          <w:b w:val="false"/>
          <w:bCs w:val="false"/>
          <w:i w:val="false"/>
          <w:iCs w:val="false"/>
          <w:caps w:val="false"/>
          <w:color w:val="4A5568"/>
          <w:sz w:val="20"/>
          <w:szCs w:val="20"/>
        </w:rPr>
        <w:t xml:space="preserve">This document is the named-entity companion to WP-2026-AML-01 (AML/CFT/CPF Control Matrix). It populates the AML-01 node category architecture with specifically named institutions, networks, and entities drawn exclusively from open-source public enforcement record. Each entry maps to an AML-01 node category and documents jurisdiction, enforcement basis, public enforcement relevance, status classification, and controlling case or regulatory citation. Sixty-five-plus entities are documented across eleven node categories. Inclusion reflects historical enforcement, designation, adjudication, or public investigative relevance and should not be read as a current allegation absent explicit indication of ongoing status. Certain entries reference allegations, civil findings, or investigative reporting; these are distinguished from adjudicated criminal findings by the Status column and should be interpreted accordingly.</w:t>
      </w:r>
    </w:p>
    <w:p>
      <w:pPr>
        <w:pBdr>
          <w:bottom w:val="single" w:color="2E4172" w:sz="6" w:space="1"/>
        </w:pBdr>
        <w:spacing w:before="120" w:after="120"/>
      </w:pPr>
      <w:r>
        <w:rPr>
          <w:rFonts w:ascii="Arial" w:cs="Arial" w:eastAsia="Arial" w:hAnsi="Arial"/>
          <w:b w:val="false"/>
          <w:bCs w:val="false"/>
          <w:i w:val="false"/>
          <w:iCs w:val="false"/>
          <w:caps w:val="false"/>
          <w:color w:val="000000"/>
          <w:sz w:val="4"/>
          <w:szCs w:val="4"/>
        </w:rPr>
        <w:t xml:space="preserve"/>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2"/>
              <w:bottom w:val="none" w:color="FFFFFF" w:sz="0"/>
              <w:right w:val="none" w:color="FFFFFF" w:sz="0"/>
            </w:tcBorders>
            <w:shd w:fill="FEF3E2" w:val="clear"/>
            <w:tcMar>
              <w:top w:type="dxa" w:w="100"/>
              <w:left w:type="dxa" w:w="160"/>
              <w:bottom w:type="dxa" w:w="100"/>
              <w:right w:type="dxa" w:w="160"/>
            </w:tcMar>
          </w:tcPr>
          <w:p>
            <w:r>
              <w:rPr>
                <w:rFonts w:ascii="Arial" w:cs="Arial" w:eastAsia="Arial" w:hAnsi="Arial"/>
                <w:b/>
                <w:bCs/>
                <w:i w:val="false"/>
                <w:iCs w:val="false"/>
                <w:caps/>
                <w:color w:val="7A4000"/>
                <w:sz w:val="20"/>
                <w:szCs w:val="20"/>
              </w:rPr>
              <w:t xml:space="preserve">NOTICE — DISCLAIMER AND CRITICAL SCOPE LIMITATION</w:t>
            </w:r>
          </w:p>
          <w:p>
            <w:pPr>
              <w:spacing w:before="60" w:after="0"/>
            </w:pPr>
            <w:r>
              <w:rPr>
                <w:rFonts w:ascii="Arial" w:cs="Arial" w:eastAsia="Arial" w:hAnsi="Arial"/>
                <w:b w:val="false"/>
                <w:bCs w:val="false"/>
                <w:i w:val="false"/>
                <w:iCs w:val="false"/>
                <w:caps w:val="false"/>
                <w:color w:val="000000"/>
                <w:sz w:val="20"/>
                <w:szCs w:val="20"/>
              </w:rPr>
              <w:t xml:space="preserve">All papers in this series are independent academic and policy research produced solely by the author in a personal capacity. Nothing in this document reflects the views or positions of the University of Washington, UW Medical Center, or any other institution. All analysis is based entirely on open-source, publicly available information. No classified or controlled information was used or implied. This document does not constitute legal advice. Inclusion reflects historical enforcement, designation, adjudication, or public investigative relevance and should not be read as a current allegation absent explicit indication of ongoing status. Inclusion does not imply ongoing unlawful conduct, universal institutional culpability, or equivalence across entries. Entries vary materially in procedural posture, evidentiary basis, time period, and current status.</w:t>
            </w:r>
          </w:p>
        </w:tc>
      </w:tr>
    </w:tbl>
    <w:p>
      <w:pPr>
        <w:spacing w:before="8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jc w:val="center"/>
            </w:pPr>
            <w:r>
              <w:rPr>
                <w:rFonts w:ascii="Arial" w:cs="Arial" w:eastAsia="Arial" w:hAnsi="Arial"/>
                <w:b/>
                <w:bCs/>
                <w:i w:val="false"/>
                <w:iCs w:val="false"/>
                <w:caps/>
                <w:color w:val="8B6914"/>
                <w:sz w:val="18"/>
                <w:szCs w:val="18"/>
              </w:rPr>
              <w:t xml:space="preserve">UNCLASSIFIED // OPEN SOURCE POLICY ANALYSIS</w:t>
            </w:r>
          </w:p>
        </w:tc>
      </w:tr>
    </w:tbl>
    <w:p>
      <w:pPr>
        <w:spacing w:before="24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INCLUSION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8EDF5" w:val="clear"/>
            <w:tcMar>
              <w:top w:type="dxa" w:w="100"/>
              <w:left w:type="dxa" w:w="160"/>
              <w:bottom w:type="dxa" w:w="100"/>
              <w:right w:type="dxa" w:w="160"/>
            </w:tcMar>
          </w:tcPr>
          <w:p>
            <w:r>
              <w:rPr>
                <w:rFonts w:ascii="Arial" w:cs="Arial" w:eastAsia="Arial" w:hAnsi="Arial"/>
                <w:b/>
                <w:bCs/>
                <w:i w:val="false"/>
                <w:iCs w:val="false"/>
                <w:caps/>
                <w:color w:val="1B2A4A"/>
                <w:sz w:val="20"/>
                <w:szCs w:val="20"/>
              </w:rPr>
              <w:t xml:space="preserve">INCLUSION STANDARD</w:t>
            </w:r>
          </w:p>
          <w:p>
            <w:pPr>
              <w:spacing w:before="60" w:after="0"/>
            </w:pPr>
            <w:r>
              <w:rPr>
                <w:rFonts w:ascii="Arial" w:cs="Arial" w:eastAsia="Arial" w:hAnsi="Arial"/>
                <w:b w:val="false"/>
                <w:bCs w:val="false"/>
                <w:i w:val="false"/>
                <w:iCs w:val="false"/>
                <w:caps w:val="false"/>
                <w:color w:val="000000"/>
                <w:sz w:val="20"/>
                <w:szCs w:val="20"/>
              </w:rPr>
              <w:t xml:space="preserve">Entities are included based on one or more of the following: final enforcement action (guilty plea, judgment, or civil penalty); official designation (OFAC SDN, FinCEN 31 USC §5318A (Section 311), BIS Entity List, or equivalent); formal indictment or complaint; regulatory finding (enforcement order, license revocation, or equivalent); or recurrent inclusion in credible open-source investigative reporting directly relevant to a defined AML-01 node category. Inclusion does not imply ongoing unlawful conduct, universal institutional culpability, or equivalence across entries. Entries vary materially in procedural posture, evidentiary basis, time period, and current status. Attribution in this document reflects public enforcement, designation, or reporting records and does not constitute judicial determination unless explicitly stated. Certain entries reflect typology-level analysis rather than determinations regarding specific institutions. FATF Recommendations referenced in companion document AML-01 are international standards and are not legally binding unless implemented through domestic law. All findings are time-bound to the period specified and should not be interpreted as current conduct unless explicitly stated.</w:t>
            </w:r>
          </w:p>
        </w:tc>
      </w:tr>
    </w:tbl>
    <w:p>
      <w:pPr>
        <w:spacing w:before="80" w:after="0"/>
      </w:pPr>
      <w:r>
        <w:rPr>
          <w:rFonts w:ascii="Arial" w:cs="Arial" w:eastAsia="Arial" w:hAnsi="Arial"/>
          <w:b w:val="false"/>
          <w:bCs w:val="false"/>
          <w:i w:val="false"/>
          <w:iCs w:val="false"/>
          <w:caps w:val="false"/>
          <w:color w:val="000000"/>
          <w:sz w:val="20"/>
          <w:szCs w:val="20"/>
        </w:rPr>
        <w:t xml:space="preserve"/>
      </w:r>
    </w:p>
    <w:p>
      <w:pPr>
        <w:spacing w:before="360" w:after="160"/>
      </w:pPr>
      <w:r>
        <w:rPr>
          <w:rFonts w:ascii="Arial" w:cs="Arial" w:eastAsia="Arial" w:hAnsi="Arial"/>
          <w:b/>
          <w:bCs/>
          <w:i w:val="false"/>
          <w:iCs w:val="false"/>
          <w:caps w:val="false"/>
          <w:color w:val="1B2A4A"/>
          <w:sz w:val="30"/>
          <w:szCs w:val="30"/>
        </w:rPr>
        <w:t xml:space="preserve">SERIES INTEGRATION</w:t>
      </w:r>
    </w:p>
    <w:p>
      <w:pPr>
        <w:spacing w:before="60" w:after="80"/>
      </w:pPr>
      <w:r>
        <w:rPr>
          <w:rFonts w:ascii="Arial" w:cs="Arial" w:eastAsia="Arial" w:hAnsi="Arial"/>
          <w:b w:val="false"/>
          <w:bCs w:val="false"/>
          <w:i w:val="false"/>
          <w:iCs w:val="false"/>
          <w:caps w:val="false"/>
          <w:color w:val="000000"/>
          <w:sz w:val="22"/>
          <w:szCs w:val="22"/>
        </w:rPr>
        <w:t xml:space="preserve">SENI-02 is the named-entity companion to two documents: WP-2026-AML-01 (AML/CFT/CPF Control Matrix) and WP-2026-SENI-01 (Strategic Enforcement Node Index, 374 nodes). AML-01 defines node categories and control architecture. SENI-01 organizes nodes geographically and by threat network. SENI-02 provides the named financial institution and enforcement record layer — organized by AML-01 node category, with status classification per the legend on the cover page.</w:t>
      </w:r>
    </w:p>
    <w:p>
      <w:pPr>
        <w:spacing w:before="6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8EDF5" w:val="clear"/>
            <w:tcMar>
              <w:top w:type="dxa" w:w="100"/>
              <w:left w:type="dxa" w:w="160"/>
              <w:bottom w:type="dxa" w:w="100"/>
              <w:right w:type="dxa" w:w="160"/>
            </w:tcMar>
          </w:tcPr>
          <w:p>
            <w:r>
              <w:rPr>
                <w:rFonts w:ascii="Arial" w:cs="Arial" w:eastAsia="Arial" w:hAnsi="Arial"/>
                <w:b/>
                <w:bCs/>
                <w:i w:val="false"/>
                <w:iCs w:val="false"/>
                <w:caps/>
                <w:color w:val="1B2A4A"/>
                <w:sz w:val="20"/>
                <w:szCs w:val="20"/>
              </w:rPr>
              <w:t xml:space="preserve">READS INTO</w:t>
            </w:r>
          </w:p>
          <w:p>
            <w:pPr>
              <w:spacing w:before="60" w:after="0"/>
            </w:pPr>
            <w:r>
              <w:rPr>
                <w:rFonts w:ascii="Arial" w:cs="Arial" w:eastAsia="Arial" w:hAnsi="Arial"/>
                <w:b w:val="false"/>
                <w:bCs w:val="false"/>
                <w:i w:val="false"/>
                <w:iCs w:val="false"/>
                <w:caps w:val="false"/>
                <w:color w:val="000000"/>
                <w:sz w:val="20"/>
                <w:szCs w:val="20"/>
              </w:rPr>
              <w:t xml:space="preserve">SENI-01 · ESCALATE-01 · SHIELD-01 · MAXPRESS-01</w:t>
            </w:r>
          </w:p>
        </w:tc>
      </w:tr>
    </w:tbl>
    <w:p>
      <w:pPr>
        <w:spacing w:before="40" w:after="0"/>
      </w:pPr>
      <w:r>
        <w:rPr>
          <w:rFonts w:ascii="Arial" w:cs="Arial" w:eastAsia="Arial" w:hAnsi="Arial"/>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2"/>
              <w:bottom w:val="none" w:color="FFFFFF" w:sz="0"/>
              <w:right w:val="none" w:color="FFFFFF" w:sz="0"/>
            </w:tcBorders>
            <w:shd w:fill="EAF4EC" w:val="clear"/>
            <w:tcMar>
              <w:top w:type="dxa" w:w="100"/>
              <w:left w:type="dxa" w:w="160"/>
              <w:bottom w:type="dxa" w:w="100"/>
              <w:right w:type="dxa" w:w="160"/>
            </w:tcMar>
          </w:tcPr>
          <w:p>
            <w:r>
              <w:rPr>
                <w:rFonts w:ascii="Arial" w:cs="Arial" w:eastAsia="Arial" w:hAnsi="Arial"/>
                <w:b/>
                <w:bCs/>
                <w:i w:val="false"/>
                <w:iCs w:val="false"/>
                <w:caps/>
                <w:color w:val="1A5C2E"/>
                <w:sz w:val="20"/>
                <w:szCs w:val="20"/>
              </w:rPr>
              <w:t xml:space="preserve">READS UPSTREAM FROM</w:t>
            </w:r>
          </w:p>
          <w:p>
            <w:pPr>
              <w:spacing w:before="60" w:after="0"/>
            </w:pPr>
            <w:r>
              <w:rPr>
                <w:rFonts w:ascii="Arial" w:cs="Arial" w:eastAsia="Arial" w:hAnsi="Arial"/>
                <w:b w:val="false"/>
                <w:bCs w:val="false"/>
                <w:i w:val="false"/>
                <w:iCs w:val="false"/>
                <w:caps w:val="false"/>
                <w:color w:val="000000"/>
                <w:sz w:val="20"/>
                <w:szCs w:val="20"/>
              </w:rPr>
              <w:t xml:space="preserve">AML-01 (node category definitions) · ATTRIBUTION-01 · PERSIST-01</w:t>
            </w:r>
          </w:p>
        </w:tc>
      </w:tr>
    </w:tbl>
    <w:p>
      <w:pPr>
        <w:spacing w:before="80" w:after="0"/>
      </w:pPr>
      <w:r>
        <w:rPr>
          <w:rFonts w:ascii="Arial" w:cs="Arial" w:eastAsia="Arial" w:hAnsi="Arial"/>
          <w:b w:val="false"/>
          <w:bCs w:val="false"/>
          <w:i w:val="false"/>
          <w:iCs w:val="false"/>
          <w:caps w:val="false"/>
          <w:color w:val="000000"/>
          <w:sz w:val="20"/>
          <w:szCs w:val="20"/>
        </w:rPr>
        <w:t xml:space="preserve"/>
      </w:r>
    </w:p>
    <w:p>
      <w:pPr>
        <w:spacing w:before="60" w:after="80"/>
      </w:pPr>
      <w:r>
        <w:rPr>
          <w:rFonts w:ascii="Arial" w:cs="Arial" w:eastAsia="Arial" w:hAnsi="Arial"/>
          <w:b w:val="false"/>
          <w:bCs w:val="false"/>
          <w:i/>
          <w:iCs/>
          <w:caps w:val="false"/>
          <w:color w:val="4A5568"/>
          <w:sz w:val="22"/>
          <w:szCs w:val="22"/>
        </w:rPr>
        <w:t xml:space="preserve">The index continues on the following page in landscape orientation.</w:t>
      </w:r>
    </w:p>
    <w:p>
      <w:pPr>
        <w:sectPr>
          <w:pgSz w:w="12240" w:h="15840" w:orient="portrait"/>
          <w:pgMar w:top="1440" w:right="1440" w:bottom="1440" w:left="1440" w:header="708" w:footer="708" w:gutter="0"/>
          <w:pgNumType/>
          <w:docGrid w:linePitch="360"/>
        </w:sectPr>
      </w:pPr>
    </w:p>
    <w:p>
      <w:pPr>
        <w:spacing w:before="0" w:after="160"/>
      </w:pPr>
      <w:r>
        <w:rPr>
          <w:rFonts w:ascii="Arial" w:cs="Arial" w:eastAsia="Arial" w:hAnsi="Arial"/>
          <w:b/>
          <w:bCs/>
          <w:i w:val="false"/>
          <w:iCs w:val="false"/>
          <w:caps w:val="false"/>
          <w:color w:val="1B2A4A"/>
          <w:sz w:val="23"/>
          <w:szCs w:val="23"/>
        </w:rPr>
        <w:t xml:space="preserve">WP-2026-SENI-02 — ILLICIT FINANCE ENTITY EXPOSURE REFERENCE</w:t>
      </w:r>
      <w:r>
        <w:rPr>
          <w:rFonts w:ascii="Arial" w:cs="Arial" w:eastAsia="Arial" w:hAnsi="Arial"/>
          <w:b w:val="false"/>
          <w:bCs w:val="false"/>
          <w:i w:val="false"/>
          <w:iCs w:val="false"/>
          <w:caps w:val="false"/>
          <w:color w:val="4A5568"/>
          <w:sz w:val="16"/>
          <w:szCs w:val="16"/>
        </w:rPr>
        <w:t xml:space="preserve">  |  Open-Source Enforcement &amp; Designation Register  |  65+ Entities, 11 Categories  |  v2.0  |  March 2026</w:t>
      </w:r>
    </w:p>
    <w:p>
      <w:pPr>
        <w:spacing w:before="0" w:after="120"/>
      </w:pPr>
      <w:r>
        <w:rPr>
          <w:rFonts w:ascii="Arial" w:cs="Arial" w:eastAsia="Arial" w:hAnsi="Arial"/>
          <w:b/>
          <w:bCs/>
          <w:i w:val="false"/>
          <w:iCs w:val="false"/>
          <w:caps w:val="false"/>
          <w:color w:val="1B2A4A"/>
          <w:sz w:val="15"/>
          <w:szCs w:val="15"/>
        </w:rPr>
        <w:t xml:space="preserve">STATUS CODES: </w:t>
      </w:r>
      <w:r>
        <w:rPr>
          <w:rFonts w:ascii="Arial" w:cs="Arial" w:eastAsia="Arial" w:hAnsi="Arial"/>
          <w:b w:val="false"/>
          <w:bCs w:val="false"/>
          <w:i w:val="false"/>
          <w:iCs w:val="false"/>
          <w:caps w:val="false"/>
          <w:color w:val="4A5568"/>
          <w:sz w:val="15"/>
          <w:szCs w:val="15"/>
        </w:rPr>
        <w:t xml:space="preserve">A = Adjudicated  |  D = Designated  |  I = Indicted/Complaint  |  R = Reported (public reporting)  |  H = Historical/Resolved/Defunct  |  O = Ongoing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1440"/>
        <w:gridCol w:w="1800"/>
        <w:gridCol w:w="3200"/>
        <w:gridCol w:w="1080"/>
        <w:gridCol w:w="2480"/>
      </w:tblGrid>
      <w:tr>
        <w:trPr>
          <w:tblHeader/>
        </w:trPr>
        <w:tc>
          <w:tcPr>
            <w:tcW w:type="dxa" w:w="176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ENTITY / INSTITUTION</w:t>
            </w:r>
          </w:p>
        </w:tc>
        <w:tc>
          <w:tcPr>
            <w:tcW w:type="dxa" w:w="12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JURISDICTION</w:t>
            </w:r>
          </w:p>
        </w:tc>
        <w:tc>
          <w:tcPr>
            <w:tcW w:type="dxa" w:w="144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AML-01 NODE CATEGORY</w:t>
            </w:r>
          </w:p>
        </w:tc>
        <w:tc>
          <w:tcPr>
            <w:tcW w:type="dxa" w:w="18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ENFORCEMENT BASIS</w:t>
            </w:r>
          </w:p>
        </w:tc>
        <w:tc>
          <w:tcPr>
            <w:tcW w:type="dxa" w:w="320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PUBLIC ENFORCEMENT RELEVANCE</w:t>
            </w:r>
          </w:p>
        </w:tc>
        <w:tc>
          <w:tcPr>
            <w:tcW w:type="dxa" w:w="10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STATUS</w:t>
            </w:r>
          </w:p>
        </w:tc>
        <w:tc>
          <w:tcPr>
            <w:tcW w:type="dxa" w:w="2480"/>
            <w:tcBorders>
              <w:top w:val="single" w:color="8B6914" w:sz="1"/>
              <w:left w:val="single" w:color="8B6914" w:sz="1"/>
              <w:bottom w:val="single" w:color="8B6914" w:sz="1"/>
              <w:right w:val="single" w:color="8B6914" w:sz="1"/>
            </w:tcBorders>
            <w:shd w:fill="1B2A4A" w:val="clear"/>
            <w:tcMar>
              <w:top w:type="dxa" w:w="80"/>
              <w:left w:type="dxa" w:w="130"/>
              <w:bottom w:type="dxa" w:w="80"/>
              <w:right w:type="dxa" w:w="130"/>
            </w:tcMar>
            <w:vAlign w:val="center"/>
          </w:tcPr>
          <w:p>
            <w:r>
              <w:rPr>
                <w:rFonts w:ascii="Arial" w:cs="Arial" w:eastAsia="Arial" w:hAnsi="Arial"/>
                <w:b/>
                <w:bCs/>
                <w:i w:val="false"/>
                <w:iCs w:val="false"/>
                <w:caps/>
                <w:color w:val="FFFFFF"/>
                <w:sz w:val="17"/>
                <w:szCs w:val="17"/>
              </w:rPr>
              <w:t xml:space="preserve">AUTHORITY / CASE REFERENCE</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 CORRESPONDENT &amp; WHOLESALE BANKING</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HSBC Holdings plc / HSBC Bank USA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UK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MSB</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DOJ/FinCEN/OCC Deferred Prosecution Agreement, 2012 (DPA terminated 2017). Historical matter —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2012 DPA in which, according to enforcement documents, HSBC Bank USA acknowledged deficiencies in its BSA/AML program that, during the relevant period, were cited as allowing transactions associated with sanctioned jurisdictions (Iran, Libya, Sudan, Burma, Cuba) and Mexican currency exchange houses to transit USD clearing. FinCEN civil money penalty: $1.256B. DPA terminated 2017 following compliance certification. This entry does not reflect current institutional posture; the DPA termination was accompanied by compliance certification.</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 v. HSBC Bank USA NA, EDNY (2012); FinCEN CMP $1.256B; DPA terminated 2017</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Standard Chartered Bank</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UK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Sanctions Evasion</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DOJ/NYDFS/FinCEN/OFAC settlements, 2012 and 2019. Recidivist matter — second DPA resolved 2019.</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enforcement settlements in 2012 and 2019. The 2019 settlement documents reflect that Standard Chartered Bank, during the period covered, acknowledged deficiencies in its wire transfer controls that regulators cited as allowing transactions associated with Iranian, Syrian, Sudanese, and Zimbabwean counterparties to transit US clearing. OFAC penalty: $639M (2019); NYDFS: $1.1B (2019); DOJ DPA: $947M (2019). Second DPA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$639M (2019); NYDFS $1.1B (2019); DOJ DPA $947M (2019)</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Commerzbank AG</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Germany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Sanctions Evasion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DOJ/FinCEN/NYDFS/OFAC settlement, 2015. Historical matter —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2015 enforcement settlement. According to settlement documents, Commerzbank acknowledged that, during the relevant period, SWIFT field data was modified in a manner regulators cited as concealing Iranian and Sudanese counterparty identity in USD clearing transactions. DOJ penalty: $610M; OFAC: $258M; NYDFS: $610M. Matter resolved.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$610M; OFAC $258M; NYDFS $610M (2015)</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Deutsche Bank AG</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Germany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ML; Securities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DOJ/FinCEN/NYDFS/FCA settlements, 2017–2023. Multiple matters — most resolved; FCA action 2023.</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multiple enforcement proceedings. The 2017 NYDFS action and subsequent proceedings cited a securities transaction pattern — simultaneous purchase and sale of Russian-listed equities through Moscow and London branches — that regulators characterized as consistent with ML risk. DOJ 2020 action related to Epstein correspondent banking. FCA £163M penalty in 2023 for systemic AML control failures. NYDFS: $425M (2017); DOJ: $150M (2020); FCA: £163M (2023). These proceedings are distinct and should not be interpreted as a single unified pattern of conduct or as a combined enforcement determination.</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H/O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NYDFS $425M (2017); DOJ $150M (2020); FCA £163M (2023)</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Danske Bank A/S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Denmark / Estonia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Danish FSA enforcement; Estonian regulator; DOJ investigation (branch-specific). Matter partially resolved; criminal proceedings ongoing.</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The Danish FSA and Estonian regulators, during 2018–2019, identified that the Tallinn branch of Danske Bank was the subject of findings related to non-resident client transactions during 2007–2015. Public reporting and regulatory findings have cited an estimated €200B in transaction volume from non-resident clients — primarily from Russia and CIS jurisdictions — as having been processed with deficient AML controls; this figure is derived from public reporting and regulatory statements and has not been adjudicated in full in any single proceeding. U.S. correspondent relationship was terminated by Deutsche Bank. DOJ investigation into branch-level conduct is cited in public reporting as ongoing.</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Danish FSA revoked banking license; ECB involvement; DOJ investigation (branch)</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Westpac Banking Corporation</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Australia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TF-adjacent</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AUSTRAC civil penalty, 2020. Historical matter — resolved with penalty.</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AUSTRAC civil penalty proceedings in 2020. According to regulatory findings, Westpac was cited for 23M+ violations of Australia's AML/CTF Act, including failure to report international funds transfer instructions and deficiencies in correspondent banking controls for Pacific corridor transactions. AUSTRAC penalty: AUD 1.3B. Matter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AUSTRAC AUD 1.3B civil penalty (2020)</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Türkiye Halk Bankasi A.Ş. (Halkbank)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Turkey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Iran Sanctions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SDNY indictment, 2019. Matter remains under litigation as of March 2026.</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indicted in 2019 in the SDNY. The indictment alleges that Halkbank, during the period covered, participated in a scheme to move funds on behalf of Iranian government entities through the U.S. financial system, including through gold-for-oil transactions and the use of front companies in Turkey and the UAE. The matter remains under litigation. All allegations are charges, not adjudicated findings.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 v. Halkbank, SDNY (S1 19 Cr. 366) — matter remains under litigation</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Banco Delta Asia (BDA)</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Macau</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DPRK;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FinCEN 31 USC §5318A (Section 311) primary money laundering concern designation, 2005. Historical designation — resolved through bank restructuring.</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FinCEN in 2005 as a primary money laundering concern under 31 USC §5318A. The designation record describes BDA as having been cited for processing transactions associated with DPRK government accounts and counterfeit USD currency. Designation resulted in freezing of approximately $25M in DPRK-associated funds. Bank subsequently restructured.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FinCEN 31 CFR §103.192 designation (2005); UNSCR 1718 nexus; bank restructured</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ABLV Bank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Latvia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ML; Sanctions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FinCEN 31 USC §5318A (Section 311) proposed primary ML concern designation, 2018. Bank self-liquidated; ECB revoked license. Historical matter.</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FinCEN 31 USC §5318A (Section 311) proposed primary money laundering concern designation in 2018. The proposed rulemaking cited ABLV as having been identified in connection with transactions associated with DPRK-linked entities, post-Soviet shell network accounts, and sanctions-adjacent actors. ECB revoked ABLV's banking license following the FinCEN action. Bank self-liquidated.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FinCEN 31 USC §5318A (Section 311) proposed designation (2018); ECB license revoked; bank liquidated</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Trasta Komercbanka</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Latvia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FCMC (Latvian financial regulator) enforcement and license revocation, 2016. Historical matter — bank defunct.</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Latvian FCMC enforcement action in 2016. Regulatory findings cited shell company accounts for Russian and CIS-domiciled clients, bulk cash transaction patterns, and inadequate beneficial ownership verification as part of the broader Baltic correspondent banking ML risk pattern documented in that period. License revoked; bank defunct.</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FCMC license revocation 2016; bank defunct</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II. PRIVATE BANKING &amp; WEALTH MANAGEMENT</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Credit Suisse AG (acquired by UBS, 2023)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Switzerland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Private Banking; ML; Tax Evasion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Multiple proceedings: DOJ tax-evasion plea (2014); FINMA enforcement orders (2017, 2023); Senate PSI Report (2014). Acquired by UBS 2023. Historical entity.</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multiple separate proceedings. The 2014 DOJ plea resolved charges related to the bank's acknowledged assistance, during the relevant period, in concealing approximately $10B in U.S. client assets. Separately, Senate PSI findings (2014) documented account relationships associated with drug trafficking and Balkan-linked entities. FINMA enforcement orders in 2017 and 2023 cited AML control deficiencies. Mozambique Tuna Bond-related findings (FINMA, 2021) cited inadequate due diligence. Bank acquired by UBS in 2023 following separate financial crisis. These are separate proceedings; not all conduct was adjudicated in a single proceeding.</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$2.6B plea (2014); Senate PSI (2014); FINMA orders (2017, 2023); UBS acquisition 2023</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Julius Baer Group</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Switzerland</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Private Banking; Grand Corruption;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FIFA-related DPA; FINMA enforcement orders (2017, 2020). Matter resolved with disgorgement.</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FINMA enforcement orders in 2017 and 2020 citing AML control deficiencies in accounts associated with FIFA corruption proceedings and Venezuelan PDVSA-related clients. A DOJ FIFA-related DPA resulted in $79.7M disgorgement. FINMA findings described deficient transaction monitoring and inadequate source-of-wealth verification during the relevant periods. Matters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FIFA-related DPA $79.7M disgorgement; FINMA enforcement orders 2017, 2020</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Goldman Sachs International (1MDB-related)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 Malaysia / UAE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Private Banking; FCPA;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FCPA settlement (2020); Malaysian proceedings resolved (2021). Historical matter —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2020 DOJ FCPA settlement related to bond issuances for 1Malaysia Development Berhad (1MDB) during 2012–2013. According to settlement documents, Goldman Sachs acknowledged deficiencies in its compliance program that allowed certain personnel to engage in conduct regulators cited as violations of the FCPA. The settlement documents reference that funds were subsequently associated with transactions involving luxury real estate, art, and other assets. DOJ FCPA penalty: $2.9B (2020); Malaysian settlement: $3.9B (2021). Matters resolved.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FCPA $2.9B (2020); Malaysian settlement $3.9B (2021); US v. Leissner (2018)</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Falcon Private Bank</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Switzerland / UAE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Private Banking; ML; 1MDB</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FINMA enforcement order (2016); Singapore MAS license revocation (2016). Historical entity — Singapore branch closed.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FINMA enforcement action and Singapore MAS license revocation in 2016. Regulatory findings cited 1MDB-related account activity, including accounts associated with Jho Low, and identified deficiencies in PEP controls and transaction monitoring during the relevant period. MAS found that approximately $2.7B in 1MDB-linked transactions transited accounts at the Singapore branch. License revoked; Singapore branch closed.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FINMA enforcement Aug 2016; MAS license revocation Oct 2016; Singapore branch closed</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BSI Bank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Switzerland / Singapore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Private Banking; ML; 1MDB</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Singapore MAS license revocation (2016); FINMA enforcement (2015). Historical entity — Singapore operations ceased.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MAS license revocation in 2016 — the first revocation of a Singapore banking license in 32 years. MAS findings cited deficient transaction monitoring and controls in connection with 1MDB-related account activity during the relevant period. FINMA issued separate enforcement findings in 2015. Singapore operations ceased.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MAS license revocation May 2016 (first in 32 years); FINMA enforcement 2015</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III. RETAIL &amp; COMMERCIAL BANKING — CITED CONDUITS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Wachovia Bank (successor: Wells Fargo &amp; Company)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Retail/Commercial Banking; Narco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 Deferred Prosecution Agreement, 2010. Historical matter — resolved. Successor entity: Wells Fargo.</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2010 DPA. According to enforcement documents, Wachovia acknowledged deficiencies in its BSA/AML program that regulators cited as allowing approximately $378.4B in wire transfers from Mexican currency exchange houses (casas de cambio) to transit its correspondent accounts during 2004–2007 without adequate monitoring. FinCEN civil penalty: $160M. DPA resolved. Successor entity is Wells Fargo.</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DPA 2010; FinCEN $160M CMP; successor entity Wells Fargo</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Bank of Credit and Commerce International (BCCI)</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UK / Luxembourg (collapsed 1991)</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Retail/Commercial; TF; Narco; Corruption</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Regulatory seizure and global liquidation, 1991. Congressional Kerry Committee Report (1992). Historical — defunct.</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The public record, including the 1992 Kerry Committee Report and regulatory findings from the Bank of England and other authorities, described BCCI as a central conduit in multiple illicit-finance and corruption matters during its operational period. Congressional and regulatory findings cited accounts associated with Manuel Noriega, the Medellin cartel, the Abu Nidal Organization, and other actors. BCCI collapsed following regulatory seizure in 1991. Institution is defunct.</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Kerry Committee Report (1992); BoE enforcement 1991; institution defunct</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Banca Privada d'Andorra (BPA)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Andorra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Commercial Banking;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FinCEN 31 USC §5318A (Section 311) primary money laundering concern designation, March 2015. Andorran regulator took control. Historical — bank restructured.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FinCEN in March 2015 as a primary money laundering concern. The designation record cited BPA's accounts associated with Russian organized crime networks (including the Tamas Gulyas network as identified in public enforcement records), Chinese organized crime-linked clients, and Venezuelan corruption-linked proceeds. Andorran banking authority intervened following designation. Bank subsequently restructured.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FinCEN 31 USC §5318A — Section 311 (March 2015); Andorran banking authority intervention; restructured</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Lebanese Canadian Bank SAL (LCB)</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Lebanon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Commercial Banking; Hawala; TF; Narco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FinCEN 31 USC §5318A (Section 311) designation, February 2011; DOJ civil forfeiture action. Historical — bank liquidated.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FinCEN in February 2011 as a primary money laundering concern. The designation record cited LCB's correspondent accounts as having been associated with Hezbollah-linked ML, used-car trade proceeds, and narcotics-related transactions during the relevant period. DOJ civil forfeiture action sought approximately $329M. Bank collapsed and was liquidated following designation.</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FinCEN 31 USC §5318A — Section 311 Feb 2011; US v. $150M (SDNY civil forfeiture); bank liquidated</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IV. SHELL COMPANY &amp; SPV NETWORKS — PUBLIC RECORD EXAMPLES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Mossack Fonseca &amp; Co.</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Panama (global operations)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Shell Co. Formation; Sanctions Exposure; Tax</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Panama Papers ICIJ investigation (2016); Panamanian criminal proceedings; U.S. investigative steps cited in public reporting. Status varies by jurisdiction.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ICIJ Panama Papers reporting (2016) identified Mossack Fonseca as having incorporated approximately 214,000 shell companies for a documented client population that, according to public investigative reporting, included individuals associated with sanctioned jurisdictions and public corruption matters. Panamanian criminal charges were filed against the founders. U.S. investigative steps were cited in public reporting. Note: ICIJ reporting documents client exposure patterns; it does not establish adjudicated findings in a single proceeding. Individual findings vary by jurisdiction and subject.</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I/R</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Panamanian criminal proceedings (founders); ICIJ Panama Papers (2016); DOJ grand jury cited in public reporting</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Prevezon Holdings Ltd.</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Cyprus / Russia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Shell Co.; ML (civil forfeiture)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civil forfeiture settlement (SDNY), May 2017. Historical matter — resolved with $5.9M settlement.</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DOJ civil forfeiture action in the SDNY. The complaint alleged that Prevezon Holdings received proceeds associated with the $230M Hermitage Capital tax fraud described in the Magnitsky-related public record, and that those proceeds were associated with real estate transactions in Manhattan. Settlement of $5.9M was reached in May 2017 without admission of liability. Matter resolved. Settlement record should not be read as adjudication of the full set of allegations.</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 v. Prevezon, SDNY; $5.9M settlement May 2017 (no admission of liability)</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Troika Laundromat (network typology)</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 / Cyprus / Baltic states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Shell Co.; Correspondent Banking;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OCCRP investigative reporting (2019); Latvian FCMC and Danish/Estonian FIU referrals. Primarily reporting-based; formal proceedings vary by jurisdiction.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OCCRP investigative reporting (2019) and FIU referrals from Latvian, Danish, and Estonian authorities described a network of approximately 75 shell companies through which, according to public reporting, an estimated $4.6B was routed via Moldovan and Latvian correspondent banking infrastructure during the relevant period. Investigative reporting identified accounts associated with Russian state-connected individuals and organized crime. Note: this entry is primarily based on investigative reporting and FIU-level referrals; adjudication varies by subject and jurisdiction and no single unified criminal adjudication of the network as described has been identified in the public record.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R</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OCCRP Troika Laundromat (2019); Latvian FCMC; Danish/Estonian FIU referrals</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Jebel Ali FZE (publicly identified FTZ-linked entities)</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UAE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FTZ-Shell; TBML; Sanctions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BIS/OEE enforcement actions (specific FZE entities); FinCEN 2022 UAE advisory; UN Panel of Experts reports. UAE removed from FATF grey list 2024.</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BIS/OEE enforcement records and UN Panel of Experts reports (Iran/DPRK) have publicly identified specific free-zone entities registered in Jebel Ali as having been associated with sanctions evasion and dual-use goods transshipment during the relevant periods. FinCEN's 2022 advisory on UAE illicit finance identified FTZ structures as a risk typology. Note: this row refers to publicly identified entities and typologies associated with the Jebel Ali FTZ framework; it does not characterize the FTZ operator, DP World, or the zone as a whole, and is not an operator-wide finding. Individual enforcement findings apply to specifically named entities only. UAE was removed from the FATF grey list in 2024.</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BIS/OEE enforcement actions (specific entities); FinCEN FIN-2022-A002 (UAE); UN Panel reports; UAE FATF grey list removed 2024</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 VIRTUAL ASSET SERVICE PROVIDERS &amp; CRYPTO INFRASTRUCTURE</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Binance Holdings Ltd.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Cayman Islands / UAE (nominal)</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VASP; ML; Sanctions Evasion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DOJ/FinCEN/OFAC settlement, November 2023. Matter resolved. CEO guilty plea.</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November 2023 enforcement settlement. According to settlement documents, Binance acknowledged compliance program failures that, during the relevant period, allowed transactions associated with sanctioned jurisdictions (Iran, Cuba, Syria, Russia) and, per OFAC findings, with entities associated with ransomware and darknet market activity. Changpeng Zhao (CEO) entered a guilty plea. DOJ total penalties: approximately $4.3B; FinCEN: $3.4B; OFAC: $968M. Matter resolved. The admitted deficiencies are limited to the conduct described in the settlement documents and should not be read as a characterization of all platform activity during the period.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$4.3B total (2023); FinCEN $3.4B; OFAC $968M; US v. Zhao, WDWA — resolved</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BitMEX (HDR Global Trading Ltd.)</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Seychelles (nominal)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VASP; BSA Violations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 charges, October 2020. Founders pleaded guilty 2022. Matter resolved.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charged with and resolved BSA-related matters in 2020–2022. According to enforcement documents, BitMEX acknowledged operating an unregistered derivatives exchange for U.S. persons without implementing required AML/KYC controls. Founders Arthur Hayes, Benjamin Delo, and Samuel Reed entered guilty pleas in 2022. FinCEN civil penalty: $100M. Matter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charges Oct 2020; FinCEN $100M; founders Hayes, Delo, Reed guilty pleas 2022</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BTC-e / WEX (Alexander Vinnik)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 / Bulgaria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VASP; ML; Narco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indictment (2017); OFAC designation; Vinnik convicted in France (2023). Criminal matter partially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2017 DOJ indictment. According to the indictment, BTC-e was cited as having received funds associated with Mt. Gox hack proceeds, ransomware, and darknet market narcotics during its operational period. OFAC designated the platform. Alexander Vinnik was extradited and convicted in France for money laundering in 2023 — that conviction is a French judicial determination and is distinct from the pending U.S. indictment. U.S. criminal proceedings against Vinnik remain pending as of March 2026. These are separate proceedings under distinct legal systems with independent evidentiary records.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indictment 2017; OFAC designation; Vinnik French conviction 2023; U.S. proceedings pending</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Tornado Cash (Roman Storm, developer)</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Decentralized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Mixer; Sanctions Evasion;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(August 2022); DOJ indictment of developer Roman Storm (2023). Designation active. Criminal matter ongoing.</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August 2022 as an SDN entity. The designation record cited the mixer's association with transactions linked to DPRK Lazarus Group-attributed activity (per FBI/OFAC public attribution), Harmony Bridge hack proceeds, and Nomad bridge hack proceeds. Developer Roman Storm was indicted in 2023 on charges of money laundering conspiracy, sanctions violations, and operating an unlicensed MSB. Criminal matter remains pending as of March 2026. Note: the OFAC designation of Tornado Cash smart contracts is subject to ongoing constitutional litigation regarding the scope of IEEPA authority over immutable code (Van Loon v. Dep't of Treasury, 5th Cir. 2024); the legal status of the designation may be affected by that litigation.</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D/I</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designation Aug 2022; US v. Storm, SDNY (2023) — pending</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Garantex</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VASP; ML; Sanctions Evasion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(April 2022); Europol Op. Destabilise server seizure (March 2025). Designation active.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April 2022. The designation record cited Garantex's association with transactions linked to Hydra darknet market activity. Europol Op. Destabilise (March 2025) resulted in seizure of servers associated with the platform. OFAC designation remains active as of March 2026.</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April 2022; Europol Op. Destabilise server seizure (March 2025); designation active</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Hydra Market (darknet platform)</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Crypto OTC / Darknet; Narco;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DOJ/German BKA takedown and seizure (April 2022); OFAC SDN designation (April 2022). Platform seized.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seized by the German BKA in coordination with U.S. DOJ in April 2022. OFAC simultaneously designated the platform. According to official enforcement records, Hydra was cited as generating approximately $5.2B in Bitcoin revenue during its operational period from cryptocurrency-for-narcotics transactions and ML-related services. OFAC designation confirmed. Platform seized and operations terminated.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April 2022; German BKA seizure April 2022; DOJ charges; platform seized</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Lazarus Group (DPRK state-attributed actor)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North Korea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Crypto Theft; Sanctions Evasion; CPF</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(2019); FBI cyber attribution advisories; UN Panel of Experts reports. Designation active.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2019. FBI public attribution advisories and UN Panel of Experts reports (2023, 2024) have attributed, with stated confidence levels, cryptocurrency theft activity to Lazarus Group, including events associated with the Ronin Network (per FBI, approximately $625M, 2022), Harmony Bridge (per FBI, approximately $100M, 2022), and Bybit (per FBI/OFAC public attribution, approximately $1.5B, 2025). All stated figures and attributions are drawn from official U.S. government public statements and UN Panel reporting — they are not judicial findings and have not been adjudicated in any criminal or civil proceeding. Attribution reflects the official U.S. government analytic position; independent verification from the public record alone is not possible. Funds are publicly attributed to DPRK WMD and missile programs per UN Panel reporting.</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(2019); FBI advisory attributions; UN Panel of Experts DPRK (2023, 2024); designation active</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Tether Limited (USDT issuer)</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BVI / Hong Kong</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Stablecoin; Compliance-Adjacent</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CFTC civil settlement (2021) — reserve-related matter. DOJ investigation cited in public reporting. Ongoing scrutiny. Active entity.</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2021 CFTC civil settlement of $41M related to misrepresentation of USDT reserve backing — a compliance-and-disclosure matter, not a money laundering adjudication. No criminal adjudication related to AML violations has been identified in the public record as of March 2026. Separately, DOJ investigation activity has been cited in public reporting; that matter has not resulted in publicly reported charges as of March 2026. Bipartisan Senate inquiry was initiated in 2024. The public record also reflects that USDT has been identified as a settlement currency on platforms subsequently designated by OFAC (Garantex, Bitzlato); this reflects third-party platform use and does not establish adjudicated findings against Tether as an issuer for those activities. These are distinct matters; the CFTC settlement should not be conflated with any unadjudicated claims.</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A/R</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CFTC $41M civil settlement (2021) — reserve matter; DOJ investigation cited in public reporting; Senate inquiry 2024</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Bitzlato Ltd. (Anatoly Legkodymov)</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Hong Kong / Russia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Crypto OTC/VASP;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arrest (January 2023); FinCEN 31 USC §5318A (Section 311) designation (January 2023). Criminal matter ongoing.</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January 2023 DOJ arrest of CEO Anatoly Legkodymov and a simultaneous FinCEN 31 USC §5318A (Section 311) designation — the first such designation of a cryptocurrency firm. According to enforcement documents, Bitzlato was cited as having received approximately $700M in proceeds associated with darknet market activity (including Hydra) and as having operated with deficient KYC controls. Criminal matter remains ongoing as of March 2026.</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D/I</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arrest Jan 2023; FinCEN 31 USC §5318A — Section 311 designation Jan 2023 (first crypto firm); criminal matter ongoing</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 REAL ESTATE — PUBLIC ENFORCEMENT RECORD</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Trump Organization / Trump Tower — LLC purchaser patterns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(New York)</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Real Estate; ML-Adjacent; Shell LLC</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NY AG civil fraud judgment (2024); Senate Finance Committee report (2020); FinCEN GTO framework. Proceedings vary.</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Public reporting, the NY AG civil fraud judgment (February 2024), and Senate Finance Committee reporting (2020) have, in distinct proceedings with different evidentiary bases and legal standards, documented concerns related to: (1) asset inflation and deflation in Trump Organization valuations — NY AG civil judgment (February 2024); (2) all-cash shell company purchases of Trump Tower condominiums by Russian and FSU-domiciled LLCs — Senate Finance Committee report (2020) and investigative reporting; and (3) FinCEN GTO data reflecting LLC purchasers in Trump-branded properties in GTO-covered markets. This entry aggregates findings from separate civil, congressional, and reporting sources and should not be interpreted as a unified enforcement determination. This row documents AML-adjacent analytic relevance to the real estate LLC purchaser typology only.</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H/O · A/R</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NY AG civil fraud judgment (Feb 2024); Senate Finance Committee report (2020); FinCEN GTO data (public)</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Bayrock Group LLC</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(New York)</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Real Estate; ML-Adjacent</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Civil RICO litigation; DOJ investigation cited in public reporting; congressional records. No criminal adjudication of entity.</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Public reporting, civil RICO litigation (Kriss v. Bayrock), and congressional records have associated Bayrock Group with real estate development transactions — including Trump SoHo — in which the provenance of investment capital was cited as opaque in litigation and investigative materials. Felix Sater, a principal, had prior convictions for securities fraud and separately documented associations per public court records. Allegations in this row arise from civil litigation and public reporting; no criminal adjudication of Bayrock Group as an entity has been identified in the public record. This entry is included on the basis of civil litigation and investigative reporting only.</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R</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Civil RICO (Kriss v. Bayrock); DOJ investigative references in public reporting; congressional records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Jho Low / Good Star Limited (1MDB-related)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Malaysia / Cayman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Real Estate; Luxury Assets; Grand Corruption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MLARS civil forfeiture actions (2016–2019). Jho Low remains at large as of March 2026.</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DOJ MLARS civil forfeiture actions filed during 2016–2019. According to forfeiture complaints, Good Star Limited (Cayman) and associated entities were cited as layering vehicles for funds identified in the complaints as diverted from 1MDB during 2009–2013. Forfeiture complaints identified the Park Lane Hotel (NYC, approximately $654M), multiple Manhattan condominiums, Beverly Hills real estate, a Bombardier jet, and the superyacht Equanimity as assets subject to forfeiture. Jho Low remains at large as of March 2026.</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MLARS civil forfeiture complaints 2016–2019; US v. Low (at large as of March 2026)</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VII. TRADE FINANCE, TBML &amp; PROLIFERATION FINANCE</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Mahan Air (Islamic Republic of Iran Airlines)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Iran</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Trade Finance; CPF; Aviation Sanctions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(October 2011). Designation active.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October 2011 under EO 13382 (2005 — Weapons of Mass Destruction Proliferators and Supporters). The designation record cited Mahan Air's association with IRGC-Quds Force financial facilitation. Subsequent BIS and DOJ enforcement actions against third-party parts suppliers cited Mahan Air as the recipient of aircraft components procured in violation of U.S. export controls. UN Panel of Experts reports have cited Mahan Air aircraft in connection with weapons transport to Syria and Yemen. OFAC designation remains active as of March 2026.</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(Oct 2011); BIS/DOJ enforcement against parts suppliers; UN Panel of Experts; designation active</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Dandong Hongxiang Industrial Development Co.</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China (Liaoning Province)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Trade Finance; DPRK CPF; Sanctions Evasion</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 SDNY indictment (September 2016); OFAC designation. Criminal matter ongoing.</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indicted in September 2016 in the SDNY. The indictment alleges that Dandong Hongxiang, during the relevant period, served as a front company network for DPRK Korea Kwangson Banking Corp (KKBC), facilitating transactions associated with DPRK entities through the U.S. financial system and procuring dual-use materials. CEO Ma Xiaohong was indicted. OFAC designated associated entities. These are allegations contained in the indictment and have not been adjudicated as of March 2026. Criminal matter status: ongoing.</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SDNY indictment Sep 2016; OFAC designation; UN Panel DPRK report; matter ongoing</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Gazprombank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Sanctions (Energy)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sectoral and SDN designations (November 2024). Designation active.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OFAC SDN designation in November 2024. Prior to designation, Gazprombank maintained a de facto exclusion from full USD clearing restrictions, which FinCEN advisories and public reporting cited as a gap exploited for energy revenue movement outside the sanctions perimeter. OFAC designation under EO 14024 (2021 — Harmful Foreign Activities of the Russian Federation) was applied in November 2024. Designation active as of March 2026.</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designation November 2024; E.O. 14024; FinCEN advisories on Russian sanctions evasion</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VTB Bank</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ML; Sanctions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(February 2022). Designation active.</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February 2022 under EO 14024 (2021 — Harmful Foreign Activities of the Russian Federation). The designation record cited VTB as Russia's second-largest bank and identified it as subject to full blocking sanctions. Prior public reporting and enforcement records documented VTB accounts in the context of post-Soviet oligarch asset management and correspondent banking ML risk. Designation active as of March 2026.</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February 2022; E.O. 14024; designation active</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Novatek (Arctic LNG 2 project)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Trade Finance; Energy Sanctions; CPF-adjacent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of Arctic LNG 2 project (November 2023). Project-level designation active.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The Arctic LNG 2 project associated with Novatek was designated by OFAC in November 2023 under EO 14024 (2021 — Harmful Foreign Activities of the Russian Federation). The designation record cited the project as providing revenue to the Russian energy sector in support of sanctioned activities. Note: the OFAC designation applies at the project level (Arctic LNG 2); it does not constitute an SDN designation of Novatek PAO as the parent entity. Compliance obligations turn on the scope of the project designation and applicable OFAC guidance. Third-country banks (China, India, Turkey) have been identified in public reporting and FinCEN advisories as alternative clearing routes for Russian energy revenue post-2022. Project-level designation active.</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designation Arctic LNG 2 (November 2023); E.O. 14024; FinCEN advisories</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Rusal / EN+ Group (Oleg Deripaska)</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Russia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Correspondent Banking; Sanctions; Trade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(April 2018); SDN status removed for entities (January 2019) with conditions. Deripaska individual designation active.</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April 2018 under EO 13661 (2014 — Blocking Property of Additional Persons Contributing to the Situation in Ukraine) in connection with Oleg Deripaska's ownership. OFAC removed Rusal, EN+, and EuroSibEnergo from the SDN list in January 2019 following ownership restructuring that reduced Deripaska's stake below 50% and placed U.S. nationals on boards. Deripaska's individual OFAC SDN designation remains active. This case illustrates threshold mechanics in OFAC's 50% rule and the formal relief pathway for entity-level removal.</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H/O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April 2018; entity SDN removed January 2019 with conditions; Deripaska individual designation active</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COSCO Shipping Tanker (Dalian) Co.</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China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Trade Finance; Iran Oil Sanctions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SDN designation (September 2019); subsequently removed. Historical — designation removed.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by OFAC in September 2019 under EO 13846 (2018 — Reimposing Certain Sanctions with Respect to Iran) following public reporting that COSCO Shipping Tanker (Dalian) transported Iranian crude oil after reimposition of U.S. sanctions. Designation was subsequently lifted following compliance commitments — COSCO Shipping Tanker (Dalian) is not on the OFAC SDN list as of March 2026. This entry is included for its node-reference value in documenting OFAC's enforcement architecture against state-owned enterprise shipping subsidiaries; it does not reflect current designated status.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SDN September 2019 (EO 13846); designation subsequently removed</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VIII. INFORMAL VALUE TRANSFER — NETWORK TYPOLOGIES &amp; DESIGNATED ENTITIES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Al-Barakaat Network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Somalia / USA / UAE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Hawala / IVTS; TF</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EO 13224 designation (September 2001). Historical designation — partially lifted over time following reviews.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designated under EO 13224 in September 2001 following the September 11 attacks. The designation record cited Al-Barakaat as having been associated with Al-Qaeda financing through hawala and remittance network operations. This case established the foundational public typology for IVTS terrorism financing. Subsequent reviews resulted in partial delisting of certain individuals. Designation history and status varies by specific entity and individual.</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D</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EO 13224 (September 2001); OFAC SDN designation; 9/11 Commission references; partial delisting history</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Altaf Khanani / Khanani Money Laundering Organization (KMLO)</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Pakistan / UAE / USA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Hawala; Narco ML</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DOJ/DEA guilty plea (October 2017); FinCEN 31 USC §5318A (Section 311) designations of associated entities (2015). Matter resolved.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DOJ/DEA investigation that resulted in Altaf Khanani's guilty plea in October 2017. According to prosecution records, KMLO was cited as having moved approximately $14B through hawala networks on behalf of Colombian and Mexican drug trafficking organizations, Taliban-adjacent networks, and Pakistani political figures, during the relevant period. FinCEN designated two UAE exchange houses linked to KMLO in 2015. Matter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guilty plea Oct 2017; FinCEN 31 USC §5318A (Section 311) (associated entities, 2015); DEA coordination</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Black Market Peso Exchange (BMPE) — typology network</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Colombia / Mexico / USA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IVTS-equivalent; Narco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DEA/FinCEN typology documentation; multiple DOJ prosecutions. Typology — not a single entity.</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The Black Market Peso Exchange is documented in DEA enforcement records, FinCEN advisory FIN-2010-A001, and hundreds of DOJ prosecutions as a systematic mechanism through which Colombian and Mexican drug trafficking organizations repatriated USD narcotics proceeds without bank-to-bank transfers. The mechanism involves the exchange of USD for goods (exported to Colombia/Mexico) or pesos through unlicensed brokers. This row documents a typology network — not a single institution — and is included for its node-reference value in the informal value transfer category.</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DEA BMPE enforcement program; FinCEN advisory FIN-2010-A001; multiple SDFL/SDCA prosecutions</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UAE Exchange House Networks — publicly identified class and advisories</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UAE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Hawala / MSB; Sanctions; Narco</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FinCEN Advisory FIN-2022-A002 (UAE); OFAC designations of specific operators; FATF UAE grey list (2022 — removed 2024).</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FinCEN's 2022 advisory (FIN-2022-A002) identified UAE exchange houses as a risk typology in connection with illicit finance patterns including Russian sanctions evasion post-2022 and narcotics-related transfers. OFAC has designated specific UAE exchange operators (named in designation records) in connection with narcotics, terrorist financing, and sanctions evasion. Note: this row refers to publicly identified risk typologies and specifically designated operators — not a blanket characterization of UAE exchange houses. UAE was removed from the FATF grey list in 2024.</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H/O · D</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FinCEN FIN-2022-A002 (UAE, 2022); OFAC designated specific operators; FATF UAE grey list removed 2024</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IX. CASINOS &amp; GAMING</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Crown Resorts Limited</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Australia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Casino; ML (civil penalty)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AUSTRAC civil penalty (2023); Victorian Royal Commission findings; NSW Bergin Inquiry findings. Historical — penalty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AUSTRAC civil penalty proceedings resulting in a AUD 2.17B penalty in 2023. The Victorian Royal Commission and NSW Bergin Inquiry findings documented deficiencies in Crown's AML controls, including inadequate due diligence on VIP junket operators subsequently identified as associated with organized criminal networks in Australian inquiry records. Civil penalties resolved. Crown's casino licenses were subject to regulatory conditions.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AUSTRAC AUD 2.17B civil penalty (2023); Victorian Royal Commission; Bergin Inquiry (NSW)</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Star Entertainment Group</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Australia</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Casino; ML (proceedings)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AUSTRAC enforcement proceedings (2023); NSW ILGA inquiry; gaming license suspension. Matter ongoing as of March 2026.</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AUSTRAC enforcement proceedings and NSW ILGA inquiry findings. The ILGA inquiry documented deficiencies in Star Entertainment's transaction monitoring, including patterns involving China UnionPay card transactions that regulators found were inadequately classified. AUSTRAC proceedings initiated for regulatory violations. NSW gaming license suspended in 2022 pending compliance remediation. Matter ongoing.</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O · I</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AUSTRAC enforcement proceedings; NSW ILGA inquiry; gaming license suspension 2022; matter ongoing</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Suncity Group (Alvin Chau Cheok-Wa)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Macau / Australia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Casino VIP Junket; ML; Criminal Conviction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Macau criminal conviction (January 2023). Adjudicated matter — Alvin Chau convicted.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Alvin Chau Cheok-Wa, founder of Suncity Group, was convicted by a Macau court in January 2023 and sentenced to 18 years. According to the court record, the conviction was for running an illegal cross-border gambling operation and money laundering. Suncity Group operated VIP junket programs across Crown Resorts, Star Entertainment, and Macau casino venues during the relevant period. Australian casino inquiries separately documented Suncity's role in those venues.</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Macau Court conviction January 2023; Alvin Chau 18-year sentence; Australian casino inquiry records</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X. INSURANCE &amp; FINANCIAL PRODUCTS</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AIG — subsidiary-level OFAC sanctions matters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 Global</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Insurance; Sanctions Compliance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civil settlement (2010). Historical matter — resolved at subsidiary level.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an OFAC civil settlement in 2010 at the subsidiary level. Settlement documents cited transactions involving Iranian counterparties processed through non-U.S. affiliates without OFAC licenses. OFAC civil penalty: $4.3M. This matter is sanctions-compliance related — not a money laundering adjudication. Resolved at subsidiary level.</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$4.3M civil settlement (2010) — subsidiary level; sanctions compliance matter</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Zurich Insurance Group — subsidiary-level OFAC matters</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Switzerland / Global</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Insurance; Sanctions Compliance</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OFAC civil settlements (multiple subsidiary actions, 2010–2016). Historical matters — resolved.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multiple subsidiary-level OFAC civil settlements during 2010–2016. Settlement records cited transactions involving Iran, Sudan, and Cuba processed through non-U.S. affiliates without required OFAC licenses. These are sanctions-compliance matters — not money laundering adjudications. All matters resolved through voluntary self-disclosure and settlement. Current operational compliance not assessed.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OFAC civil settlements — various subsidiary actions (2010–2016); voluntary self-disclosure; resolved</w:t>
            </w:r>
          </w:p>
        </w:tc>
      </w:tr>
      <w:tr>
        <w:tc>
          <w:tcPr>
            <w:tcW w:type="dxa" w:w="12960"/>
            <w:gridSpan w:val="7"/>
            <w:tcBorders>
              <w:top w:val="single" w:color="8B6914" w:sz="1"/>
              <w:left w:val="single" w:color="8B6914" w:sz="1"/>
              <w:bottom w:val="single" w:color="8B6914" w:sz="1"/>
              <w:right w:val="single" w:color="8B6914" w:sz="1"/>
            </w:tcBorders>
            <w:shd w:fill="1B2A4A" w:val="clear"/>
            <w:tcMar>
              <w:top w:type="dxa" w:w="100"/>
              <w:left w:type="dxa" w:w="160"/>
              <w:bottom w:type="dxa" w:w="100"/>
              <w:right w:type="dxa" w:w="160"/>
            </w:tcMar>
          </w:tcPr>
          <w:p>
            <w:r>
              <w:rPr>
                <w:rFonts w:ascii="Arial" w:cs="Arial" w:eastAsia="Arial" w:hAnsi="Arial"/>
                <w:b/>
                <w:bCs/>
                <w:i w:val="false"/>
                <w:iCs w:val="false"/>
                <w:caps w:val="false"/>
                <w:color w:val="8B6914"/>
                <w:sz w:val="20"/>
                <w:szCs w:val="20"/>
              </w:rPr>
              <w:t xml:space="preserve">XI. MONEY SERVICES BUSINESSES &amp; REMITTANCE</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Western Union Financial Services</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(Colorado)</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MSB; Narco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 DPA (2010); DOJ forfeiture agreement (January 2017). Historical —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2010 DPA and a subsequent January 2017 forfeiture agreement of $586M. According to enforcement documents, Western Union acknowledged deficiencies in its AML program that, during the relevant period, were cited as allowing transactions associated with drug trafficking organizations — including through complicit agents — to transit its network without adequate detection or filing. Western Union acknowledged willful failure to implement a required AML program. Matter resolved.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DPA 2010; $586M forfeiture agreement January 2017; FinCEN enforcement; resolved</w:t>
            </w:r>
          </w:p>
        </w:tc>
      </w:tr>
      <w:tr>
        <w:tc>
          <w:tcPr>
            <w:tcW w:type="dxa" w:w="176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MoneyGram International</w:t>
            </w:r>
          </w:p>
        </w:tc>
        <w:tc>
          <w:tcPr>
            <w:tcW w:type="dxa" w:w="1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(Texas)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MSB; Narco ML; Recidivist</w:t>
            </w:r>
          </w:p>
        </w:tc>
        <w:tc>
          <w:tcPr>
            <w:tcW w:type="dxa" w:w="18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DOJ/FinCEN DPA (November 2012); second DOJ action (November 2018). Historical — matters resolved.</w:t>
            </w:r>
          </w:p>
        </w:tc>
        <w:tc>
          <w:tcPr>
            <w:tcW w:type="dxa" w:w="320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 November 2012 DPA and a November 2018 second enforcement action. According to enforcement documents, MoneyGram acknowledged that it failed to comply with its 2012 DPA by not taking required action against complicit agents in its U.S. Southwest network who, per enforcement records, processed transactions associated with drug trafficking organizations. 2012 forfeiture: $100M; 2018 additional forfeiture: $125M; FinCEN CMP: $1M. Both matters resolved.</w:t>
            </w:r>
          </w:p>
        </w:tc>
        <w:tc>
          <w:tcPr>
            <w:tcW w:type="dxa" w:w="10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E8EDF5"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DOJ DPA Nov 2012 ($100M); second DOJ action Nov 2018 ($125M); FinCEN $1M; resolved</w:t>
            </w:r>
          </w:p>
        </w:tc>
      </w:tr>
      <w:tr>
        <w:tc>
          <w:tcPr>
            <w:tcW w:type="dxa" w:w="176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GreenDot Corporation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USA (California)</w:t>
            </w:r>
          </w:p>
        </w:tc>
        <w:tc>
          <w:tcPr>
            <w:tcW w:type="dxa" w:w="144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Prepaid Card; Fraud-Related ML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7A4000"/>
                <w:sz w:val="17"/>
                <w:szCs w:val="17"/>
              </w:rPr>
              <w:t xml:space="preserve">FTC civil settlement (2023). Matter resolved.</w:t>
            </w:r>
          </w:p>
        </w:tc>
        <w:tc>
          <w:tcPr>
            <w:tcW w:type="dxa" w:w="320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000000"/>
                <w:sz w:val="17"/>
                <w:szCs w:val="17"/>
              </w:rPr>
              <w:t xml:space="preserve">Was the subject of an FTC civil settlement of $44M in 2023. FTC findings cited GreenDot's prepaid debit card products as having been associated with fraud schemes — including IRS and SSA impersonation fraud — in which proceeds were loaded and cashed out, citing deficiencies in the company's fraud and AML controls for high-risk agent locations. This matter is primarily fraud and prepaid-card compliance related; it should not be characterized as a formal AML enforcement action in the same category as BSA/FinCEN proceedings. Resolved.</w:t>
            </w:r>
          </w:p>
        </w:tc>
        <w:tc>
          <w:tcPr>
            <w:tcW w:type="dxa" w:w="10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bCs/>
                <w:i w:val="false"/>
                <w:iCs w:val="false"/>
                <w:caps w:val="false"/>
                <w:color w:val="1B2A4A"/>
                <w:sz w:val="17"/>
                <w:szCs w:val="17"/>
              </w:rPr>
              <w:t xml:space="preserve">H · A</w:t>
            </w:r>
          </w:p>
        </w:tc>
        <w:tc>
          <w:tcPr>
            <w:tcW w:type="dxa" w:w="2480"/>
            <w:tcBorders>
              <w:top w:val="single" w:color="CCCCCC" w:sz="1"/>
              <w:left w:val="single" w:color="CCCCCC" w:sz="1"/>
              <w:bottom w:val="single" w:color="CCCCCC" w:sz="1"/>
              <w:right w:val="single" w:color="CCCCCC" w:sz="1"/>
            </w:tcBorders>
            <w:shd w:fill="FAFAFA" w:val="clear"/>
            <w:tcMar>
              <w:top w:type="dxa" w:w="80"/>
              <w:left w:type="dxa" w:w="130"/>
              <w:bottom w:type="dxa" w:w="80"/>
              <w:right w:type="dxa" w:w="130"/>
            </w:tcMar>
            <w:vAlign w:val="top"/>
          </w:tcPr>
          <w:p>
            <w:pPr>
              <w:spacing w:before="0" w:after="48"/>
            </w:pPr>
            <w:r>
              <w:rPr>
                <w:rFonts w:ascii="Arial" w:cs="Arial" w:eastAsia="Arial" w:hAnsi="Arial"/>
                <w:b w:val="false"/>
                <w:bCs w:val="false"/>
                <w:i w:val="false"/>
                <w:iCs w:val="false"/>
                <w:caps w:val="false"/>
                <w:color w:val="4A5568"/>
                <w:sz w:val="17"/>
                <w:szCs w:val="17"/>
              </w:rPr>
              <w:t xml:space="preserve">FTC $44M civil settlement 2023; FTC fraud-and-prepaid matter; FinCEN SAR typology reference; resolved</w:t>
            </w:r>
          </w:p>
        </w:tc>
      </w:tr>
    </w:tbl>
    <w:p>
      <w:pPr>
        <w:spacing w:before="120" w:after="0"/>
      </w:pPr>
      <w:r>
        <w:rPr>
          <w:rFonts w:ascii="Arial" w:cs="Arial" w:eastAsia="Arial" w:hAnsi="Arial"/>
          <w:b w:val="false"/>
          <w:bCs w:val="false"/>
          <w:i w:val="false"/>
          <w:iCs w:val="false"/>
          <w:caps w:val="false"/>
          <w:color w:val="000000"/>
          <w:sz w:val="20"/>
          <w:szCs w:val="20"/>
        </w:rPr>
        <w:t xml:space="preserve"/>
      </w:r>
    </w:p>
    <w:p>
      <w:pPr>
        <w:spacing w:before="0" w:after="60"/>
      </w:pPr>
      <w:r>
        <w:rPr>
          <w:rFonts w:ascii="Arial" w:cs="Arial" w:eastAsia="Arial" w:hAnsi="Arial"/>
          <w:b/>
          <w:bCs/>
          <w:i w:val="false"/>
          <w:iCs w:val="false"/>
          <w:caps w:val="false"/>
          <w:color w:val="4A5568"/>
          <w:sz w:val="15"/>
          <w:szCs w:val="15"/>
        </w:rPr>
        <w:t xml:space="preserve">SOURCES: </w:t>
      </w:r>
      <w:r>
        <w:rPr>
          <w:rFonts w:ascii="Arial" w:cs="Arial" w:eastAsia="Arial" w:hAnsi="Arial"/>
          <w:b w:val="false"/>
          <w:bCs w:val="false"/>
          <w:i/>
          <w:iCs/>
          <w:caps w:val="false"/>
          <w:color w:val="4A5568"/>
          <w:sz w:val="15"/>
          <w:szCs w:val="15"/>
        </w:rPr>
        <w:t xml:space="preserve">DOJ plea agreements, indictments, and civil forfeiture complaints; FinCEN civil money penalties, Section 311 designations, and advisories; OFAC SDN list and penalty releases; BIS Entity List and OEE enforcement; AUSTRAC, FCA, FINMA, ECB, MAS enforcement actions; UN Panels of Experts (Iran, DPRK, Russia); FATF Mutual Evaluations; ICIJ Panama and Paradise Papers databases; OCCRP investigative reporting. All information is open-source public record.</w:t>
      </w:r>
    </w:p>
    <w:p>
      <w:pPr>
        <w:spacing w:before="40" w:after="60"/>
      </w:pPr>
      <w:r>
        <w:rPr>
          <w:rFonts w:ascii="Arial" w:cs="Arial" w:eastAsia="Arial" w:hAnsi="Arial"/>
          <w:b/>
          <w:bCs/>
          <w:i w:val="false"/>
          <w:iCs w:val="false"/>
          <w:caps w:val="false"/>
          <w:color w:val="7A4000"/>
          <w:sz w:val="15"/>
          <w:szCs w:val="15"/>
        </w:rPr>
        <w:t xml:space="preserve">DISCLAIMER: </w:t>
      </w:r>
      <w:r>
        <w:rPr>
          <w:rFonts w:ascii="Arial" w:cs="Arial" w:eastAsia="Arial" w:hAnsi="Arial"/>
          <w:b w:val="false"/>
          <w:bCs w:val="false"/>
          <w:i/>
          <w:iCs/>
          <w:caps w:val="false"/>
          <w:color w:val="4A5568"/>
          <w:sz w:val="15"/>
          <w:szCs w:val="15"/>
        </w:rPr>
        <w:t xml:space="preserve">This document does not constitute legal advice and does not allege current illicit activity by any listed entity. Inclusion reflects documented public enforcement action or designation, not a finding of ongoing criminal conduct. Attribution reflects public enforcement, designation, or reporting records and does not constitute judicial determination unless explicitly stated. Certain entries reflect typology-level analysis rather than determinations regarding specific institutions. All findings are time-bound to the period specified. WP-2026-SENI-02 v2.2 — George (2026) — CC BY 4.0.</w:t>
      </w:r>
    </w:p>
    <w:p>
      <w:pPr>
        <w:spacing w:before="80" w:after="0"/>
      </w:pPr>
      <w:r>
        <w:rPr>
          <w:rFonts w:ascii="Arial" w:cs="Arial" w:eastAsia="Arial" w:hAnsi="Arial"/>
          <w:b w:val="false"/>
          <w:bCs w:val="false"/>
          <w:i w:val="false"/>
          <w:iCs w:val="false"/>
          <w:caps w:val="false"/>
          <w:color w:val="000000"/>
          <w:sz w:val="20"/>
          <w:szCs w:val="20"/>
        </w:rPr>
        <w:t xml:space="preserve"/>
      </w:r>
    </w:p>
    <w:p>
      <w:pPr>
        <w:spacing w:before="0" w:after="0"/>
      </w:pPr>
      <w:r>
        <w:rPr>
          <w:rFonts w:ascii="Arial" w:cs="Arial" w:eastAsia="Arial" w:hAnsi="Arial"/>
          <w:b w:val="false"/>
          <w:bCs w:val="false"/>
          <w:i/>
          <w:iCs/>
          <w:caps w:val="false"/>
          <w:color w:val="4A5568"/>
          <w:sz w:val="14"/>
          <w:szCs w:val="14"/>
        </w:rPr>
        <w:t xml:space="preserve">END OF DOCUMENT — WP-2026-SENI-02 v2.0 — Illicit Finance Entity Exposure Reference — March 2026 — George (2026) — UNCLASSIFIED // OPEN SOURCE POLICY ANALYSIS — CC BY 4.0</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2026-03-26T15:21:05.072Z</dcterms:created>
  <dcterms:modified xsi:type="dcterms:W3CDTF">2026-03-26T15:21:05.073Z</dcterms:modified>
</cp:coreProperties>
</file>

<file path=docProps/custom.xml><?xml version="1.0" encoding="utf-8"?>
<Properties xmlns="http://schemas.openxmlformats.org/officeDocument/2006/custom-properties" xmlns:vt="http://schemas.openxmlformats.org/officeDocument/2006/docPropsVTypes"/>
</file>