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1B2A4A"/>
          <w:sz w:val="20"/>
          <w:szCs w:val="20"/>
        </w:rPr>
        <w:t xml:space="preserve">CENTER FOR COMPETITIVE STATECRAFT AND STRATEGIC POLICY</w:t>
      </w:r>
    </w:p>
    <w:p>
      <w:pPr>
        <w:spacing w:before="0" w:after="80"/>
        <w:jc w:val="center"/>
      </w:pPr>
      <w:r>
        <w:rPr>
          <w:rFonts w:ascii="Arial" w:cs="Arial" w:eastAsia="Arial" w:hAnsi="Arial"/>
          <w:b/>
          <w:bCs/>
          <w:color w:val="4A5568"/>
          <w:sz w:val="20"/>
          <w:szCs w:val="20"/>
        </w:rPr>
        <w:t xml:space="preserve">WP-2026 SERIES</w:t>
      </w:r>
    </w:p>
    <w:p>
      <w:pPr>
        <w:pBdr>
          <w:bottom w:val="single" w:color="1B2A4A" w:sz="6" w:space="1"/>
        </w:pBdr>
        <w:spacing w:before="0" w:after="0"/>
      </w:pPr>
      <w:r>
        <w:rPr>
          <w:rFonts w:ascii="Arial" w:cs="Arial" w:eastAsia="Arial" w:hAnsi="Arial"/>
          <w:sz w:val="2"/>
          <w:szCs w:val="2"/>
        </w:rPr>
        <w:t xml:space="preserve"/>
      </w:r>
    </w:p>
    <w:p>
      <w:pPr>
        <w:spacing w:before="0" w:after="160"/>
      </w:pPr>
      <w:r>
        <w:rPr>
          <w:sz w:val="2"/>
          <w:szCs w:val="2"/>
        </w:rPr>
        <w:t xml:space="preserve"/>
      </w:r>
    </w:p>
    <w:p>
      <w:pPr>
        <w:spacing w:before="0" w:after="120"/>
        <w:jc w:val="center"/>
      </w:pPr>
      <w:r>
        <w:rPr>
          <w:rFonts w:ascii="Arial" w:cs="Arial" w:eastAsia="Arial" w:hAnsi="Arial"/>
          <w:b/>
          <w:bCs/>
          <w:caps/>
          <w:color w:val="8B6914"/>
          <w:sz w:val="22"/>
          <w:szCs w:val="22"/>
        </w:rPr>
        <w:t xml:space="preserve">WP-2026-COUNTERINTEL-01</w:t>
      </w:r>
    </w:p>
    <w:p>
      <w:pPr>
        <w:spacing w:before="0" w:after="80"/>
        <w:jc w:val="center"/>
      </w:pPr>
      <w:r>
        <w:rPr>
          <w:rFonts w:ascii="Arial" w:cs="Arial" w:eastAsia="Arial" w:hAnsi="Arial"/>
          <w:b/>
          <w:bCs/>
          <w:color w:val="1B2A4A"/>
          <w:sz w:val="28"/>
          <w:szCs w:val="28"/>
        </w:rPr>
        <w:t xml:space="preserve">Framework Degradation Conditions and Adversarial Adaptation Taxonomy</w:t>
      </w:r>
    </w:p>
    <w:p>
      <w:pPr>
        <w:spacing w:before="0" w:after="240"/>
        <w:jc w:val="center"/>
      </w:pPr>
      <w:r>
        <w:rPr>
          <w:rFonts w:ascii="Arial" w:cs="Arial" w:eastAsia="Arial" w:hAnsi="Arial"/>
          <w:i/>
          <w:iCs/>
          <w:color w:val="4A5568"/>
          <w:sz w:val="22"/>
          <w:szCs w:val="22"/>
        </w:rPr>
        <w:t xml:space="preserve">Where Multi-Channel Financial Enforcement Frameworks Lose Analytical Support, Why, and How to Detect It</w:t>
      </w:r>
    </w:p>
    <w:p>
      <w:pPr>
        <w:spacing w:before="0" w:after="16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 — Center for Competitive Statecraft and Strategic Policy</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Paper</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WP-2026-COUNTERINTEL-01</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Title</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Framework Degradation Conditions and Adversarial Adaptation Taxonomy: Where Multi-Channel Financial Enforcement Frameworks Lose Analytical Support, Why, and How to Detect It</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Date</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Prepared by</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Independent Policy Research Group</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Classification</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UNCLASSIFIED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Distribution</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Academic Policy Analysis — Open Source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Status</w:t>
            </w:r>
          </w:p>
        </w:tc>
        <w:tc>
          <w:tcPr>
            <w:tcW w:type="dxa" w:w="664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Pre-decisional analytic framework for open-source policy analysis. Not a government product. Not operational guidance.</w:t>
            </w:r>
          </w:p>
        </w:tc>
      </w:tr>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 Position</w:t>
            </w:r>
          </w:p>
        </w:tc>
        <w:tc>
          <w:tcPr>
            <w:tcW w:type="dxa" w:w="664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before="0" w:after="0"/>
            </w:pPr>
            <w:r>
              <w:rPr>
                <w:rFonts w:ascii="Arial" w:cs="Arial" w:eastAsia="Arial" w:hAnsi="Arial"/>
                <w:color w:val="000000"/>
                <w:sz w:val="20"/>
                <w:szCs w:val="20"/>
              </w:rPr>
              <w:t xml:space="preserve">Constraint layer for WP-2026-SIEGE-01. Passive degradation map companion to WP-2026-EVASION-01 (active adversary exploitation model). Cross-referenced by SIEGE-01 Parts III, V, VI, X, XI.4. Read in conjunction with WP-2026-EVASION-01 (active exploitation), WP-2026-SAM-01 (series architecture), and WP-2026-CI-PLATFORM-01 (empirical validation).</w:t>
            </w:r>
          </w:p>
        </w:tc>
      </w:tr>
    </w:tbl>
    <w:p>
      <w:pPr>
        <w:spacing w:before="0" w:after="24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A4000" w:sz="18" w:space="0"/>
              <w:bottom w:val="none" w:color="FFFFFF" w:sz="0"/>
              <w:right w:val="none" w:color="FFFFFF" w:sz="0"/>
            </w:tcBorders>
            <w:shd w:fill="FEF3E2" w:val="clear"/>
            <w:tcMar>
              <w:top w:type="dxa" w:w="60"/>
              <w:left w:type="dxa" w:w="160"/>
              <w:bottom w:type="dxa" w:w="20"/>
              <w:right w:type="dxa" w:w="80"/>
            </w:tcMar>
          </w:tcPr>
          <w:p>
            <w:pPr>
              <w:spacing w:before="0" w:after="0"/>
            </w:pPr>
            <w:r>
              <w:rPr>
                <w:rFonts w:ascii="Arial" w:cs="Arial" w:eastAsia="Arial" w:hAnsi="Arial"/>
                <w:b/>
                <w:bCs/>
                <w:caps/>
                <w:color w:val="7A4000"/>
                <w:sz w:val="18"/>
                <w:szCs w:val="18"/>
              </w:rPr>
              <w:t xml:space="preserve">NOTICE</w:t>
            </w:r>
          </w:p>
        </w:tc>
      </w:tr>
      <w:tr>
        <w:tc>
          <w:tcPr>
            <w:tcW w:type="dxa" w:w="8640"/>
            <w:tcBorders>
              <w:top w:val="none" w:color="FFFFFF" w:sz="0"/>
              <w:left w:val="single" w:color="7A4000" w:sz="18" w:space="0"/>
              <w:bottom w:val="none" w:color="FFFFFF" w:sz="0"/>
              <w:right w:val="none" w:color="FFFFFF" w:sz="0"/>
            </w:tcBorders>
            <w:shd w:fill="FEF3E2"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UNCLASSIFIED // OPEN SOURCE. This paper constitutes academic open-source policy analysis based entirely on publicly codified law, officially published government reporting, and peer-reviewed or institutional research. It does not represent the position of any government entity and does not constitute operational guidance, enforcement instruction, or policy direction.</w:t>
            </w:r>
          </w:p>
        </w:tc>
      </w:tr>
      <w:tr>
        <w:tc>
          <w:tcPr>
            <w:tcW w:type="dxa" w:w="8640"/>
            <w:tcBorders>
              <w:top w:val="none" w:color="FFFFFF" w:sz="0"/>
              <w:left w:val="single" w:color="7A4000" w:sz="18" w:space="0"/>
              <w:bottom w:val="single" w:color="FEF3E2" w:sz="4"/>
              <w:right w:val="none" w:color="FFFFFF" w:sz="0"/>
            </w:tcBorders>
            <w:shd w:fill="FEF3E2"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SCOPE: This document analyzes conditions under which enforcement frameworks lose analytical support. It is descriptive and constraint-focused. It does not provide, and is not designed to provide, operational guidance on how to evade enforcement actions. Its purpose is to enable accurate analytical calibration of framework applicability, prevent false positive assessments of enforcement effectiveness, and support realistic deployment scoping.</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Methodological Note</w:t>
      </w:r>
    </w:p>
    <w:p>
      <w:pPr>
        <w:spacing w:before="60" w:after="120"/>
        <w:jc w:val="both"/>
      </w:pPr>
      <w:r>
        <w:rPr>
          <w:rFonts w:ascii="Arial" w:cs="Arial" w:eastAsia="Arial" w:hAnsi="Arial"/>
          <w:b w:val="false"/>
          <w:bCs w:val="false"/>
          <w:i w:val="false"/>
          <w:iCs w:val="false"/>
          <w:color w:val="000000"/>
          <w:sz w:val="22"/>
          <w:szCs w:val="22"/>
        </w:rPr>
        <w:t xml:space="preserve">This paper operates entirely within the open-source public record. It is a constraint-layer document for the WP-2026 series: where WP-2026-SIEGE-01 defines conditions under which the multi-channel financial enforcement framework is analytically applicable, this document defines conditions under which that analytical support degrades.</w:t>
      </w:r>
    </w:p>
    <w:p>
      <w:pPr>
        <w:spacing w:before="60" w:after="120"/>
        <w:jc w:val="both"/>
      </w:pPr>
      <w:r>
        <w:rPr>
          <w:rFonts w:ascii="Arial" w:cs="Arial" w:eastAsia="Arial" w:hAnsi="Arial"/>
          <w:b w:val="false"/>
          <w:bCs w:val="false"/>
          <w:i w:val="false"/>
          <w:iCs w:val="false"/>
          <w:color w:val="000000"/>
          <w:sz w:val="22"/>
          <w:szCs w:val="22"/>
        </w:rPr>
        <w:t xml:space="preserve">The distinction between "framework succeeds" and "framework's analytical support degrades" is operationally important. A framework whose analytical support has degraded may still be producing some enforcement effect; it means the cumulative logic the framework requires is not analytically operative under current conditions. Treating a degraded deployment as producing the full framework effect is an assessment error that may lead to false conclusions about network capacity, misallocation of enforcement resources, and incorrect attribution of observable market effects.</w:t>
      </w:r>
    </w:p>
    <w:p>
      <w:pPr>
        <w:spacing w:before="60" w:after="120"/>
        <w:jc w:val="both"/>
      </w:pPr>
      <w:r>
        <w:rPr>
          <w:rFonts w:ascii="Arial" w:cs="Arial" w:eastAsia="Arial" w:hAnsi="Arial"/>
          <w:b w:val="false"/>
          <w:bCs w:val="false"/>
          <w:i w:val="false"/>
          <w:iCs w:val="false"/>
          <w:color w:val="000000"/>
          <w:sz w:val="22"/>
          <w:szCs w:val="22"/>
        </w:rPr>
        <w:t xml:space="preserve">This document addresses seven degradation domains. For each domain, it identifies: the specific dependency the framework relies on; the conditions under which that dependency weakens or fails; observable indicators of degradation that can be detected from the public record; and the analytical implications for framework applicability assessment. It does not address classified intelligence collection, covert enforcement methods, or operational tactics.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SERIES COMPLIANCE CLAUSE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This document operates within the WP-2026 series governance architecture established in WP-2026-SAM-01. It is the constraint-layer document for WP-2026-SIEGE-01, and the passive degradation map companion to WP-2026-EVASION-01. Its degradation domain analysis does not supersede the SIEGE-01 gate assessments; it provides the analytical basis for recognizing when gate conditions are weakening during deployment. The EVASION-01 adversary model provides the corresponding active exploitation analysis; the two documents should be read together as the full constraint layer. Cross-reference dependencies: framework mechanism in WP-2026-SIEGE-01; authority rails governing each channel in WP-2026-PERSIST-01 Sections 2.1–2.6; evidentiary standards in WP-2026-SENI-ARCH-01 Section IV.</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Empirical validation: WP-2026-CI-PLATFORM-01 provides empirical validation of Domains 1, 4, 5, and 6 of this document against the documented Lazarus Group enforcement record. That case application confirms the Tier C structural boundary analysis (Domain 1), the PRC coalition gap as a binding enforcement constraint (Domain 4), the state-directed OTC infrastructure as structurally uncontrollable (Domain 5), and the 30-90 day adversary Phase 2-3 transition timelines (Domain 6). Practitioners using this document for similar Tier C state-adjacent target assessments should consult CI-PLATFORM-01 for the validated instance.</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Key Judgments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1</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Every enforcement framework built on jurisdictional authority has a degradation boundary coextensive with the limits of that jurisdiction. For multi-channel financial enforcement frameworks, the binding degradation boundary is the extent of U.S. financial system exposure: analytical support degrades proportionally as target networks reduce or eliminate reliance on U.S.-jurisdictional financial, trade, or infrastructure nodes. This boundary is structural, not procedural; it cannot be closed through better record preparation or increased enforcement intensity.</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2</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color w:val="000000"/>
                <w:sz w:val="20"/>
                <w:szCs w:val="20"/>
              </w:rPr>
              <w:t xml:space="preserve">Degradation across multiple domains simultaneously is assessed as likely to produce framework conditions indistinguishable from sequential enforcement more rapidly than degradation in any single domain. The cumulative logic that makes simultaneous multi-channel pressure analytically different from sequential enforcement operates in reverse: cumulative degradation across jurisdiction, visibility, coalition, and temporal adaptation dimensions removes the conditions that differentiate the framework from the approach it is designed to replace.</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3</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Moderate Confidence</w:t>
            </w:r>
          </w:p>
          <w:p>
            <w:pPr>
              <w:spacing w:before="0" w:after="0"/>
            </w:pPr>
            <w:r>
              <w:rPr>
                <w:rFonts w:ascii="Arial" w:cs="Arial" w:eastAsia="Arial" w:hAnsi="Arial"/>
                <w:color w:val="000000"/>
                <w:sz w:val="20"/>
                <w:szCs w:val="20"/>
              </w:rPr>
              <w:t xml:space="preserve">Observable adaptive responses — routing shifts, jurisdictional migration, asset-class substitution, organizational restructuring — are not independently indicators of framework success or failure. They are consistent with both effective enforcement (network is under pressure and seeking relief) and ineffective enforcement (network is migrating at low cost to unpressured channels). Distinguishing between these interpretations requires assessment of underlying network throughput or operational reliability, not observable routing patterns.</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4</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Low-Moderate Confidence · Analytically Inferred</w:t>
            </w:r>
          </w:p>
          <w:p>
            <w:pPr>
              <w:spacing w:before="0" w:after="0"/>
            </w:pPr>
            <w:r>
              <w:rPr>
                <w:rFonts w:ascii="Arial" w:cs="Arial" w:eastAsia="Arial" w:hAnsi="Arial"/>
                <w:color w:val="000000"/>
                <w:sz w:val="20"/>
                <w:szCs w:val="20"/>
              </w:rPr>
              <w:t xml:space="preserve">False positive assessments — where apparent disruption is interpreted as framework success without throughput evidence — are assessed as a systematic risk in multi-channel enforcement deployments because the observable indicators of enforcement activity (routing changes, SAR volume increases, organizational restructuring) are consistent with both effective pressure and adversarial adaptation. Calibration against throughput evidence is a structural requirement for accurate effectiveness assessment.</w:t>
            </w:r>
          </w:p>
        </w:tc>
      </w:tr>
    </w:tbl>
    <w:p>
      <w:pPr>
        <w:spacing w:before="0" w:after="80"/>
      </w:pPr>
      <w:r>
        <w:rPr>
          <w:sz w:val="2"/>
          <w:szCs w:val="2"/>
        </w:rPr>
        <w:t xml:space="preserve"/>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7940"/>
      </w:tblGrid>
      <w:tr>
        <w:tc>
          <w:tcPr>
            <w:tcW w:type="dxa" w:w="700"/>
            <w:tcBorders>
              <w:top w:val="none" w:color="FFFFFF" w:sz="0"/>
              <w:left w:val="none" w:color="FFFFFF" w:sz="0"/>
              <w:bottom w:val="none" w:color="FFFFFF" w:sz="0"/>
              <w:right w:val="none" w:color="FFFFFF" w:sz="0"/>
            </w:tcBorders>
            <w:shd w:fill="1B2A4A" w:val="clear"/>
            <w:tcMar>
              <w:top w:type="dxa" w:w="80"/>
              <w:left w:type="dxa" w:w="80"/>
              <w:bottom w:type="dxa" w:w="80"/>
              <w:right w:type="dxa" w:w="80"/>
            </w:tcMar>
            <w:vAlign w:val="center"/>
          </w:tcPr>
          <w:p>
            <w:pPr>
              <w:spacing w:before="0" w:after="0"/>
              <w:jc w:val="center"/>
            </w:pPr>
            <w:r>
              <w:rPr>
                <w:rFonts w:ascii="Arial" w:cs="Arial" w:eastAsia="Arial" w:hAnsi="Arial"/>
                <w:b/>
                <w:bCs/>
                <w:color w:val="FFFFFF"/>
                <w:sz w:val="28"/>
                <w:szCs w:val="28"/>
              </w:rPr>
              <w:t xml:space="preserve">5</w:t>
            </w:r>
          </w:p>
        </w:tc>
        <w:tc>
          <w:tcPr>
            <w:tcW w:type="dxa" w:w="7940"/>
            <w:tcBorders>
              <w:top w:val="none" w:color="FFFFFF" w:sz="0"/>
              <w:left w:val="none" w:color="FFFFFF" w:sz="0"/>
              <w:bottom w:val="none" w:color="FFFFFF" w:sz="0"/>
              <w:right w:val="none" w:color="FFFFFF" w:sz="0"/>
            </w:tcBorders>
            <w:shd w:fill="E8EDF5" w:val="clear"/>
            <w:tcMar>
              <w:top w:type="dxa" w:w="60"/>
              <w:left w:type="dxa" w:w="160"/>
              <w:bottom w:type="dxa" w:w="60"/>
              <w:right w:type="dxa" w:w="80"/>
            </w:tcMar>
          </w:tcPr>
          <w:p>
            <w:pPr>
              <w:spacing w:before="0" w:after="40"/>
            </w:pPr>
            <w:r>
              <w:rPr>
                <w:rFonts w:ascii="Arial" w:cs="Arial" w:eastAsia="Arial" w:hAnsi="Arial"/>
                <w:b/>
                <w:bCs/>
                <w:caps/>
                <w:color w:val="8B6914"/>
                <w:sz w:val="18"/>
                <w:szCs w:val="18"/>
              </w:rPr>
              <w:t xml:space="preserve">High Confidence</w:t>
            </w:r>
          </w:p>
          <w:p>
            <w:pPr>
              <w:spacing w:before="0" w:after="0"/>
            </w:pPr>
            <w:r>
              <w:rPr>
                <w:rFonts w:ascii="Arial" w:cs="Arial" w:eastAsia="Arial" w:hAnsi="Arial"/>
                <w:color w:val="000000"/>
                <w:sz w:val="20"/>
                <w:szCs w:val="20"/>
              </w:rPr>
              <w:t xml:space="preserve">Fragmentation without parallel organizational disruption is treated as a negative or null outcome condition throughout this document, consistent with the series governing finding in WP-2026-SIEGE-01 Part VII. Observable fragmentation triggers Gate 4 reassessment under SIEGE-01 Part II; it is not a degradation indicator of the financial enforcement framework and is not assessed as such in this document.</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 Purpose and Framework Dependency Model</w:t>
      </w:r>
    </w:p>
    <w:p>
      <w:pPr>
        <w:pStyle w:val="Heading2"/>
        <w:spacing w:before="240" w:after="80"/>
      </w:pPr>
      <w:r>
        <w:rPr>
          <w:rFonts w:ascii="Arial" w:cs="Arial" w:eastAsia="Arial" w:hAnsi="Arial"/>
          <w:b/>
          <w:bCs/>
          <w:color w:val="1B2A4A"/>
          <w:sz w:val="24"/>
          <w:szCs w:val="24"/>
        </w:rPr>
        <w:t xml:space="preserve">1.1 Why a Constraint-Layer Document Is Required</w:t>
      </w:r>
    </w:p>
    <w:p>
      <w:pPr>
        <w:spacing w:before="60" w:after="120"/>
        <w:jc w:val="both"/>
      </w:pPr>
      <w:r>
        <w:rPr>
          <w:rFonts w:ascii="Arial" w:cs="Arial" w:eastAsia="Arial" w:hAnsi="Arial"/>
          <w:b w:val="false"/>
          <w:bCs w:val="false"/>
          <w:i w:val="false"/>
          <w:iCs w:val="false"/>
          <w:color w:val="000000"/>
          <w:sz w:val="22"/>
          <w:szCs w:val="22"/>
        </w:rPr>
        <w:t xml:space="preserve">An enforcement framework that defines only its optimal operating conditions is incomplete as an analytical instrument. It describes what may happen when conditions are favorable; it does not enable practitioners to assess what is happening when conditions degrade, or to recognize the difference between effective enforcement and enforcement activity that is producing observable outputs without the underlying effect the framework requires.</w:t>
      </w:r>
    </w:p>
    <w:p>
      <w:pPr>
        <w:spacing w:before="60" w:after="120"/>
        <w:jc w:val="both"/>
      </w:pPr>
      <w:r>
        <w:rPr>
          <w:rFonts w:ascii="Arial" w:cs="Arial" w:eastAsia="Arial" w:hAnsi="Arial"/>
          <w:b w:val="false"/>
          <w:bCs w:val="false"/>
          <w:i w:val="false"/>
          <w:iCs w:val="false"/>
          <w:color w:val="000000"/>
          <w:sz w:val="22"/>
          <w:szCs w:val="22"/>
        </w:rPr>
        <w:t xml:space="preserve">The WP-2026-SIEGE-01 framework is designed to be analytically honest about its own limitations: it defines gate conditions, failure mode protocols, jurisdictional limits, and non-controlled variables. This document extends that honesty into a dedicated analytical product: a systematic map of where the framework's analytical support degrades, organized by the specific dependencies the framework relies on and the conditions under which those dependencies weaken.</w:t>
      </w:r>
    </w:p>
    <w:p>
      <w:pPr>
        <w:spacing w:before="60" w:after="120"/>
        <w:jc w:val="both"/>
      </w:pPr>
      <w:r>
        <w:rPr>
          <w:rFonts w:ascii="Arial" w:cs="Arial" w:eastAsia="Arial" w:hAnsi="Arial"/>
          <w:b w:val="false"/>
          <w:bCs w:val="false"/>
          <w:i w:val="false"/>
          <w:iCs w:val="false"/>
          <w:color w:val="000000"/>
          <w:sz w:val="22"/>
          <w:szCs w:val="22"/>
        </w:rPr>
        <w:t xml:space="preserve">The purpose is not to identify weaknesses for adversarial exploitation. It is to enable three things that accurate enforcement analysis requires: calibrated assessment of framework applicability under real conditions; early detection of degradation before enforcement resources are committed to a deployment that lacks the conditions the framework requires; and prevention of false positive assessments that misattribute adaptive responses as enforcement success. A central implication of this document is that continued deployment under degraded conditions is analytically unsupported even if enforcement activity persists — the distinction between enforcement activity and analytically supported enforcement is the constraint this document enforces.</w:t>
      </w:r>
    </w:p>
    <w:p>
      <w:pPr>
        <w:pStyle w:val="Heading2"/>
        <w:spacing w:before="240" w:after="80"/>
      </w:pPr>
      <w:r>
        <w:rPr>
          <w:rFonts w:ascii="Arial" w:cs="Arial" w:eastAsia="Arial" w:hAnsi="Arial"/>
          <w:b/>
          <w:bCs/>
          <w:color w:val="1B2A4A"/>
          <w:sz w:val="24"/>
          <w:szCs w:val="24"/>
        </w:rPr>
        <w:t xml:space="preserve">1.2 The Three-Dependency Model</w:t>
      </w:r>
    </w:p>
    <w:p>
      <w:pPr>
        <w:spacing w:before="60" w:after="120"/>
        <w:jc w:val="both"/>
      </w:pPr>
      <w:r>
        <w:rPr>
          <w:rFonts w:ascii="Arial" w:cs="Arial" w:eastAsia="Arial" w:hAnsi="Arial"/>
          <w:b w:val="false"/>
          <w:bCs w:val="false"/>
          <w:i w:val="false"/>
          <w:iCs w:val="false"/>
          <w:color w:val="000000"/>
          <w:sz w:val="22"/>
          <w:szCs w:val="22"/>
        </w:rPr>
        <w:t xml:space="preserve">Every enforcement framework built on jurisdictional authority has three foundational dependencies. When all three are present, the framework's analytical logic operates as specified. When any one degrades, the framework's cumulative logic is weakened. When multiple degrade simultaneously, the framework may be analytically indistinguishable from sequential enforcement in its effects.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THREE FOUNDATIONAL DEPENDENCIES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Dependency 1 — Jurisdictional Reach: The framework's enforcement authorities must be operable against the target network's financial infrastructure. For WP-2026-SIEGE-01, this means the target network must have material exposure to U.S.-jurisdictional financial, trade, or infrastructure nodes sufficient to give the framework's statutory authorities a valid nexus. Where that exposure is absent, the authorities exist but have no operative reach over the target.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Dependency 2 — Information Visibility: Enforcement actions must be preceded by attribution sufficient to satisfy the evidentiary standards in WP-2026-PERSIST-01 Section 4 and the D2 tiering in WP-2026-SENI-ARCH-01 Section IV. Where beneficial ownership is obscured, intermediary layering is sufficient to break attribution chains, or jurisdictional opacity prevents financial intelligence development, the evidentiary predicate for enforcement action cannot be established.</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Dependency 3 — Infrastructure Compliance: The framework relies on compliance-sensitive intermediaries — correspondent banks, cryptocurrency exchanges, maritime insurance providers, trade finance institutions — to implement enforcement obligations upon designation. Where those intermediaries lack U.S. market exposure, operate under state protection, or face conflicting legal obligations (e.g., EU Blocking Statute, per WP-2026-PERSIST-01 Section 2.6), their compliance cannot be assumed and the self-distributing enforcement mechanism the framework relies on does not operate.</w:t>
            </w:r>
          </w:p>
        </w:tc>
      </w:tr>
    </w:tbl>
    <w:p>
      <w:pPr>
        <w:spacing w:before="0" w:after="80"/>
      </w:pPr>
      <w:r>
        <w:rPr>
          <w:sz w:val="2"/>
          <w:szCs w:val="2"/>
        </w:rPr>
        <w:t xml:space="preserve"/>
      </w:r>
    </w:p>
    <w:p>
      <w:pPr>
        <w:spacing w:before="60" w:after="120"/>
        <w:jc w:val="both"/>
      </w:pPr>
      <w:r>
        <w:rPr>
          <w:rFonts w:ascii="Arial" w:cs="Arial" w:eastAsia="Arial" w:hAnsi="Arial"/>
          <w:b w:val="false"/>
          <w:bCs w:val="false"/>
          <w:i w:val="false"/>
          <w:iCs w:val="false"/>
          <w:color w:val="000000"/>
          <w:sz w:val="22"/>
          <w:szCs w:val="22"/>
        </w:rPr>
        <w:t xml:space="preserve">The seven degradation domains analyzed in Part III each map to one or more of these foundational dependencies. The mapping is provided in the degradation domain summary in Part IV.</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 Analytical Framework for Degradation Assessment</w:t>
      </w:r>
    </w:p>
    <w:p>
      <w:pPr>
        <w:pStyle w:val="Heading2"/>
        <w:spacing w:before="240" w:after="80"/>
      </w:pPr>
      <w:r>
        <w:rPr>
          <w:rFonts w:ascii="Arial" w:cs="Arial" w:eastAsia="Arial" w:hAnsi="Arial"/>
          <w:b/>
          <w:bCs/>
          <w:color w:val="1B2A4A"/>
          <w:sz w:val="24"/>
          <w:szCs w:val="24"/>
        </w:rPr>
        <w:t xml:space="preserve">2.1 Degradation vs. Failure</w:t>
      </w:r>
    </w:p>
    <w:p>
      <w:pPr>
        <w:spacing w:before="60" w:after="120"/>
        <w:jc w:val="both"/>
      </w:pPr>
      <w:r>
        <w:rPr>
          <w:rFonts w:ascii="Arial" w:cs="Arial" w:eastAsia="Arial" w:hAnsi="Arial"/>
          <w:b w:val="false"/>
          <w:bCs w:val="false"/>
          <w:i w:val="false"/>
          <w:iCs w:val="false"/>
          <w:color w:val="000000"/>
          <w:sz w:val="22"/>
          <w:szCs w:val="22"/>
        </w:rPr>
        <w:t xml:space="preserve">Degradation and failure are analytically distinct conditions. A framework fails when it cannot be deployed at all — when no gate conditions are satisfied and the deployment has no analytical support. A framework degrades when it can be deployed but the cumulative logic that makes it analytically different from sequential enforcement is weakened. Degradation is the more common and analytically important condition because it is the state in which frameworks are most likely to be continuing deployments that are producing enforcement activity without the underlying cumulative effect the framework requires.</w:t>
      </w:r>
    </w:p>
    <w:p>
      <w:pPr>
        <w:spacing w:before="60" w:after="120"/>
        <w:jc w:val="both"/>
      </w:pPr>
      <w:r>
        <w:rPr>
          <w:rFonts w:ascii="Arial" w:cs="Arial" w:eastAsia="Arial" w:hAnsi="Arial"/>
          <w:b w:val="false"/>
          <w:bCs w:val="false"/>
          <w:i w:val="false"/>
          <w:iCs w:val="false"/>
          <w:color w:val="000000"/>
          <w:sz w:val="22"/>
          <w:szCs w:val="22"/>
        </w:rPr>
        <w:t xml:space="preserve">The degradation spectrum runs from full analytical support (all gate conditions satisfied, all three dependencies present, cumulative logic operative) through partial degradation (one or more dependencies weakened, framework still analytically superior to sequential enforcement in net effect) to full degradation (cumulative logic not analytically operative, deployment is analytically equivalent to sequential enforcement). The falsifiable indicators in WP-2026-SIEGE-01 Part XII are designed to detect movement along this spectrum; this document provides the analytical basis for interpreting those indicators.</w:t>
      </w:r>
    </w:p>
    <w:p>
      <w:pPr>
        <w:pStyle w:val="Heading2"/>
        <w:spacing w:before="240" w:after="80"/>
      </w:pPr>
      <w:r>
        <w:rPr>
          <w:rFonts w:ascii="Arial" w:cs="Arial" w:eastAsia="Arial" w:hAnsi="Arial"/>
          <w:b/>
          <w:bCs/>
          <w:color w:val="1B2A4A"/>
          <w:sz w:val="24"/>
          <w:szCs w:val="24"/>
        </w:rPr>
        <w:t xml:space="preserve">2.2 Degradation vs. Adversarial Adaptation</w:t>
      </w:r>
    </w:p>
    <w:p>
      <w:pPr>
        <w:spacing w:before="60" w:after="120"/>
        <w:jc w:val="both"/>
      </w:pPr>
      <w:r>
        <w:rPr>
          <w:rFonts w:ascii="Arial" w:cs="Arial" w:eastAsia="Arial" w:hAnsi="Arial"/>
          <w:b w:val="false"/>
          <w:bCs w:val="false"/>
          <w:i w:val="false"/>
          <w:iCs w:val="false"/>
          <w:color w:val="000000"/>
          <w:sz w:val="22"/>
          <w:szCs w:val="22"/>
        </w:rPr>
        <w:t xml:space="preserve">Adversarial adaptation and framework degradation are related but distinct phenomena. Adversarial adaptation is a network behavioral response to enforcement pressure. Framework degradation is a change in the conditions under which the framework's analytical logic operates. They interact: adversarial adaptation that successfully migrates network operations outside the framework's jurisdictional reach is a cause of degradation. But framework degradation can also occur through non-adversarial causes — coalition withdrawal, judicial interruption, administrative resource constraint — that have nothing to do with adversarial adaptation.</w:t>
      </w:r>
    </w:p>
    <w:p>
      <w:pPr>
        <w:spacing w:before="60" w:after="120"/>
        <w:jc w:val="both"/>
      </w:pPr>
      <w:r>
        <w:rPr>
          <w:rFonts w:ascii="Arial" w:cs="Arial" w:eastAsia="Arial" w:hAnsi="Arial"/>
          <w:b w:val="false"/>
          <w:bCs w:val="false"/>
          <w:i w:val="false"/>
          <w:iCs w:val="false"/>
          <w:color w:val="000000"/>
          <w:sz w:val="22"/>
          <w:szCs w:val="22"/>
        </w:rPr>
        <w:t xml:space="preserve">The analytical distinction matters for two reasons. First, the response to adversarial adaptation (tightening gate conditions, reassessing failure modes) is different from the response to non-adversarial degradation (resource reallocation, legal record strengthening, coalition re-engagement). Second, observable adaptive responses by the target network should not be interpreted as evidence of degradation without analysis of whether those responses have actually moved the network outside the framework's jurisdictional reach or attribution capacity.</w:t>
      </w:r>
    </w:p>
    <w:p>
      <w:pPr>
        <w:pStyle w:val="Heading2"/>
        <w:spacing w:before="240" w:after="80"/>
      </w:pPr>
      <w:r>
        <w:rPr>
          <w:rFonts w:ascii="Arial" w:cs="Arial" w:eastAsia="Arial" w:hAnsi="Arial"/>
          <w:b/>
          <w:bCs/>
          <w:color w:val="1B2A4A"/>
          <w:sz w:val="24"/>
          <w:szCs w:val="24"/>
        </w:rPr>
        <w:t xml:space="preserve">2.3 Observable Indicator Interpretation Protocol</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INDICATOR INTERPRETATION PROTOCOL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routing shifts (network migrates to different financial channels, jurisdictions, or asset classes): Consistent with both effective enforcement pressure and low-cost migration to unpressured channels. Requires throughput assessment before interpreting as degradation or success.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Increased SAR filing volumes in target categories: Consistent with both channel migration under pressure (Failure Mode 1 indicator) and increased network financial activity that is now visible due to channel displacement. Requires correlation with operational tempo estimates before interpreting.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Reduced SAR filing volumes in target categories: Consistent with both effective enforcement (network activity reduced) and successful migration to unmonitored channels. Requires throughput assessment before interpreting.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Organizational restructuring: Consistent with both adaptive response to enforcement pressure and normal operational evolution. Does not independently indicate degradation or success. If accompanied by market entry indicators (new sub-networks), triggers fragmentation assessment under SIEGE-01 Part VII.</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Coalition partner reduced engagement: Direct indicator of Dependency 3 (Infrastructure Compliance) degradation via the coalition channel. Triggers Gate 3 reassessment under SIEGE-01 Part II and Failure Mode 2 protocol under SIEGE-01 Part III.</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Attribution confidence decrease: Direct indicator of Dependency 2 (Information Visibility) degradation. Triggers Gate 1 reassessment; if Tier classification cannot be sustained at Gate 1 evidentiary standard, deployment scope must be reassessed.</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III: Seven Degradation Domains</w:t>
      </w:r>
    </w:p>
    <w:p>
      <w:pPr>
        <w:spacing w:before="60" w:after="120"/>
        <w:jc w:val="both"/>
      </w:pPr>
      <w:r>
        <w:rPr>
          <w:rFonts w:ascii="Arial" w:cs="Arial" w:eastAsia="Arial" w:hAnsi="Arial"/>
          <w:b w:val="false"/>
          <w:bCs w:val="false"/>
          <w:i w:val="false"/>
          <w:iCs w:val="false"/>
          <w:color w:val="000000"/>
          <w:sz w:val="22"/>
          <w:szCs w:val="22"/>
        </w:rPr>
        <w:t xml:space="preserve">Each degradation domain is presented in a standard format: the specific framework dependency the domain affects; the conditions under which degradation occurs; observable indicators detectable from the public record; and the analytical implications for framework applicability. For each domain, the connection to the SIEGE-01 gate structure is identified so that degradation can be assessed within the framework's existing analytical architecture rather than requiring separate assessment.</w:t>
      </w:r>
    </w:p>
    <w:p>
      <w:pPr>
        <w:pStyle w:val="Heading2"/>
        <w:spacing w:before="240" w:after="80"/>
      </w:pPr>
      <w:r>
        <w:rPr>
          <w:rFonts w:ascii="Arial" w:cs="Arial" w:eastAsia="Arial" w:hAnsi="Arial"/>
          <w:b/>
          <w:bCs/>
          <w:color w:val="1B2A4A"/>
          <w:sz w:val="24"/>
          <w:szCs w:val="24"/>
        </w:rPr>
        <w:t xml:space="preserve">3.1 Domain One: Jurisdictional Boundary Degradation</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Dependency 1 (Jurisdictional Reach).</w:t>
      </w:r>
    </w:p>
    <w:p>
      <w:pPr>
        <w:spacing w:before="60" w:after="120"/>
        <w:jc w:val="both"/>
      </w:pPr>
      <w:r>
        <w:rPr>
          <w:rFonts w:ascii="Arial" w:cs="Arial" w:eastAsia="Arial" w:hAnsi="Arial"/>
          <w:b w:val="false"/>
          <w:bCs w:val="false"/>
          <w:i w:val="false"/>
          <w:iCs w:val="false"/>
          <w:color w:val="000000"/>
          <w:sz w:val="22"/>
          <w:szCs w:val="22"/>
        </w:rPr>
        <w:t xml:space="preserve">Description: The framework's analytical support is coextensive with U.S. financial system exposure. Analytical support degrades as target networks reduce or eliminate reliance on U.S.-jurisdictional financial, trade, or infrastructure nodes. This is not an adversarial adaptation in the first instance — it is a structural property of the target network's financial architecture. A Tier C network has not evaded the framework; it was never within the framework's primary analytical reach. A Tier A or B network that successfully migrates to non-USD infrastructure degrades from a higher-support tier toward Tier C conditions.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ONE — JURISDICTIONAL DEGRADATION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Target network throughput migrates from USD correspondent channels to non-USD settlement; primary banking relationships shift to institutions without U.S. market exposure; cryptocurrency operations shift from U.S.-licensed or U.S.-market-exposed exchanges to offshore exchanges without U.S. correspondent relationships; maritime logistics shift to vessels flagged under registries with no U.S. port dependency or P&amp;I insurance market exposure; real estate asset placement shifts from U.S.-situs to foreign-situs properties.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Reduction in SAR filings from U.S. financial institutions related to identified target financial flows; reduction in identified target financial infrastructure's U.S. correspondent account activity; emergence of new financial pathway documentation in jurisdictions with limited U.S. correspondent exposure; DEA or CBP reporting on changes in identified network operational geography consistent with reduced U.S. infrastructure utilization.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Where jurisdictional degradation is confirmed, the analytically supported deployment scope may require downward Tier revision. A network that has migrated out of USD-corridor infrastructure may no longer support Tier A or B classification at Gate 1. Channel assessments for Channels 1, 2, 5, and 6 should be reassessed against the revised tier classification.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1 Tier Classification. Observable jurisdictional degradation indicators that materially change the target network's USD-corridor dependency profile require Gate 1 reassessment during deployment, not only at initial classification. The non-transferability clause applies: a revised Tier classification requires fresh Gate 1 documentation.</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3.2 Domain Two: Financial Channel Substitution</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Dependency 1 (Jurisdictional Reach) and Dependency 3 (Infrastructure Compliance).</w:t>
      </w:r>
    </w:p>
    <w:p>
      <w:pPr>
        <w:spacing w:before="60" w:after="120"/>
        <w:jc w:val="both"/>
      </w:pPr>
      <w:r>
        <w:rPr>
          <w:rFonts w:ascii="Arial" w:cs="Arial" w:eastAsia="Arial" w:hAnsi="Arial"/>
          <w:b w:val="false"/>
          <w:bCs w:val="false"/>
          <w:i w:val="false"/>
          <w:iCs w:val="false"/>
          <w:color w:val="000000"/>
          <w:sz w:val="22"/>
          <w:szCs w:val="22"/>
        </w:rPr>
        <w:t xml:space="preserve">Description: The framework's cumulative logic requires that networks face elevated costs in all available substitution channels simultaneously. Analytical support for the cumulative logic degrades when networks maintain parallel, substitutable financial pathways not simultaneously exposed to enforcement authority. The relevant question is not whether networks can substitute — they always can — but whether the substitution imposes the elevated cost the cumulative logic requires, or whether it represents a cost-free migration to unpressured infrastructure.</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TWO — CHANNEL SUBSTITUTION DEGRADATION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Network maintains pre-positioned alternative infrastructure in channels not under concurrent enforcement pressure; enforcement action on one channel is followed by migration to a higher-capacity alternative than the framework's timeline anticipated; networks demonstrate pre-established relationships in unpressured channels that allow faster-than-anticipated migration; channel-substitution costs are absorbed through existing organizational infrastructure without requiring new relationships or investment.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SAR filing increases in one channel category coinciding with SAR filing decreases in another channel category, consistent with migration rather than suppression; FinCEN Geographic Targeting Order data showing cash placement volume increases in jurisdictions not covered by current GTO designations; DEA reporting on new or increased utilization of specific financial corridors not previously identified as primary network channels; blockchain analysis showing transaction volume increases on platforms not subject to current OFAC wallet designations.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Channel substitution that occurs faster than Gate 2 preparation allows for concurrent pressure indicates a preparation timeline mismatch. The deployment window should be reassessed against the network's demonstrated migration speed. If the network's migration speed is shorter than the preparation timeline arithmetic in Gate 2, the framework's simultaneous execution requirement cannot be satisfied for this target.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Specific channel substitution patterns and their analytical implications: Formal banking → cash operations (primary pattern documented in enforcement reporting; concurrent Channel 2 pressure is the architectural response); cash operations → cryptocurrency platforms (secondary pattern; concurrent Channel 3 exchange-designation pressure is the architectural response); cryptocurrency → hawala and TBML (tertiary pattern with documented capacity constraints; limits on hawala as a primary large-scale substitute are documented in FATF typologies guidance).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2 (Preparation Timeline) and Failure Mode 1 (Partial Channel Coverage). Faster-than-anticipated migration indicates either a Gate 2 preparation timeline miscalibration or a Failure Mode 1 condition where pressured channels have not achieved concurrent operational status.</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3.3 Domain Three: Attribution and Information Visibility Degradation</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Dependency 2 (Information Visibility).</w:t>
      </w:r>
    </w:p>
    <w:p>
      <w:pPr>
        <w:spacing w:before="60" w:after="120"/>
        <w:jc w:val="both"/>
      </w:pPr>
      <w:r>
        <w:rPr>
          <w:rFonts w:ascii="Arial" w:cs="Arial" w:eastAsia="Arial" w:hAnsi="Arial"/>
          <w:b w:val="false"/>
          <w:bCs w:val="false"/>
          <w:i w:val="false"/>
          <w:iCs w:val="false"/>
          <w:color w:val="000000"/>
          <w:sz w:val="22"/>
          <w:szCs w:val="22"/>
        </w:rPr>
        <w:t xml:space="preserve">Description: Enforcement actions require evidentiary predicates that satisfy the standards in WP-2026-PERSIST-01 Section 4 (Confirmed Attribution, Material Enabling Behavior) and WP-2026-SENI-ARCH-01 Section IV (D2=[5-OSINT] for named-institution claims). Analytical support for Gate 2 record pre-positioning degrades when beneficial ownership structures become opaque, layered intermediary chains break attribution, or jurisdictional opacity prevents financial intelligence development to the required standard.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THREE — ATTRIBUTION DEGRADATION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Networks increase use of multi-layer shell company structures following enactment of enhanced beneficial ownership reporting requirements; financial operations shift to jurisdictions with limited financial intelligence cooperation or strong bank secrecy regimes; network utilization of privacy-preserving blockchain protocols increases (Monero, Zcash shielded pool); layered correspondent relationships make tracing to the ultimate beneficial owner more resource-intensive; rapid shell company rotation prevents sustained financial intelligence development.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Reduction in the D2 evidence tier achievable for identified target financial flows from D2=[5-OSINT] toward D2=[4] or below; increased filing volume of CTA beneficial ownership reports for entities showing characteristics consistent with rapid turnover (newly formed entities, multiple address changes, complex ownership chains); FinCEN SAR filings noting increased difficulty in beneficial ownership identification; DEA or law enforcement reporting on increased network use of privacy-preserving financial channels.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Attribution degradation that reduces achievable evidence tiers below Gate 2 requirements means the administrative records required for designation actions cannot be developed at the required standard. Gate 2 cannot be supported until additional evidentiary development closes the attribution gap. If attribution degradation is sustained and Gate 2 cannot be satisfied, the deployment is not analytically supported for channels requiring named-institution designation actions.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Mitigation considerations (within open-source scope): Enhanced beneficial ownership analysis using CTA reporting cross-referenced against § 314(a) information sharing returns; blockchain forensics for transparent-blockchain activity at exchange interaction points; and correlation of known network actor identifiers against newly formed entities in target jurisdictions. These approaches operate within the D2=[5-OSINT] ceiling; transaction-level financial intelligence (D2=[5-FININT]) requires classified intelligence collection outside the scope of this analysis.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1 (Tier Classification) and Gate 2 (Administrative Record Pre-Positioning). Attribution degradation may require downward Tier revision at Gate 1 or prevent Gate 2 from being satisfied at the required evidentiary standard.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3.4 Domain Four: Coalition Fracture and Partner Constraint</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Dependency 3 (Infrastructure Compliance) via the coalition channel.</w:t>
      </w:r>
    </w:p>
    <w:p>
      <w:pPr>
        <w:spacing w:before="60" w:after="120"/>
        <w:jc w:val="both"/>
      </w:pPr>
      <w:r>
        <w:rPr>
          <w:rFonts w:ascii="Arial" w:cs="Arial" w:eastAsia="Arial" w:hAnsi="Arial"/>
          <w:b w:val="false"/>
          <w:bCs w:val="false"/>
          <w:i w:val="false"/>
          <w:iCs w:val="false"/>
          <w:color w:val="000000"/>
          <w:sz w:val="22"/>
          <w:szCs w:val="22"/>
        </w:rPr>
        <w:t xml:space="preserve">Description: For Tier B network deployments, Channels 6 and 7 depend on coalition participation for analytical support. More broadly, secondary sanctions effectiveness across all channels depends on partner financial institutions' compliance motivation, which is a function of their U.S. market exposure and their home-country legal obligations. Analytical support degrades where coalition alignment is absent, where partner-state legal frameworks constrain parallel action, or where U.S. trade or diplomatic policy creates conflicting incentives for the same partners whose financial institution cooperation is required.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FOUR — COALITION DEGRADATION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Key jurisdictions decline active cooperation or passive non-opposition to U.S. enforcement measures in the target corridor; partner-state legal frameworks (EU Blocking Statute, Reg 2271/96; comparable national instruments) conflict with compliance obligations imposed by U.S. designations, per WP-2026-PERSIST-01 Section 2.6; U.S. trade or tariff policy creates economic friction with partners whose financial institution cooperation is required for secondary sanctions effectiveness; FATF grey-list or black-list status of key enforcement corridor jurisdictions generates domestic compliance fatigue that reduces enforcement quality without reducing nominal participation.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Partner-state financial regulatory guidance that qualifies or conditions compliance with U.S. secondary sanctions obligations; reduction in FATF mutual evaluation scores for key corridor jurisdictions indicating systemic AML compliance decline; official diplomatic communications from partner states indicating unwillingness to extend enforcement cooperation to specific target corridors; U.S. trade action against partner states whose financial institution cooperation is required, consistent with WP-2026-PERSIST-01 Section 10.1 identified fault line (technology-denial coordination and simultaneous trade friction with same partners).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Coalition degradation reduces the analytically supported channel set for Tier B networks and reduces secondary sanctions effectiveness for all network tiers. Gate 3 reassessment is required when coalition degradation indicators are confirmed. Where Gate 3 cannot be maintained at the supported determination standard, coalition-dependent channels must be removed from the analytically supported scope, consistent with SIEGE-01 Failure Mode 2 protocol.</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3 (Coalition Status) and Failure Mode 2 (Coalition Non-Participation). Coalition degradation indicators trigger Gate 3 reassessment and, where Gate 3 cannot be maintained, Failure Mode 2 analytical response.</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3.5 Domain Five: Infrastructure Independence</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Dependency 3 (Infrastructure Compliance).</w:t>
      </w:r>
    </w:p>
    <w:p>
      <w:pPr>
        <w:spacing w:before="60" w:after="120"/>
        <w:jc w:val="both"/>
      </w:pPr>
      <w:r>
        <w:rPr>
          <w:rFonts w:ascii="Arial" w:cs="Arial" w:eastAsia="Arial" w:hAnsi="Arial"/>
          <w:b w:val="false"/>
          <w:bCs w:val="false"/>
          <w:i w:val="false"/>
          <w:iCs w:val="false"/>
          <w:color w:val="000000"/>
          <w:sz w:val="22"/>
          <w:szCs w:val="22"/>
        </w:rPr>
        <w:t xml:space="preserve">Description: The framework's self-distributing enforcement mechanism relies on compliance-sensitive intermediaries — correspondent banks, cryptocurrency exchanges, maritime insurance providers, export financing institutions — implementing enforcement obligations upon designation. Analytical support degrades when networks operate through intermediaries that are outside the compliance architecture these obligations create: state-owned or state-protected institutions not subject to U.S. market-exposure-based compliance incentives; parallel logistics ecosystems operated outside regulated shipping and insurance infrastructure; bilateral settlement systems that do not route through U.S.-exposed correspondent chains.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FIVE — INFRASTRUCTURE INDEPENDENCE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Target network financial operations route through state-owned banks in jurisdictions where state commercial policy supersedes U.S. secondary sanctions compliance incentives (documented pattern in DPRK and Iran enforcement contexts); maritime logistics utilize vessels operating under flag registries with state-directed commercial policy and no U.S. port dependency; cryptocurrency operations utilize peer-to-peer settlement or decentralized protocols that do not require exchange infrastructure; trade finance utilizes bilateral government-to-government credit arrangements not routed through commercial letter-of-credit infrastructure exposed to U.S. correspondent bank compliance review.</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DEA or IC reporting on network financial flows through state-owned banking institutions in identified non-cooperative jurisdictions; CBP and Coast Guard reporting on vessels operating outside standard commercial shipping infrastructure (state-operated fleets, dark vessel activity without AIS transponder); OFAC and blockchain forensics reporting on cryptocurrency activity in peer-to-peer protocols or decentralized exchanges without fiat conversion at U.S.-exposed exchange infrastructure; BIS export control reporting on acquisition patterns consistent with state-facilitated supply chains outside commercial export financing.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Infrastructure independence degradation is most acute for networks with state sponsorship or state protection, placing them at the upper bound of Tier C classification. Where confirmed, it requires reassessment of the analytically supported channel set toward the Tier C three-channel configuration (Channels 4, 7, and conversion-point elements of Channel 3), even for networks that would otherwise meet Tier B criteria on USD throughput alone.</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1 (Tier Classification). Infrastructure independence indicators that confirm state-protected operational channels require Gate 1 reassessment; the applicable Tier may be lower than throughput distribution alone would indicate.</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3.6 Domain Six: Temporal Adaptation — Enforcement Cycle Asymmetry</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All three dependencies (temporal dimension).</w:t>
      </w:r>
    </w:p>
    <w:p>
      <w:pPr>
        <w:spacing w:before="60" w:after="120"/>
        <w:jc w:val="both"/>
      </w:pPr>
      <w:r>
        <w:rPr>
          <w:rFonts w:ascii="Arial" w:cs="Arial" w:eastAsia="Arial" w:hAnsi="Arial"/>
          <w:b w:val="false"/>
          <w:bCs w:val="false"/>
          <w:i w:val="false"/>
          <w:iCs w:val="false"/>
          <w:color w:val="000000"/>
          <w:sz w:val="22"/>
          <w:szCs w:val="22"/>
        </w:rPr>
        <w:t xml:space="preserve">Description: The framework's simultaneity requirement depends on enforcement administrative timelines being shorter than network migration timelines. Analytical support degrades when the network's documented migration window is shorter than the framework's preparation timeline arithmetic, or when adversarial learning from prior enforcement cycles allows faster migration than the 30 to 60 day baseline. The temporal dimension of degradation is structurally distinct from jurisdictional, visibility, or compliance degradation because it affects all dependencies simultaneously: a network that migrates faster than the framework can respond is effectively outside the framework's jurisdictional reach during the enforcement window, invisible to attribution during migration, and utilizing infrastructure outside the compliance architecture before obligations can attach.</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SIX — TEMPORAL ADAPTATION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Conditions under which degradation occurs: Network demonstrated migration speed in prior enforcement actions is shorter than 30 days; network has pre-positioned operational infrastructure in all major substitution channels, eliminating the relationship-establishment delay that extends the migration window for less sophisticated networks; enforcement administrative timelines for key channels (Section 311 PMLC proceedings, OFAC wallet designation review) have lengthened due to legal challenge volume or administrative resource constraint; sequential enforcement cycles have provided the network with operational intelligence about the enforcement sequence and optimal migration timing.</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Observable indicators: Prior enforcement action documentation showing sub-30-day migration to alternative channels; forensic evidence of pre-positioned operational accounts across multiple channel categories in non-pressured jurisdictions; administrative record delays in similar Section 311 or OFAC designation proceedings suggesting enforcement cycle elongation; DEA or law enforcement reporting on network operational continuity during prior enforcement windows inconsistent with the 30 to 60 day migration baseline.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Analytical implication: Temporal adaptation degradation that reduces the network's migration window below the preparation timeline arithmetic in Gate 2 means the framework's simultaneity requirement cannot be satisfied for this target. The deployment is not analytically supported for the full seven-channel framework under these conditions. Options include: compressing the preparation timeline by pre-positioning records earlier; scoping the deployment to channels whose preparation timelines fit within the confirmed migration window; or assessing the deployment as providing intelligence value and asset recovery rather than cumulative cost escalation.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Gate 2 (Administrative Record Pre-Positioning) preparation timeline arithmetic. Networks with demonstrated migration windows shorter than Gate 2 minimum preparation timelines require timeline assessment before Gate 2 can be assessed as analytically supported.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3.7 Domain Seven: False Signal and Misinterpretation Risk</w:t>
      </w:r>
    </w:p>
    <w:p>
      <w:pPr>
        <w:spacing w:before="60" w:after="120"/>
        <w:jc w:val="both"/>
      </w:pPr>
      <w:r>
        <w:rPr>
          <w:rFonts w:ascii="Arial" w:cs="Arial" w:eastAsia="Arial" w:hAnsi="Arial"/>
          <w:b w:val="false"/>
          <w:bCs w:val="false"/>
          <w:i w:val="false"/>
          <w:iCs w:val="false"/>
          <w:color w:val="000000"/>
          <w:sz w:val="22"/>
          <w:szCs w:val="22"/>
        </w:rPr>
        <w:t xml:space="preserve">Framework dependency affected: Assessment accuracy (cross-cutting).</w:t>
      </w:r>
    </w:p>
    <w:p>
      <w:pPr>
        <w:spacing w:before="60" w:after="120"/>
        <w:jc w:val="both"/>
      </w:pPr>
      <w:r>
        <w:rPr>
          <w:rFonts w:ascii="Arial" w:cs="Arial" w:eastAsia="Arial" w:hAnsi="Arial"/>
          <w:b w:val="false"/>
          <w:bCs w:val="false"/>
          <w:i w:val="false"/>
          <w:iCs w:val="false"/>
          <w:color w:val="000000"/>
          <w:sz w:val="22"/>
          <w:szCs w:val="22"/>
        </w:rPr>
        <w:t xml:space="preserve">Description: Evasion environments create observable patterns that can be misinterpreted as enforcement success when they reflect adversarial adaptation or temporary displacement rather than durable degradation. False positive assessment — where apparent disruption is interpreted as framework success without throughput evidence — is a systematic risk in multi-channel enforcement deployments. It leads to continuation of deployments under degraded conditions, misallocation of enforcement resources, and incorrect attribution of observable market effects to enforcement rather than to independent demand-side or competitive supply-side factors.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DOMAIN SEVEN — FALSE SIGNAL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Apparent disruption without throughput reduction (surface disruption): Network routing shifts, SAR pattern changes, and organizational restructuring are observable and may appear to indicate enforcement impact. Where these observable changes are not accompanied by corroborating evidence of reduced underlying network throughput or operational reliability, they should be treated as adaptive camouflage rather than framework success. The analytical standard is: observable disruption without throughput evidence is consistent with both effective enforcement and successful adaptation; it does not independently distinguish between them.</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Fragmentation misinterpreted as success: Emergence of new distribution sub-networks or organizational fragmentation of the primary target may appear to indicate network degradation. Per the series governing finding in WP-2026-SIEGE-01 Part VII, fragmentation without parallel organizational disruption is treated as a negative or null outcome condition. Observable fragmentation triggers Gate 4 reassessment, not continuation of financial pressure.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Rerouting misinterpreted as degradation: Observable routing shifts — network migrates from Channel A to Channel B — do not independently indicate that Channel A enforcement is producing durable degradation. They are consistent with both the framework's intended cumulative cost escalation (migration to higher-cost channels) and cost-free migration to unpressured channels. Distinguishing between these interpretations requires assessment of whether Channel B is under concurrent pressure and whether Channel B costs are higher than Channel A costs under current enforcement conditions.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Seizure volume increases misinterpreted as network suppression: Increases in asset seizure volumes are consistent with both effective enforcement (network assets being interdicted at higher rates) and increased enforcement activity without increased enforcement effectiveness (more assets pursued at similar seizure rates). Seizure volumes should be assessed against estimated network throughput volumes to calculate interdiction rates, not interpreted as absolute indicators of network degradation.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SIEGE-01 gate connection: Part XII Falsifiable Observable Indicators. The false signal domain underlies the indicator interpretation protocol: each falsifiable indicator specifies what observation is consistent with framework conditions being met versus conditions not being met; those distinctions are designed specifically to prevent false positive assessment.</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IV: Degradation Domain Summary — Dependency Mapping and Gate Connections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000"/>
        <w:gridCol w:w="184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Domain</w:t>
            </w:r>
          </w:p>
        </w:tc>
        <w:tc>
          <w:tcPr>
            <w:tcW w:type="dxa" w:w="16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Primary Dependency</w:t>
            </w:r>
          </w:p>
        </w:tc>
        <w:tc>
          <w:tcPr>
            <w:tcW w:type="dxa" w:w="18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Core Degradation Condition</w:t>
            </w:r>
          </w:p>
        </w:tc>
        <w:tc>
          <w:tcPr>
            <w:tcW w:type="dxa" w:w="20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Key Observable Indicator</w:t>
            </w:r>
          </w:p>
        </w:tc>
        <w:tc>
          <w:tcPr>
            <w:tcW w:type="dxa" w:w="18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SIEGE-01 Gate Connection</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1. Jurisdictional Boundary</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Jurisdictional Reach</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Target reduces exposure to U.S. financial system nodes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Reduction in identified target U.S. correspondent activity; new non-USD corridor documentation</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Tier Classification reassessment</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2. Financial Channel Substitution</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Jurisdictional Reach; Infrastructure Compliance</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Network maintains parallel pathways not under concurrent pressure</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SAR shifts across channel categories; volume increases in non-pressured channels</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2 preparation timeline; Failure Mode 1</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3. Attribution / Visibility</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Information Visibility</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Beneficial ownership obscured; attribution chain breaks</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Achievable D2 evidence tier declines below D2=[5-OSINT]</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and Gate 2 evidentiary standard</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4. Coalition Fracture</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Infrastructure Compliance (coalition channel)</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Partner states decline cooperation; conflicting legal obligations</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Partner-state regulatory guidance qualifying compliance; FATF evaluation declines</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3; Failure Mode 2</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5. Infrastructure Independence</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Infrastructure Compliance</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Network uses state-protected or non-commercial infrastructure</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State-owned banking flows; dark vessel activity; P2P cryptocurrency settlement</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Gate 1 Tier Classification (toward Tier C)</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6. Temporal Adaptation</w:t>
            </w:r>
          </w:p>
        </w:tc>
        <w:tc>
          <w:tcPr>
            <w:tcW w:type="dxa" w:w="16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All three (temporal dimension)</w:t>
            </w:r>
          </w:p>
        </w:tc>
        <w:tc>
          <w:tcPr>
            <w:tcW w:type="dxa" w:w="18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Network migration speed exceeds framework preparation timeline</w:t>
            </w:r>
          </w:p>
        </w:tc>
        <w:tc>
          <w:tcPr>
            <w:tcW w:type="dxa" w:w="20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Prior-action sub-30-day migration documentation; pre-positioned alternative accounts</w:t>
            </w:r>
          </w:p>
        </w:tc>
        <w:tc>
          <w:tcPr>
            <w:tcW w:type="dxa" w:w="1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Gate 2 preparation timeline arithmetic</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7. False Signal / Misinterpretation</w:t>
            </w:r>
          </w:p>
        </w:tc>
        <w:tc>
          <w:tcPr>
            <w:tcW w:type="dxa" w:w="16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Assessment accuracy</w:t>
            </w:r>
          </w:p>
        </w:tc>
        <w:tc>
          <w:tcPr>
            <w:tcW w:type="dxa" w:w="18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Observable disruption misattributed to throughput reduction</w:t>
            </w:r>
          </w:p>
        </w:tc>
        <w:tc>
          <w:tcPr>
            <w:tcW w:type="dxa" w:w="20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Routing shifts without throughput evidence; fragmentation without output reduction</w:t>
            </w:r>
          </w:p>
        </w:tc>
        <w:tc>
          <w:tcPr>
            <w:tcW w:type="dxa" w:w="1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Part XII Falsifiable Indicators interpretation protocol</w:t>
            </w:r>
          </w:p>
        </w:tc>
      </w:tr>
    </w:tbl>
    <w:p>
      <w:pPr>
        <w:spacing w:before="60" w:after="120"/>
      </w:pPr>
      <w:r>
        <w:rPr>
          <w:rFonts w:ascii="Arial" w:cs="Arial" w:eastAsia="Arial" w:hAnsi="Arial"/>
          <w:i/>
          <w:iCs/>
          <w:color w:val="4A5568"/>
          <w:sz w:val="18"/>
          <w:szCs w:val="18"/>
        </w:rPr>
        <w:t xml:space="preserve">Table 1: Degradation Domain Summary. Each domain maps to one or more foundational dependencies, a core degradation condition, a key observable indicator, and the SIEGE-01 gate structure element most directly affected.</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 Analytical Safeguards</w:t>
      </w:r>
    </w:p>
    <w:p>
      <w:pPr>
        <w:spacing w:before="60" w:after="120"/>
        <w:jc w:val="both"/>
      </w:pPr>
      <w:r>
        <w:rPr>
          <w:rFonts w:ascii="Arial" w:cs="Arial" w:eastAsia="Arial" w:hAnsi="Arial"/>
          <w:b w:val="false"/>
          <w:bCs w:val="false"/>
          <w:i w:val="false"/>
          <w:iCs w:val="false"/>
          <w:color w:val="000000"/>
          <w:sz w:val="22"/>
          <w:szCs w:val="22"/>
        </w:rPr>
        <w:t xml:space="preserve">This section specifies the analytical safeguards required to prevent the systematic assessment errors that degradation environments introduce. These safeguards apply to all WP-2026 series enforcement analysis; they are most critical during active deployments where degradation indicators may be present but have not been formally assessed.</w:t>
      </w:r>
    </w:p>
    <w:p>
      <w:pPr>
        <w:pStyle w:val="Heading2"/>
        <w:spacing w:before="240" w:after="80"/>
      </w:pPr>
      <w:r>
        <w:rPr>
          <w:rFonts w:ascii="Arial" w:cs="Arial" w:eastAsia="Arial" w:hAnsi="Arial"/>
          <w:b/>
          <w:bCs/>
          <w:color w:val="1B2A4A"/>
          <w:sz w:val="24"/>
          <w:szCs w:val="24"/>
        </w:rPr>
        <w:t xml:space="preserve">5.1 Do Not Treat Adaptation as Success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SAFEGUARD 1 — ADVERSARIAL ADAPTATION CLAUSE</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Target networks are expected to adapt behavior in response to enforcement pressure throughout the deployment window. Observed adaptive responses — routing shifts, jurisdictional migration, asset-class substitution, organizational restructuring — do not independently constitute evidence that the framework is producing its assessed effects. An adaptive response is consistent with both effective enforcement and cost-free migration.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Assessment standard: Observable adaptation requires throughput assessment before characterization as enforcement success or failure. The specific throughput proxy for each deployment should be defined at Gate 2 as part of the administrative record pre-positioning, so that the effectiveness assessment standard is established before the deployment begins rather than assessed ad hoc when adaptation is observed.</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5.2 Do Not Treat Fragmentation as Success</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SAFEGUARD 2 — FRAGMENTATION ASSESSMENT STANDARD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Fragmentation without parallel organizational disruption is treated as a negative or null outcome condition throughout the WP-2026 series, per the governing finding in WP-2026-SIEGE-01 Part VII. Observable fragmentation triggers Gate 4 reassessment under SIEGE-01 Part II, not characterization as network degradation or enforcement success.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This safeguard applies regardless of the form of fragmentation — whether expressed as organizational division, sub-network market entry, or geographic dispersal. The assessment question is whether parallel organizational disruption architecture is in place; if it is not, fragmentation should be assessed as a probable adverse outcome condition pending Gate 4 reassessment.</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5.3 Require Gate Revalidation When Degradation Indicators Are Confirmed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SAFEGUARD 3 — GATE REVALIDATION REQUIREMENT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Confirmed degradation indicators in any of the seven domains require formal reassessment of the corresponding gate condition in WP-2026-SIEGE-01 Part II. Continuing a deployment under conditions where a gate condition can no longer be maintained at the supported determination standard means the deployment is proceeding without the analytical basis the framework requires.</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Domain 1 or 5 indicators → Gate 1 (Tier Classification) reassessment.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Domain 2 or 6 indicators → Gate 2 (Administrative Record Pre-Positioning) preparation timeline reassessment.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Domain 4 indicators → Gate 3 (Coalition Status) reassessment and Failure Mode 2 protocol.</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Domain 3 indicators → Gate 1 and Gate 2 evidentiary standard reassessment.</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Domain 7 indicators → Part XII falsifiable indicator interpretation protocol review; throughput assessment before characterization.</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All gate reassessments require a documented administrative record consistent with the arbitrary-and-capricious standard, per WP-2026-SIEGE-01 Part II.</w:t>
            </w:r>
          </w:p>
        </w:tc>
      </w:tr>
    </w:tbl>
    <w:p>
      <w:pPr>
        <w:spacing w:before="0" w:after="80"/>
      </w:pPr>
      <w:r>
        <w:rPr>
          <w:sz w:val="2"/>
          <w:szCs w:val="2"/>
        </w:rPr>
        <w:t xml:space="preserve"/>
      </w:r>
    </w:p>
    <w:p>
      <w:pPr>
        <w:pStyle w:val="Heading2"/>
        <w:spacing w:before="240" w:after="80"/>
      </w:pPr>
      <w:r>
        <w:rPr>
          <w:rFonts w:ascii="Arial" w:cs="Arial" w:eastAsia="Arial" w:hAnsi="Arial"/>
          <w:b/>
          <w:bCs/>
          <w:color w:val="1B2A4A"/>
          <w:sz w:val="24"/>
          <w:szCs w:val="24"/>
        </w:rPr>
        <w:t xml:space="preserve">5.4 Maintain Throughput Assessment as the Primary Effectiveness Standard</w:t>
      </w:r>
    </w:p>
    <w:p>
      <w:pPr>
        <w:spacing w:before="0" w:after="80"/>
      </w:pPr>
      <w:r>
        <w:rPr>
          <w:sz w:val="2"/>
          <w:szCs w:val="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B2A4A" w:sz="18" w:space="0"/>
              <w:bottom w:val="none" w:color="FFFFFF" w:sz="0"/>
              <w:right w:val="none" w:color="FFFFFF" w:sz="0"/>
            </w:tcBorders>
            <w:shd w:fill="E8EDF5" w:val="clear"/>
            <w:tcMar>
              <w:top w:type="dxa" w:w="60"/>
              <w:left w:type="dxa" w:w="160"/>
              <w:bottom w:type="dxa" w:w="20"/>
              <w:right w:type="dxa" w:w="80"/>
            </w:tcMar>
          </w:tcPr>
          <w:p>
            <w:pPr>
              <w:spacing w:before="0" w:after="0"/>
            </w:pPr>
            <w:r>
              <w:rPr>
                <w:rFonts w:ascii="Arial" w:cs="Arial" w:eastAsia="Arial" w:hAnsi="Arial"/>
                <w:b/>
                <w:bCs/>
                <w:caps/>
                <w:color w:val="1B2A4A"/>
                <w:sz w:val="18"/>
                <w:szCs w:val="18"/>
              </w:rPr>
              <w:t xml:space="preserve">SAFEGUARD 4 — THROUGHPUT PRIMACY STANDARD</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The primary effectiveness assessment standard for multi-channel enforcement deployments is network throughput and operational reliability, not observable enforcement activity volume, SAR filing rates, or asset seizure volumes. Those secondary indicators are consistent with multiple interpretations and should not be used as primary effectiveness measures without throughput correlation.</w:t>
            </w:r>
          </w:p>
        </w:tc>
      </w:tr>
      <w:tr>
        <w:tc>
          <w:tcPr>
            <w:tcW w:type="dxa" w:w="8640"/>
            <w:tcBorders>
              <w:top w:val="none" w:color="FFFFFF" w:sz="0"/>
              <w:left w:val="single" w:color="1B2A4A" w:sz="18" w:space="0"/>
              <w:bottom w:val="none" w:color="FFFFFF" w:sz="0"/>
              <w:right w:val="none" w:color="FFFFFF" w:sz="0"/>
            </w:tcBorders>
            <w:shd w:fill="E8EDF5" w:val="clear"/>
            <w:tcMar>
              <w:top w:type="dxa" w:w="20"/>
              <w:left w:type="dxa" w:w="160"/>
              <w:bottom w:type="dxa" w:w="20"/>
              <w:right w:type="dxa" w:w="80"/>
            </w:tcMar>
          </w:tcPr>
          <w:p>
            <w:pPr>
              <w:spacing w:before="0" w:after="0"/>
            </w:pPr>
            <w:r>
              <w:rPr>
                <w:rFonts w:ascii="Arial" w:cs="Arial" w:eastAsia="Arial" w:hAnsi="Arial"/>
                <w:b w:val="false"/>
                <w:bCs w:val="false"/>
                <w:i w:val="false"/>
                <w:iCs w:val="false"/>
                <w:color w:val="000000"/>
                <w:sz w:val="20"/>
                <w:szCs w:val="20"/>
              </w:rPr>
              <w:t xml:space="preserve">Throughput proxies must be defined at Gate 2 as part of administrative record pre-positioning: what specific observable measure — retail market availability, DEA production estimates, operational tempo assessments — will serve as the throughput proxy for this deployment? The answer must be documented before Channel 1 action, not identified post hoc when secondary indicators produce ambiguous results.</w:t>
            </w:r>
          </w:p>
        </w:tc>
      </w:tr>
      <w:tr>
        <w:tc>
          <w:tcPr>
            <w:tcW w:type="dxa" w:w="8640"/>
            <w:tcBorders>
              <w:top w:val="none" w:color="FFFFFF" w:sz="0"/>
              <w:left w:val="single" w:color="1B2A4A" w:sz="18" w:space="0"/>
              <w:bottom w:val="single" w:color="E8EDF5" w:sz="4" w:space="0"/>
              <w:right w:val="none" w:color="FFFFFF" w:sz="0"/>
            </w:tcBorders>
            <w:shd w:fill="E8EDF5" w:val="clear"/>
            <w:tcMar>
              <w:top w:type="dxa" w:w="20"/>
              <w:left w:type="dxa" w:w="160"/>
              <w:bottom w:type="dxa" w:w="80"/>
              <w:right w:type="dxa" w:w="80"/>
            </w:tcMar>
          </w:tcPr>
          <w:p>
            <w:pPr>
              <w:spacing w:before="0" w:after="0"/>
            </w:pPr>
            <w:r>
              <w:rPr>
                <w:rFonts w:ascii="Arial" w:cs="Arial" w:eastAsia="Arial" w:hAnsi="Arial"/>
                <w:b w:val="false"/>
                <w:bCs w:val="false"/>
                <w:i w:val="false"/>
                <w:iCs w:val="false"/>
                <w:color w:val="000000"/>
                <w:sz w:val="20"/>
                <w:szCs w:val="20"/>
              </w:rPr>
              <w:t xml:space="preserve">Where throughput assessment is unavailable or unresolved, effectiveness assessments should be qualified as inconclusive rather than positive or negative. An inconclusive throughput assessment is analytically honest; a positive effectiveness assessment based solely on secondary indicators is analytically unsupported.</w:t>
            </w:r>
          </w:p>
        </w:tc>
      </w:tr>
    </w:tbl>
    <w:p>
      <w:pPr>
        <w:spacing w:before="0" w:after="80"/>
      </w:pPr>
      <w:r>
        <w:rPr>
          <w:sz w:val="2"/>
          <w:szCs w:val="2"/>
        </w:rPr>
        <w:t xml:space="preserve"/>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Part VI: Integration with WP-2026 Series Documents</w:t>
      </w:r>
    </w:p>
    <w:p>
      <w:pPr>
        <w:pStyle w:val="Heading2"/>
        <w:spacing w:before="240" w:after="80"/>
      </w:pPr>
      <w:r>
        <w:rPr>
          <w:rFonts w:ascii="Arial" w:cs="Arial" w:eastAsia="Arial" w:hAnsi="Arial"/>
          <w:b/>
          <w:bCs/>
          <w:color w:val="1B2A4A"/>
          <w:sz w:val="24"/>
          <w:szCs w:val="24"/>
        </w:rPr>
        <w:t xml:space="preserve">6.1 Integration with SIEGE-01</w:t>
      </w:r>
    </w:p>
    <w:p>
      <w:pPr>
        <w:spacing w:before="60" w:after="120"/>
        <w:jc w:val="both"/>
      </w:pPr>
      <w:r>
        <w:rPr>
          <w:rFonts w:ascii="Arial" w:cs="Arial" w:eastAsia="Arial" w:hAnsi="Arial"/>
          <w:b w:val="false"/>
          <w:bCs w:val="false"/>
          <w:i w:val="false"/>
          <w:iCs w:val="false"/>
          <w:color w:val="000000"/>
          <w:sz w:val="22"/>
          <w:szCs w:val="22"/>
        </w:rPr>
        <w:t xml:space="preserve">WP-2026-COUNTERINTEL-01 is the constraint-layer document for WP-2026-SIEGE-01. The relationship is directional: SIEGE-01 defines the conditions under which the framework is analytically applicable; this document defines the conditions under which that analytical support degrades during deployment. They are designed to be read together: SIEGE-01's gate structure provides the analytical architecture within which degradation is assessed; this document provides the degradation-domain knowledge that makes gate reassessment during deployment analytically grounded.</w:t>
      </w:r>
    </w:p>
    <w:p>
      <w:pPr>
        <w:spacing w:before="60" w:after="120"/>
        <w:jc w:val="both"/>
      </w:pPr>
      <w:r>
        <w:rPr>
          <w:rFonts w:ascii="Arial" w:cs="Arial" w:eastAsia="Arial" w:hAnsi="Arial"/>
          <w:b w:val="false"/>
          <w:bCs w:val="false"/>
          <w:i w:val="false"/>
          <w:iCs w:val="false"/>
          <w:color w:val="000000"/>
          <w:sz w:val="22"/>
          <w:szCs w:val="22"/>
        </w:rPr>
        <w:t xml:space="preserve">Specific integration points: SIEGE-01 Part III (Jurisdictional Limits) references this document for a complete degradation map. SIEGE-01 Part V (Channel assessments) for Channels 3 and 7 reference this document for channel-specific degradation analysis. SIEGE-01 Part VI (Cumulative cost model) references this document for conditions under which the cumulative logic degrades. SIEGE-01 Part XII (Falsifiable indicators) interpretation protocol is grounded in the false signal analysis in this document's Domain Seven.</w:t>
      </w:r>
    </w:p>
    <w:p>
      <w:pPr>
        <w:pStyle w:val="Heading2"/>
        <w:spacing w:before="240" w:after="80"/>
      </w:pPr>
      <w:r>
        <w:rPr>
          <w:rFonts w:ascii="Arial" w:cs="Arial" w:eastAsia="Arial" w:hAnsi="Arial"/>
          <w:b/>
          <w:bCs/>
          <w:color w:val="1B2A4A"/>
          <w:sz w:val="24"/>
          <w:szCs w:val="24"/>
        </w:rPr>
        <w:t xml:space="preserve">6.2 Integration with PERSIST-01</w:t>
      </w:r>
    </w:p>
    <w:p>
      <w:pPr>
        <w:spacing w:before="60" w:after="120"/>
        <w:jc w:val="both"/>
      </w:pPr>
      <w:r>
        <w:rPr>
          <w:rFonts w:ascii="Arial" w:cs="Arial" w:eastAsia="Arial" w:hAnsi="Arial"/>
          <w:b w:val="false"/>
          <w:bCs w:val="false"/>
          <w:i w:val="false"/>
          <w:iCs w:val="false"/>
          <w:color w:val="000000"/>
          <w:sz w:val="22"/>
          <w:szCs w:val="22"/>
        </w:rPr>
        <w:t xml:space="preserve">WP-2026-PERSIST-01 owns the authority-rail analysis that governs each channel's legal architecture. This document's degradation analysis operates within those authority rails: it identifies where the operative reach of those authorities degrades, but does not independently interpret the authorities themselves. For authority-rail hard limits that establish structural degradation boundaries — specifically, FDPR extraterritoriality limits (Section 2.1), IEEPA nexus requirements (Section 2.2), and alliance rail requirements for secondary sanctions (Section 2.6) — the governing analysis is in PERSIST-01; this document references those limits as degradation conditions.</w:t>
      </w:r>
    </w:p>
    <w:p>
      <w:pPr>
        <w:pStyle w:val="Heading2"/>
        <w:spacing w:before="240" w:after="80"/>
      </w:pPr>
      <w:r>
        <w:rPr>
          <w:rFonts w:ascii="Arial" w:cs="Arial" w:eastAsia="Arial" w:hAnsi="Arial"/>
          <w:b/>
          <w:bCs/>
          <w:color w:val="1B2A4A"/>
          <w:sz w:val="24"/>
          <w:szCs w:val="24"/>
        </w:rPr>
        <w:t xml:space="preserve">6.3 Integration with SENI-ARCH-01</w:t>
      </w:r>
    </w:p>
    <w:p>
      <w:pPr>
        <w:spacing w:before="60" w:after="120"/>
        <w:jc w:val="both"/>
      </w:pPr>
      <w:r>
        <w:rPr>
          <w:rFonts w:ascii="Arial" w:cs="Arial" w:eastAsia="Arial" w:hAnsi="Arial"/>
          <w:b w:val="false"/>
          <w:bCs w:val="false"/>
          <w:i w:val="false"/>
          <w:iCs w:val="false"/>
          <w:color w:val="000000"/>
          <w:sz w:val="22"/>
          <w:szCs w:val="22"/>
        </w:rPr>
        <w:t xml:space="preserve">WP-2026-SENI-ARCH-01 owns the evidentiary tiering framework that determines when attribution is sufficient for enforcement action. Domain Three of this document (Attribution and Information Visibility Degradation) is the degradation-domain counterpart to SENI's D2 evidence tiering: where SENI defines what evidentiary tier is achievable, this document defines the conditions under which achievable D2 tiers decline below the Gate 2 threshold. The D2=[5-OSINT] standard referenced in SIEGE-01 Gate 2 is SENI-ARCH-01's standard; degradation in Domain Three is degradation below that standard.</w:t>
      </w:r>
    </w:p>
    <w:p>
      <w:pPr>
        <w:pStyle w:val="Heading2"/>
        <w:spacing w:before="240" w:after="80"/>
      </w:pPr>
      <w:r>
        <w:rPr>
          <w:rFonts w:ascii="Arial" w:cs="Arial" w:eastAsia="Arial" w:hAnsi="Arial"/>
          <w:b/>
          <w:bCs/>
          <w:color w:val="1B2A4A"/>
          <w:sz w:val="24"/>
          <w:szCs w:val="24"/>
        </w:rPr>
        <w:t xml:space="preserve">6.5 Integration with EVASION-01</w:t>
      </w:r>
    </w:p>
    <w:p>
      <w:pPr>
        <w:spacing w:before="60" w:after="120"/>
        <w:jc w:val="both"/>
      </w:pPr>
      <w:r>
        <w:rPr>
          <w:rFonts w:ascii="Arial" w:cs="Arial" w:eastAsia="Arial" w:hAnsi="Arial"/>
          <w:b w:val="false"/>
          <w:bCs w:val="false"/>
          <w:i w:val="false"/>
          <w:iCs w:val="false"/>
          <w:color w:val="000000"/>
          <w:sz w:val="22"/>
          <w:szCs w:val="22"/>
        </w:rPr>
        <w:t xml:space="preserve">WP-2026-EVASION-01 is the active adversary model layer for the series. Where this document maps passive framework degradation — the conditions under which the enforcement framework loses analytical support independent of adversary action — EVASION-01 maps active adversary exploitation: the specific behaviors adversaries exhibit to create or accelerate those degradation conditions. The two documents are designed as companion products constituting the full constraint layer for SIEGE-01.</w:t>
      </w:r>
    </w:p>
    <w:p>
      <w:pPr>
        <w:spacing w:before="60" w:after="120"/>
        <w:jc w:val="both"/>
      </w:pPr>
      <w:r>
        <w:rPr>
          <w:rFonts w:ascii="Arial" w:cs="Arial" w:eastAsia="Arial" w:hAnsi="Arial"/>
          <w:b w:val="false"/>
          <w:bCs w:val="false"/>
          <w:i w:val="false"/>
          <w:iCs w:val="false"/>
          <w:color w:val="000000"/>
          <w:sz w:val="22"/>
          <w:szCs w:val="22"/>
        </w:rPr>
        <w:t xml:space="preserve">The analytical relationship is directional and complementary. A degradation condition identified in this document may or may not be actively exploited by the adversary at a given moment. EVASION-01 provides the adversary behavior model that allows analysts to assess which degradation conditions are being actively exploited versus which are latent vulnerabilities. Specifically: Domain 1 (Jurisdictional Boundary Degradation) in this document corresponds to adversary non-USD corridor migration in EVASION-01 Part III.1; Domain 2 (Financial Channel Substitution) corresponds to adversary Phase 2 exploitation across channels in EVASION-01 Parts III and V; Domain 4 (Coalition Fracture) corresponds to adversary active exploitation of coalition gaps in EVASION-01 Part IV.1; Domain 6 (Temporal Adaptation) corresponds to adversary Phase 2-3 transition timing analysis in EVASION-01 Part II; and Domain 7 (False Signal) corresponds to adversary Phase 2 exploitation mimicking disruption in EVASION-01 Part II (Phase 2 discussion).</w:t>
      </w:r>
    </w:p>
    <w:p>
      <w:pPr>
        <w:spacing w:before="60" w:after="120"/>
        <w:jc w:val="both"/>
      </w:pPr>
      <w:r>
        <w:rPr>
          <w:rFonts w:ascii="Arial" w:cs="Arial" w:eastAsia="Arial" w:hAnsi="Arial"/>
          <w:b w:val="false"/>
          <w:bCs w:val="false"/>
          <w:i w:val="false"/>
          <w:iCs w:val="false"/>
          <w:color w:val="000000"/>
          <w:sz w:val="22"/>
          <w:szCs w:val="22"/>
        </w:rPr>
        <w:t xml:space="preserve">Practitioners using this document to identify degradation conditions should consult EVASION-01 to assess whether identified degradation is being actively exploited — and at what phase of the adversary adaptation cycle. A Domain 1 degradation indicator (reduced USD corridor throughput) combined with an EVASION-01 Phase 3 institutionalization signal (new correspondent relationships in non-USD jurisdictions) indicates a materially different enforcement response requirement than the same Domain 1 indicator without Phase 3 confirmation.</w:t>
      </w:r>
    </w:p>
    <w:p>
      <w:pPr>
        <w:pStyle w:val="Heading2"/>
        <w:spacing w:before="240" w:after="80"/>
      </w:pPr>
      <w:r>
        <w:rPr>
          <w:rFonts w:ascii="Arial" w:cs="Arial" w:eastAsia="Arial" w:hAnsi="Arial"/>
          <w:b/>
          <w:bCs/>
          <w:color w:val="1B2A4A"/>
          <w:sz w:val="24"/>
          <w:szCs w:val="24"/>
        </w:rPr>
        <w:t xml:space="preserve">6.6 Integration with CI-PLATFORM-01 (Lazarus Group Case Application)</w:t>
      </w:r>
    </w:p>
    <w:p>
      <w:pPr>
        <w:spacing w:before="60" w:after="120"/>
        <w:jc w:val="both"/>
      </w:pPr>
      <w:r>
        <w:rPr>
          <w:rFonts w:ascii="Arial" w:cs="Arial" w:eastAsia="Arial" w:hAnsi="Arial"/>
          <w:b w:val="false"/>
          <w:bCs w:val="false"/>
          <w:i w:val="false"/>
          <w:iCs w:val="false"/>
          <w:color w:val="000000"/>
          <w:sz w:val="22"/>
          <w:szCs w:val="22"/>
        </w:rPr>
        <w:t xml:space="preserve">WP-2026-CI-PLATFORM-01 constitutes the first empirical validation of this document's degradation domain analysis against a documented real-world target profile. The Lazarus Group case application directly tests Domains 1, 2, 4, 5, and 6 of this document against the publicly documented Lazarus Group enforcement history.</w:t>
      </w:r>
    </w:p>
    <w:p>
      <w:pPr>
        <w:spacing w:before="60" w:after="120"/>
        <w:jc w:val="both"/>
      </w:pPr>
      <w:r>
        <w:rPr>
          <w:rFonts w:ascii="Arial" w:cs="Arial" w:eastAsia="Arial" w:hAnsi="Arial"/>
          <w:b w:val="false"/>
          <w:bCs w:val="false"/>
          <w:i w:val="false"/>
          <w:iCs w:val="false"/>
          <w:color w:val="000000"/>
          <w:sz w:val="22"/>
          <w:szCs w:val="22"/>
        </w:rPr>
        <w:t xml:space="preserve">Key validations: Domain 1 (Jurisdictional Boundary) — the case application confirms that the Lazarus Group's primary financial throughput routes through non-USD correspondent chains, consistent with the Tier C structural boundary this document identifies for networks with limited U.S. financial system exposure. Domain 4 (Coalition Fracture) — the case application documents PRC non-cooperation with DPRK OTC enforcement as the binding enforcement constraint, consistent with this document's analysis of coalition fracture as removing Channels 6 and 7 from the analytically supported scope. Domain 5 (Infrastructure Independence) — the case application confirms state-directed OTC infrastructure (UnionPay, PRC shadow banking) as structurally outside the commercial-incentive enforcement mechanism, consistent with this document's Tier C structural limit analysis. Domain 6 (Temporal Adaptation) — the documented 30-90 day Lazarus Phase 2-3 transition timelines (Blender → Tornado Cash → Sinbad → YoMix → OTC) are within the range this document estimates for temporal adaptation degradation.</w:t>
      </w:r>
    </w:p>
    <w:p>
      <w:pPr>
        <w:pStyle w:val="Heading2"/>
        <w:spacing w:before="240" w:after="80"/>
      </w:pPr>
      <w:r>
        <w:rPr>
          <w:rFonts w:ascii="Arial" w:cs="Arial" w:eastAsia="Arial" w:hAnsi="Arial"/>
          <w:b/>
          <w:bCs/>
          <w:color w:val="1B2A4A"/>
          <w:sz w:val="24"/>
          <w:szCs w:val="24"/>
        </w:rPr>
        <w:t xml:space="preserve">6.4 Where Each Series Document Must Defer or Update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840"/>
      </w:tblGrid>
      <w:tr>
        <w:trPr>
          <w:tblHeader/>
        </w:trPr>
        <w:tc>
          <w:tcPr>
            <w:tcW w:type="dxa" w:w="1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Series Document</w:t>
            </w:r>
          </w:p>
        </w:tc>
        <w:tc>
          <w:tcPr>
            <w:tcW w:type="dxa" w:w="240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Where It Defers to COUNTERINTEL-01</w:t>
            </w:r>
          </w:p>
        </w:tc>
        <w:tc>
          <w:tcPr>
            <w:tcW w:type="dxa" w:w="4840"/>
            <w:tcBorders>
              <w:top w:val="single" w:color="1B2A4A" w:sz="4"/>
              <w:left w:val="single" w:color="1B2A4A" w:sz="4"/>
              <w:bottom w:val="single" w:color="1B2A4A" w:sz="4"/>
              <w:right w:val="single" w:color="1B2A4A" w:sz="4"/>
            </w:tcBorders>
            <w:shd w:fill="1B2A4A"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Update Trigger</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SIEGE-01</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Part III.1 (Jurisdictional Limits); Part V Channels 3 and 7 (channel-specific degradation); Part VI (cumulative logic degradation); Part X (cryptocurrency degradation); Part II.7 (system collapse thresholds reference degradation domains); Part XI.4 (non-capabilities reference structural degradation boundaries)</w:t>
            </w:r>
          </w:p>
        </w:tc>
        <w:tc>
          <w:tcPr>
            <w:tcW w:type="dxa" w:w="4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Confirmed degradation indicator in any domain → gate reassessment per SIEGE-01 Part III; confirmed false signal → throughput assessment per SIEGE-01 Part XII; collapse threshold crossing → framework reclassified as cost redistribution mode per SIEGE-01 Part II.7</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PERSIST-01</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Section 10 (Known Fault Lines) — this document provides the degradation-domain structure that operationalizes PERSIST-01's fault line analysis</w:t>
            </w:r>
          </w:p>
        </w:tc>
        <w:tc>
          <w:tcPr>
            <w:tcW w:type="dxa" w:w="4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Coalition fracture indicators (Domain 4) → Section 10.1 analysis applies; blowback/countermeasure indicators (Domain 5) → Section 10.2 analysis applies</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SENI-ARCH-01</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Layer 2 enforcement playbook development — Domain 3 degradation analysis informs when achievable D2 tiers have declined below Layer 2 evidentiary requirements</w:t>
            </w:r>
          </w:p>
        </w:tc>
        <w:tc>
          <w:tcPr>
            <w:tcW w:type="dxa" w:w="4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Domain 3 attribution degradation indicators → reassess achievable D2 tier; update enforcement playbook target list accordingly</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UNIFIED-01</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Cross-domain degradation analysis — where a degradation condition affects all three enforcement domains simultaneously (e.g., coalition fracture in Domain 4), UNIFIED-01's cross-domain synchronization may be materially compromised</w:t>
            </w:r>
          </w:p>
        </w:tc>
        <w:tc>
          <w:tcPr>
            <w:tcW w:type="dxa" w:w="4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Multi-domain simultaneous degradation indicators → UNIFIED-01 cross-domain enforcement efficiency assessment must account for degraded conditions in affected domains</w:t>
            </w:r>
          </w:p>
        </w:tc>
      </w:tr>
      <w:tr>
        <w:tc>
          <w:tcPr>
            <w:tcW w:type="dxa" w:w="1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EVASION-01</w:t>
            </w:r>
          </w:p>
        </w:tc>
        <w:tc>
          <w:tcPr>
            <w:tcW w:type="dxa" w:w="240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Active adversary exploitation of each degradation domain — EVASION-01 Parts III and IV map specific adversary behaviors that create or accelerate the conditions this document identifies; EVASION-01 Part II adversary adaptation cycle provides the temporal model for when degradation transitions from latent to actively exploited</w:t>
            </w:r>
          </w:p>
        </w:tc>
        <w:tc>
          <w:tcPr>
            <w:tcW w:type="dxa" w:w="4840"/>
            <w:tcBorders>
              <w:top w:val="single" w:color="CCCCCC" w:sz="2"/>
              <w:left w:val="single" w:color="CCCCCC" w:sz="2"/>
              <w:bottom w:val="single" w:color="CCCCCC" w:sz="2"/>
              <w:right w:val="single" w:color="CCCCCC" w:sz="2"/>
            </w:tcBorders>
            <w:shd w:fill="FAFAFA" w:val="clear"/>
            <w:tcMar>
              <w:top w:type="dxa" w:w="60"/>
              <w:left w:type="dxa" w:w="100"/>
              <w:bottom w:type="dxa" w:w="60"/>
              <w:right w:type="dxa" w:w="100"/>
            </w:tcMar>
          </w:tcPr>
          <w:p>
            <w:pPr>
              <w:spacing w:before="0" w:after="0"/>
            </w:pPr>
            <w:r>
              <w:rPr>
                <w:rFonts w:ascii="Arial" w:cs="Arial" w:eastAsia="Arial" w:hAnsi="Arial"/>
                <w:sz w:val="20"/>
                <w:szCs w:val="20"/>
              </w:rPr>
              <w:t xml:space="preserve">Confirmed degradation indicator in any domain → consult EVASION-01 corresponding domain to assess whether degradation is being actively exploited and at what cycle phase; EVASION-01 Phase 3 institutionalization signal combined with Domain 1 indicator → materially different response than Domain 1 indicator alone</w:t>
            </w:r>
          </w:p>
        </w:tc>
      </w:tr>
      <w:tr>
        <w:tc>
          <w:tcPr>
            <w:tcW w:type="dxa" w:w="1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CI-PLATFORM-01</w:t>
            </w:r>
          </w:p>
        </w:tc>
        <w:tc>
          <w:tcPr>
            <w:tcW w:type="dxa" w:w="240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Empirical validation of Domains 1, 4, 5, and 6 against the Lazarus Group case record — confirms Tier C structural boundary (Domain 1), PRC coalition gap as binding constraint (Domain 4), state-directed OTC infrastructure as structurally uncontrollable (Domain 5), and 30-90 day adversary Phase 2-3 transition timelines (Domain 6)</w:t>
            </w:r>
          </w:p>
        </w:tc>
        <w:tc>
          <w:tcPr>
            <w:tcW w:type="dxa" w:w="4840"/>
            <w:tcBorders>
              <w:top w:val="single" w:color="CCCCCC" w:sz="2"/>
              <w:left w:val="single" w:color="CCCCCC" w:sz="2"/>
              <w:bottom w:val="single" w:color="CCCCCC" w:sz="2"/>
              <w:right w:val="single" w:color="CCCCCC" w:sz="2"/>
            </w:tcBorders>
            <w:shd w:fill="E8EDF5" w:val="clear"/>
            <w:tcMar>
              <w:top w:type="dxa" w:w="60"/>
              <w:left w:type="dxa" w:w="100"/>
              <w:bottom w:type="dxa" w:w="60"/>
              <w:right w:type="dxa" w:w="100"/>
            </w:tcMar>
          </w:tcPr>
          <w:p>
            <w:pPr>
              <w:spacing w:before="0" w:after="0"/>
            </w:pPr>
            <w:r>
              <w:rPr>
                <w:rFonts w:ascii="Arial" w:cs="Arial" w:eastAsia="Arial" w:hAnsi="Arial"/>
                <w:sz w:val="20"/>
                <w:szCs w:val="20"/>
              </w:rPr>
              <w:t xml:space="preserve">Case application findings that conflict with degradation domain assessments → reassess domain analytical basis; case findings that confirm domain assessments → document as empirical validation for similar target profiles</w:t>
            </w:r>
          </w:p>
        </w:tc>
      </w:tr>
    </w:tbl>
    <w:p>
      <w:pPr>
        <w:spacing w:before="60" w:after="120"/>
      </w:pPr>
      <w:r>
        <w:rPr>
          <w:rFonts w:ascii="Arial" w:cs="Arial" w:eastAsia="Arial" w:hAnsi="Arial"/>
          <w:i/>
          <w:iCs/>
          <w:color w:val="4A5568"/>
          <w:sz w:val="18"/>
          <w:szCs w:val="18"/>
        </w:rPr>
        <w:t xml:space="preserve">Table 2: Series Integration — Where Each Document Defers to COUNTERINTEL-01 and What Update Triggers Apply.</w:t>
      </w:r>
    </w:p>
    <w:p>
      <w:pPr>
        <w:spacing w:before="0" w:after="160"/>
      </w:pPr>
      <w:r>
        <w:rPr>
          <w:sz w:val="2"/>
          <w:szCs w:val="2"/>
        </w:rPr>
        <w:t xml:space="preserve"/>
      </w:r>
    </w:p>
    <w:p>
      <w:pPr>
        <w:pStyle w:val="Heading1"/>
        <w:spacing w:before="360" w:after="120"/>
      </w:pPr>
      <w:r>
        <w:rPr>
          <w:rFonts w:ascii="Arial" w:cs="Arial" w:eastAsia="Arial" w:hAnsi="Arial"/>
          <w:b/>
          <w:bCs/>
          <w:color w:val="1B2A4A"/>
          <w:sz w:val="30"/>
          <w:szCs w:val="30"/>
        </w:rPr>
        <w:t xml:space="preserve">Sources and Reference Basis</w:t>
      </w:r>
    </w:p>
    <w:p>
      <w:pPr>
        <w:pStyle w:val="Heading2"/>
        <w:spacing w:before="240" w:after="80"/>
      </w:pPr>
      <w:r>
        <w:rPr>
          <w:rFonts w:ascii="Arial" w:cs="Arial" w:eastAsia="Arial" w:hAnsi="Arial"/>
          <w:b/>
          <w:bCs/>
          <w:color w:val="1B2A4A"/>
          <w:sz w:val="24"/>
          <w:szCs w:val="24"/>
        </w:rPr>
        <w:t xml:space="preserve">Tier 1 — U.S. Government and Official Sources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FinCEN. National Money Laundering Risk Assessment. 2022.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Guidance on Money Laundering from Drug Trafficking. 2019.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Hawala and Other Similar Service Providers Typologies. 2013.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FATF. Mutual Evaluation Reports — UAE, Singapore, Hong Kong (various years).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DEA. National Drug Threat Assessment. 2024;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State Department. International Narcotics Control Strategy Report (INCSR). 2024;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ODNI. Annual Threat Assessment of the U.S. Intelligence Community. 2025. [TIER 1]</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CISA/NSA/FBI. Volt Typhoon Cybersecurity Advisory. 2024. [TIER 1]</w:t>
      </w:r>
    </w:p>
    <w:p>
      <w:pPr>
        <w:pStyle w:val="Heading2"/>
        <w:spacing w:before="240" w:after="80"/>
      </w:pPr>
      <w:r>
        <w:rPr>
          <w:rFonts w:ascii="Arial" w:cs="Arial" w:eastAsia="Arial" w:hAnsi="Arial"/>
          <w:b/>
          <w:bCs/>
          <w:color w:val="1B2A4A"/>
          <w:sz w:val="24"/>
          <w:szCs w:val="24"/>
        </w:rPr>
        <w:t xml:space="preserve">WP-2026 Series Cross-References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WP-2026-SIEGE-01 Final — Framework mechanism (Parts I-V); gate structure (Part II); Gate Failure Cascade model (Part II.6); system collapse thresholds (Part II.7); failure mode protocols (Part III); jurisdictional limits (Part III.1); adversary adaptation clause (Part VII); fragmentation governing finding (Part VII.2); formal adversary adaptation parameters (Part VII.5); non-capabilities section (Part XI.4); falsifiable indicators (Part XII).</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WP-2026-EVASION-01 Final — Adversary adaptation cycle (Part II); evasion by domain — financial (III.1), cryptocurrency (III.2), maritime (III.3), trade finance (III.4), legal/jurisdictional (III.5); evasion by enforcement condition (Part IV); evasion by time horizon (Part V); channel structural persistence with capital requirements (Part VI). Companion document to COUNTERINTEL-01: COUNTERINTEL-01 maps passive degradation; EVASION-01 maps active adversary exploitation of those conditions.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WP-2026-CI-PLATFORM-01 — Empirical validation of COUNTERINTEL-01 Domains 1, 4, 5, and 6 against the Lazarus Group enforcement record (Parts III-V). First case application of the WP-2026 series framework against a documented Tier C boundary condition target.</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WP-2026-PERSIST-01 — Authority rails (Sections 2.1-2.6); fault line analysis (Section 10); coalition governance (Section 3); standards of proof (Section 4).</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WP-2026-SENI-ARCH-01 — D2 evidence tiering (Section IV); three-layer product architecture (Section II); OSINT ceiling doctrine (Section VI).</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WP-2026-SAM-01 Rev 2.0 — Series architecture governance; document ownership; overlap resolution.</w:t>
      </w:r>
    </w:p>
    <w:p>
      <w:pPr>
        <w:pStyle w:val="Heading2"/>
        <w:spacing w:before="240" w:after="80"/>
      </w:pPr>
      <w:r>
        <w:rPr>
          <w:rFonts w:ascii="Arial" w:cs="Arial" w:eastAsia="Arial" w:hAnsi="Arial"/>
          <w:b/>
          <w:bCs/>
          <w:color w:val="1B2A4A"/>
          <w:sz w:val="24"/>
          <w:szCs w:val="24"/>
        </w:rPr>
        <w:t xml:space="preserve">Tier 2 — Policy Research and Commercial Data</w:t>
      </w:r>
    </w:p>
    <w:p>
      <w:pPr>
        <w:spacing w:before="60" w:after="120"/>
        <w:jc w:val="both"/>
      </w:pPr>
      <w:r>
        <w:rPr>
          <w:rFonts w:ascii="Arial" w:cs="Arial" w:eastAsia="Arial" w:hAnsi="Arial"/>
          <w:b w:val="false"/>
          <w:bCs w:val="false"/>
          <w:i w:val="false"/>
          <w:iCs w:val="false"/>
          <w:color w:val="000000"/>
          <w:sz w:val="22"/>
          <w:szCs w:val="22"/>
        </w:rPr>
        <w:t xml:space="preserve">Tier 2 sources inform directional analytic judgments. They do not independently sustain consequential quantitative claims.</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Chainalysis. Crypto Crime Report. 2023.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Reuter, P. and Truman, E.M. Chasing Dirty Money. Institute for International Economics, 2004.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Caulkins, J.P. et al. Mandatory Minimum Drug Sentences. RAND, 2006. [TIER 2]</w:t>
      </w:r>
    </w:p>
    <w:p>
      <w:pPr>
        <w:pStyle w:val="ListParagraph"/>
        <w:numPr>
          <w:ilvl w:val="0"/>
          <w:numId w:val="2"/>
        </w:numPr>
        <w:spacing w:before="40" w:after="60"/>
      </w:pPr>
      <w:r>
        <w:rPr>
          <w:rFonts w:ascii="Arial" w:cs="Arial" w:eastAsia="Arial" w:hAnsi="Arial"/>
          <w:b w:val="false"/>
          <w:bCs w:val="false"/>
          <w:i w:val="false"/>
          <w:iCs w:val="false"/>
          <w:color w:val="000000"/>
          <w:sz w:val="22"/>
          <w:szCs w:val="22"/>
        </w:rPr>
        <w:t xml:space="preserve">Bouchard, M. On the Resilience of Illegal Drug Markets. Global Crime. 2007. [TIER 2]</w:t>
      </w:r>
    </w:p>
    <w:p>
      <w:pPr>
        <w:spacing w:before="0" w:after="160"/>
      </w:pPr>
      <w:r>
        <w:rPr>
          <w:sz w:val="2"/>
          <w:szCs w:val="2"/>
        </w:rPr>
        <w:t xml:space="preserve"/>
      </w:r>
    </w:p>
    <w:p>
      <w:pPr>
        <w:pBdr>
          <w:bottom w:val="single" w:color="1B2A4A" w:sz="6" w:space="1"/>
        </w:pBdr>
        <w:spacing w:before="0" w:after="0"/>
      </w:pPr>
      <w:r>
        <w:rPr>
          <w:rFonts w:ascii="Arial" w:cs="Arial" w:eastAsia="Arial" w:hAnsi="Arial"/>
          <w:sz w:val="2"/>
          <w:szCs w:val="2"/>
        </w:rPr>
        <w:t xml:space="preserve"/>
      </w:r>
    </w:p>
    <w:p>
      <w:pPr>
        <w:spacing w:before="0" w:after="80"/>
      </w:pPr>
      <w:r>
        <w:rPr>
          <w:sz w:val="2"/>
          <w:szCs w:val="2"/>
        </w:rPr>
        <w:t xml:space="preserve"/>
      </w:r>
    </w:p>
    <w:p>
      <w:pPr>
        <w:spacing w:before="0" w:after="0"/>
        <w:jc w:val="center"/>
      </w:pPr>
      <w:r>
        <w:rPr>
          <w:rFonts w:ascii="Arial" w:cs="Arial" w:eastAsia="Arial" w:hAnsi="Arial"/>
          <w:b/>
          <w:bCs/>
          <w:caps/>
          <w:color w:val="4A5568"/>
          <w:sz w:val="18"/>
          <w:szCs w:val="18"/>
        </w:rPr>
        <w:t xml:space="preserve">END OF DOCUMENT — WP-2026-COUNTERINTEL-01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aps/>
        <w:color w:val="4A5568"/>
        <w:sz w:val="16"/>
        <w:szCs w:val="16"/>
      </w:rPr>
      <w:t xml:space="preserve">UNCLASSIFIED // OPEN SOURCE  |  Framework Degradation Conditions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aps/>
        <w:color w:val="4A5568"/>
        <w:sz w:val="16"/>
        <w:szCs w:val="16"/>
      </w:rPr>
      <w:t xml:space="preserve">WP-2026-COUNTERINTEL-01  |  FRAMEWORK DEGRADATION CONDITIONS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2026-03-27T13:28:44.626Z</dcterms:created>
  <dcterms:modified xsi:type="dcterms:W3CDTF">2026-03-27T13:28:44.627Z</dcterms:modified>
</cp:coreProperties>
</file>

<file path=docProps/custom.xml><?xml version="1.0" encoding="utf-8"?>
<Properties xmlns="http://schemas.openxmlformats.org/officeDocument/2006/custom-properties" xmlns:vt="http://schemas.openxmlformats.org/officeDocument/2006/docPropsVTypes"/>
</file>