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aps/>
          <w:color w:val="1B2A4A"/>
          <w:sz w:val="20"/>
          <w:szCs w:val="20"/>
        </w:rPr>
        <w:t xml:space="preserve">CENTER FOR COMPETITIVE STATECRAFT AND STRATEGIC POLICY</w:t>
      </w:r>
    </w:p>
    <w:p>
      <w:pPr>
        <w:spacing w:before="0" w:after="80"/>
        <w:jc w:val="center"/>
      </w:pPr>
      <w:r>
        <w:rPr>
          <w:rFonts w:ascii="Arial" w:cs="Arial" w:eastAsia="Arial" w:hAnsi="Arial"/>
          <w:b/>
          <w:bCs/>
          <w:color w:val="4A5568"/>
          <w:sz w:val="20"/>
          <w:szCs w:val="20"/>
        </w:rPr>
        <w:t xml:space="preserve">WP-2026 SERIES</w:t>
      </w:r>
    </w:p>
    <w:p>
      <w:pPr>
        <w:pBdr>
          <w:bottom w:val="single" w:color="1B2A4A" w:sz="6" w:space="1"/>
        </w:pBdr>
        <w:spacing w:before="0" w:after="0"/>
      </w:pPr>
      <w:r>
        <w:rPr>
          <w:rFonts w:ascii="Arial" w:cs="Arial" w:eastAsia="Arial" w:hAnsi="Arial"/>
          <w:sz w:val="2"/>
          <w:szCs w:val="2"/>
        </w:rPr>
        <w:t xml:space="preserve"/>
      </w:r>
    </w:p>
    <w:p>
      <w:pPr>
        <w:spacing w:before="0" w:after="160"/>
      </w:pPr>
      <w:r>
        <w:rPr>
          <w:sz w:val="2"/>
          <w:szCs w:val="2"/>
        </w:rPr>
        <w:t xml:space="preserve"/>
      </w:r>
    </w:p>
    <w:p>
      <w:pPr>
        <w:spacing w:before="0" w:after="120"/>
        <w:jc w:val="center"/>
      </w:pPr>
      <w:r>
        <w:rPr>
          <w:rFonts w:ascii="Arial" w:cs="Arial" w:eastAsia="Arial" w:hAnsi="Arial"/>
          <w:b/>
          <w:bCs/>
          <w:caps/>
          <w:color w:val="8B6914"/>
          <w:sz w:val="22"/>
          <w:szCs w:val="22"/>
        </w:rPr>
        <w:t xml:space="preserve">WP-2026-EVASION-01</w:t>
      </w:r>
    </w:p>
    <w:p>
      <w:pPr>
        <w:spacing w:before="0" w:after="80"/>
        <w:jc w:val="center"/>
      </w:pPr>
      <w:r>
        <w:rPr>
          <w:rFonts w:ascii="Arial" w:cs="Arial" w:eastAsia="Arial" w:hAnsi="Arial"/>
          <w:b/>
          <w:bCs/>
          <w:color w:val="1B2A4A"/>
          <w:sz w:val="28"/>
          <w:szCs w:val="28"/>
        </w:rPr>
        <w:t xml:space="preserve">Adversary Adaptation Architecture</w:t>
      </w:r>
    </w:p>
    <w:p>
      <w:pPr>
        <w:spacing w:before="0" w:after="240"/>
        <w:jc w:val="center"/>
      </w:pPr>
      <w:r>
        <w:rPr>
          <w:rFonts w:ascii="Arial" w:cs="Arial" w:eastAsia="Arial" w:hAnsi="Arial"/>
          <w:i/>
          <w:iCs/>
          <w:color w:val="4A5568"/>
          <w:sz w:val="22"/>
          <w:szCs w:val="22"/>
        </w:rPr>
        <w:t xml:space="preserve">How Illicit Networks Exploit Enforcement Framework Boundaries — By Domain, Condition, and Time Horizon</w:t>
      </w:r>
    </w:p>
    <w:p>
      <w:pPr>
        <w:spacing w:before="0" w:after="16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Series</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WP-2026 — Center for Competitive Statecraft and Strategic Policy</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Paper</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WP-2026-EVASION-01</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Title</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Adversary Adaptation Architecture: How Illicit Networks Exploit Enforcement Framework Boundaries — By Domain, Condition, and Time Horizon</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Date</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Prepared by</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Independent Policy Research Group</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Classification</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UNCLASSIFIED // OPEN SOURCE</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Distribution</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Academic Policy Analysis — Open Source</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Status</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Pre-decisional analytic framework for open-source policy analysis. Not a government product. Not operational guidance.</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Series Position</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Adversary model layer for WP-2026-SIEGE-01. Cross-referenced by SIEGE-01 Part VII (adversary adaptation model) and Part V (channel evasion counter-architecture). Read in conjunction with WP-2026-COUNTERINTEL-01 (framework degradation conditions) and WP-2026-SAM-01 (series architecture).</w:t>
            </w:r>
          </w:p>
        </w:tc>
      </w:tr>
    </w:tbl>
    <w:p>
      <w:pPr>
        <w:spacing w:before="0" w:after="24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NOTICE AND SCOPE STATEMENT</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UNCLASSIFIED // OPEN SOURCE. This paper constitutes academic open-source policy analysis. It does not represent the position of any government entity and does not constitute operational guidance, enforcement instruction, or policy direction.</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SCOPE: This document analyzes how adaptive illicit finance networks exploit enforcement framework boundaries. It is descriptive, not prescriptive. Its purpose is to enable accurate adversarial completeness in enforcement framework design, prevent false positive effectiveness assessments, and support realistic deployment scoping. The analysis is organized to give enforcement planners a systematic map of adversary behavior so that enforcement architecture can be designed against realistic adversarial responses rather than ideal conditions. It does not provide, and is not designed to provide, a guide to evading enforcement actions.</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SERIES COMPLIANCE: This document operates within the WP-2026 series governance architecture established in WP-2026-SAM-01. The adversary adaptation cycle described in Part II is referenced in WP-2026-SIEGE-01 Part VII.4. The evasion domain analysis in Part III complements the degradation domain analysis in WP-2026-COUNTERINTEL-01: COUNTERINTEL-01 maps where frameworks degrade; this document maps how adversaries actively exploit those degradation conditions.</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Methodological Note</w:t>
      </w:r>
    </w:p>
    <w:p>
      <w:pPr>
        <w:spacing w:before="60" w:after="120"/>
        <w:jc w:val="both"/>
      </w:pPr>
      <w:r>
        <w:rPr>
          <w:rFonts w:ascii="Arial" w:cs="Arial" w:eastAsia="Arial" w:hAnsi="Arial"/>
          <w:b w:val="false"/>
          <w:bCs w:val="false"/>
          <w:i w:val="false"/>
          <w:iCs w:val="false"/>
          <w:color w:val="000000"/>
          <w:sz w:val="22"/>
          <w:szCs w:val="22"/>
        </w:rPr>
        <w:t xml:space="preserve">This paper operates entirely within the open-source public record. The adversary behavior described draws from published enforcement case records, DEA and FinCEN reporting on network adaptation patterns, FATF typologies guidance, academic network resilience literature, and published case studies of enforcement outcomes. No classified intelligence is used or implied.</w:t>
      </w:r>
    </w:p>
    <w:p>
      <w:pPr>
        <w:spacing w:before="60" w:after="120"/>
        <w:jc w:val="both"/>
      </w:pPr>
      <w:r>
        <w:rPr>
          <w:rFonts w:ascii="Arial" w:cs="Arial" w:eastAsia="Arial" w:hAnsi="Arial"/>
          <w:b w:val="false"/>
          <w:bCs w:val="false"/>
          <w:i w:val="false"/>
          <w:iCs w:val="false"/>
          <w:color w:val="000000"/>
          <w:sz w:val="22"/>
          <w:szCs w:val="22"/>
        </w:rPr>
        <w:t xml:space="preserve">The distinction between this document and WP-2026-COUNTERINTEL-01 is analytical function. COUNTERINTEL-01 answers: under what conditions does the enforcement framework lose analytical support? EVASION-01 answers: how do adversaries actively exploit those conditions, and what specific behaviors should enforcement architecture anticipate? COUNTERINTEL-01 is the passive constraint map; EVASION-01 is the active adversary model. They are complementary products that together constitute the constraint layer for WP-2026-SIEGE-01.</w:t>
      </w:r>
    </w:p>
    <w:p>
      <w:pPr>
        <w:spacing w:before="60" w:after="120"/>
        <w:jc w:val="both"/>
      </w:pPr>
      <w:r>
        <w:rPr>
          <w:rFonts w:ascii="Arial" w:cs="Arial" w:eastAsia="Arial" w:hAnsi="Arial"/>
          <w:b w:val="false"/>
          <w:bCs w:val="false"/>
          <w:i w:val="false"/>
          <w:iCs w:val="false"/>
          <w:color w:val="000000"/>
          <w:sz w:val="22"/>
          <w:szCs w:val="22"/>
        </w:rPr>
        <w:t xml:space="preserve">Evasion analysis is inherently asymmetric: enforcement must secure all channels simultaneously; adversaries need only find one viable pathway. This asymmetry is structural, not a failure of enforcement design. The purpose of this document is not to suggest the asymmetry can be eliminated — it cannot — but to enable enforcement architects to anticipate specific adversary moves, incorporate those moves into deployment design, and avoid being surprised by adaptation patterns that are predictable from the available record.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CONFIDENCE LEXICON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HIGH CONFIDENCE — Claim directly supported by published enforcement case records or official government reporting.</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MODERATE CONFIDENCE — Supported by published academic research, FATF typologies guidance, or pattern inference from multiple enforcement cases.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LOW-MODERATE CONFIDENCE — Analytically inferred from documented behavior patterns in adjacent enforcement domains.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ANALYTICALLY INFERRED — Derived by logical extension from documented premises. Not directly observed in the public record.</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Key Judgments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1</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High Confidence</w:t>
            </w:r>
          </w:p>
          <w:p>
            <w:pPr>
              <w:spacing w:before="0" w:after="0"/>
            </w:pPr>
            <w:r>
              <w:rPr>
                <w:rFonts w:ascii="Arial" w:cs="Arial" w:eastAsia="Arial" w:hAnsi="Arial"/>
                <w:color w:val="000000"/>
                <w:sz w:val="20"/>
                <w:szCs w:val="20"/>
              </w:rPr>
              <w:t xml:space="preserve">Illicit finance networks adapt to enforcement pressure through a predictable four-phase cycle — probe, exploit, institutionalize, normalize — that is observable in published enforcement case records across multiple enforcement domains and network types. The cycle is structural, not incidental: it reflects rational organizational responses to enforcement cost increases and is independent of the specific enforcement authorities applied.</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2</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High Confidence</w:t>
            </w:r>
          </w:p>
          <w:p>
            <w:pPr>
              <w:spacing w:before="0" w:after="0"/>
            </w:pPr>
            <w:r>
              <w:rPr>
                <w:rFonts w:ascii="Arial" w:cs="Arial" w:eastAsia="Arial" w:hAnsi="Arial"/>
                <w:color w:val="000000"/>
                <w:sz w:val="20"/>
                <w:szCs w:val="20"/>
              </w:rPr>
              <w:t xml:space="preserve">No enforcement framework built on jurisdictional authority can close all adversary adaptation pathways simultaneously for networks with sufficient organizational depth and pre-positioned infrastructure diversity. The goal of enforcement framework design is not to eliminate adversary adaptation but to make it costly enough to degrade industrial-scale operational capacity — a threshold the available record does not establish has been crossed for any Tier-1 target network under financial enforcement alone.</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3</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Moderate Confidence</w:t>
            </w:r>
          </w:p>
          <w:p>
            <w:pPr>
              <w:spacing w:before="0" w:after="0"/>
            </w:pPr>
            <w:r>
              <w:rPr>
                <w:rFonts w:ascii="Arial" w:cs="Arial" w:eastAsia="Arial" w:hAnsi="Arial"/>
                <w:color w:val="000000"/>
                <w:sz w:val="20"/>
                <w:szCs w:val="20"/>
              </w:rPr>
              <w:t xml:space="preserve">Channel structural persistence under enforcement pressure varies significantly and predictably: formal banking (Channel 1) and cryptocurrency exchange infrastructure (Channel 3) are assessed as highest-persistence enforcement channels because building institutional alternatives requires significant capital investment and time; physical currency networks (Channel 2) and informal value transfer systems (Channel 6) are assessed as lowest-persistence enforcement channels because operator substitution and cash courier network reconstruction occur within documented migration timelines with minimal capital investment.</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4</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color w:val="000000"/>
                <w:sz w:val="20"/>
                <w:szCs w:val="20"/>
              </w:rPr>
              <w:t xml:space="preserve">The temporal dimension of adversary adaptation is the most underweighted variable in enforcement framework design. Enforcement actions that arrive after a network has entered Phase 3 (Institutionalize) of the adaptation cycle face materially higher evasion costs for the enforcement architecture to close than actions that arrive during Phase 1 (Probe) or Phase 2 (Exploit). The simultaneity requirement in WP-2026-SIEGE-01 Part II exists precisely to ensure enforcement arrives before Phase 3 is complete.</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5</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Moderate Confidence</w:t>
            </w:r>
          </w:p>
          <w:p>
            <w:pPr>
              <w:spacing w:before="0" w:after="0"/>
            </w:pPr>
            <w:r>
              <w:rPr>
                <w:rFonts w:ascii="Arial" w:cs="Arial" w:eastAsia="Arial" w:hAnsi="Arial"/>
                <w:color w:val="000000"/>
                <w:sz w:val="20"/>
                <w:szCs w:val="20"/>
              </w:rPr>
              <w:t xml:space="preserve">Coalition fracture and enforcement latency are the two adversary-exploitable conditions that the enforcement framework is most structurally vulnerable to, because both are determined by factors outside the framework's direct control. Adversaries that can create or accelerate coalition fracture — through diplomatic pressure, targeted economic countermeasures, or exploitation of existing trade friction — gain enforcement latency windows that allow Phase 3 institutionalization to complete before enforcement closure arrives.</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 Purpose and Series Position</w:t>
      </w:r>
    </w:p>
    <w:p>
      <w:pPr>
        <w:pStyle w:val="Heading2"/>
        <w:spacing w:before="240" w:after="80"/>
      </w:pPr>
      <w:r>
        <w:rPr>
          <w:rFonts w:ascii="Arial" w:cs="Arial" w:eastAsia="Arial" w:hAnsi="Arial"/>
          <w:b/>
          <w:bCs/>
          <w:color w:val="1B2A4A"/>
          <w:sz w:val="24"/>
          <w:szCs w:val="24"/>
        </w:rPr>
        <w:t xml:space="preserve">1.1 Why Adversarial Completeness Requires a Dedicated Document</w:t>
      </w:r>
    </w:p>
    <w:p>
      <w:pPr>
        <w:spacing w:before="60" w:after="120"/>
        <w:jc w:val="both"/>
      </w:pPr>
      <w:r>
        <w:rPr>
          <w:rFonts w:ascii="Arial" w:cs="Arial" w:eastAsia="Arial" w:hAnsi="Arial"/>
          <w:b w:val="false"/>
          <w:bCs w:val="false"/>
          <w:i w:val="false"/>
          <w:iCs w:val="false"/>
          <w:color w:val="000000"/>
          <w:sz w:val="22"/>
          <w:szCs w:val="22"/>
        </w:rPr>
        <w:t xml:space="preserve">A framework that defines only its own logic and conditions cannot be assessed as adversarially complete. Adversarial completeness requires specifying not only what the framework does under optimal conditions, but what specific behaviors adversaries will exhibit in response, which of those behaviors the framework can address, and which it cannot. Without that specification, enforcement architecture is designed against an adversary that does not adapt — a condition that the available record does not support for any Tier-1 illicit finance network.</w:t>
      </w:r>
    </w:p>
    <w:p>
      <w:pPr>
        <w:spacing w:before="60" w:after="120"/>
        <w:jc w:val="both"/>
      </w:pPr>
      <w:r>
        <w:rPr>
          <w:rFonts w:ascii="Arial" w:cs="Arial" w:eastAsia="Arial" w:hAnsi="Arial"/>
          <w:b w:val="false"/>
          <w:bCs w:val="false"/>
          <w:i w:val="false"/>
          <w:iCs w:val="false"/>
          <w:color w:val="000000"/>
          <w:sz w:val="22"/>
          <w:szCs w:val="22"/>
        </w:rPr>
        <w:t xml:space="preserve">WP-2026-SIEGE-01 addresses adversary adaptation within its mechanism analysis: the non-controlled variable on adversarial adaptation rate, the adversary adaptation clause, and the fragmentation stop condition all reflect adversarial awareness. But these treatments are necessarily embedded within the mechanism analysis rather than developed systematically. This document develops the adversary model systematically, organized by the specific dimensions — domain, enforcement condition, and time horizon — that determine which adversary moves are most likely and most consequential for any given deployment.</w:t>
      </w:r>
    </w:p>
    <w:p>
      <w:pPr>
        <w:pStyle w:val="Heading2"/>
        <w:spacing w:before="240" w:after="80"/>
      </w:pPr>
      <w:r>
        <w:rPr>
          <w:rFonts w:ascii="Arial" w:cs="Arial" w:eastAsia="Arial" w:hAnsi="Arial"/>
          <w:b/>
          <w:bCs/>
          <w:color w:val="1B2A4A"/>
          <w:sz w:val="24"/>
          <w:szCs w:val="24"/>
        </w:rPr>
        <w:t xml:space="preserve">1.2 Relationship to COUNTERINTEL-01</w:t>
      </w:r>
    </w:p>
    <w:p>
      <w:pPr>
        <w:spacing w:before="60" w:after="120"/>
        <w:jc w:val="both"/>
      </w:pPr>
      <w:r>
        <w:rPr>
          <w:rFonts w:ascii="Arial" w:cs="Arial" w:eastAsia="Arial" w:hAnsi="Arial"/>
          <w:b w:val="false"/>
          <w:bCs w:val="false"/>
          <w:i w:val="false"/>
          <w:iCs w:val="false"/>
          <w:color w:val="000000"/>
          <w:sz w:val="22"/>
          <w:szCs w:val="22"/>
        </w:rPr>
        <w:t xml:space="preserve">WP-2026-COUNTERINTEL-01 maps framework degradation: the conditions under which the enforcement framework's analytical support weakens independent of adversary action. EVASION-01 maps adversary exploitation: the specific behaviors adversaries exhibit to actively create or accelerate those degradation conditions.</w:t>
      </w:r>
    </w:p>
    <w:p>
      <w:pPr>
        <w:spacing w:before="60" w:after="120"/>
        <w:jc w:val="both"/>
      </w:pPr>
      <w:r>
        <w:rPr>
          <w:rFonts w:ascii="Arial" w:cs="Arial" w:eastAsia="Arial" w:hAnsi="Arial"/>
          <w:b w:val="false"/>
          <w:bCs w:val="false"/>
          <w:i w:val="false"/>
          <w:iCs w:val="false"/>
          <w:color w:val="000000"/>
          <w:sz w:val="22"/>
          <w:szCs w:val="22"/>
        </w:rPr>
        <w:t xml:space="preserve">The distinction has operational significance. A framework degradation identified in COUNTERINTEL-01 may or may not be actively exploited by the adversary. A degradation condition that the adversary has identified and is exploiting has a different urgency profile than one that exists structurally but has not yet been discovered or acted on. EVASION-01 provides the adversary behavior model that allows analysts to assess which degradation conditions from COUNTERINTEL-01 are being actively exploited versus which are latent vulnerabilities.</w:t>
      </w:r>
    </w:p>
    <w:p>
      <w:pPr>
        <w:pStyle w:val="Heading2"/>
        <w:spacing w:before="240" w:after="80"/>
      </w:pPr>
      <w:r>
        <w:rPr>
          <w:rFonts w:ascii="Arial" w:cs="Arial" w:eastAsia="Arial" w:hAnsi="Arial"/>
          <w:b/>
          <w:bCs/>
          <w:color w:val="1B2A4A"/>
          <w:sz w:val="24"/>
          <w:szCs w:val="24"/>
        </w:rPr>
        <w:t xml:space="preserve">1.3 What This Document Does Not Do</w:t>
      </w:r>
    </w:p>
    <w:p>
      <w:pPr>
        <w:spacing w:before="60" w:after="120"/>
        <w:jc w:val="both"/>
      </w:pPr>
      <w:r>
        <w:rPr>
          <w:rFonts w:ascii="Arial" w:cs="Arial" w:eastAsia="Arial" w:hAnsi="Arial"/>
          <w:b w:val="false"/>
          <w:bCs w:val="false"/>
          <w:i w:val="false"/>
          <w:iCs w:val="false"/>
          <w:color w:val="000000"/>
          <w:sz w:val="22"/>
          <w:szCs w:val="22"/>
        </w:rPr>
        <w:t xml:space="preserve">This document does not assess specific named networks' evasion capabilities or current operational posture. It does not recommend enforcement tactics or responses. It does not assess classified intelligence on adversary behavior. It analyzes documented evasion behavior from published enforcement records, published academic network resilience literature, and FATF typologies guidance, and organizes that analysis into a systematic map that can inform enforcement framework design.</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II: The Adversary Adaptation Cycle</w:t>
      </w:r>
    </w:p>
    <w:p>
      <w:pPr>
        <w:pStyle w:val="Heading2"/>
        <w:spacing w:before="240" w:after="80"/>
      </w:pPr>
      <w:r>
        <w:rPr>
          <w:rFonts w:ascii="Arial" w:cs="Arial" w:eastAsia="Arial" w:hAnsi="Arial"/>
          <w:b/>
          <w:bCs/>
          <w:color w:val="1B2A4A"/>
          <w:sz w:val="24"/>
          <w:szCs w:val="24"/>
        </w:rPr>
        <w:t xml:space="preserve">2.1 The Four-Phase Model</w:t>
      </w:r>
    </w:p>
    <w:p>
      <w:pPr>
        <w:spacing w:before="60" w:after="120"/>
        <w:jc w:val="both"/>
      </w:pPr>
      <w:r>
        <w:rPr>
          <w:rFonts w:ascii="Arial" w:cs="Arial" w:eastAsia="Arial" w:hAnsi="Arial"/>
          <w:b w:val="false"/>
          <w:bCs w:val="false"/>
          <w:i w:val="false"/>
          <w:iCs w:val="false"/>
          <w:color w:val="000000"/>
          <w:sz w:val="22"/>
          <w:szCs w:val="22"/>
        </w:rPr>
        <w:t xml:space="preserve">Enforcement case records across multiple domains — narcotics trafficking, proliferation finance, terrorist financing, sanctions evasion — are consistent with a four-phase adversary adaptation cycle. The cycle is not a rigid sequential process; phases overlap and compress for well-resourced networks. Its analytical value is that it identifies specific observables at each phase that allow enforcement architects to assess where in the cycle a target network currently sits, and therefore what enforcement actions may still be able to close pathways before institutionalization completes.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PHASE 1 — PROBE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Description: The network tests enforcement boundaries by routing small transaction volumes through channels that may be under observation, monitoring for enforcement response latency and detection thresholds. Probe phase typically precedes observable enforcement response and is often invisible to enforcement monitoring until Phase 2 begins.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from published record: Unusual fragmentation of high-value transactions below reporting thresholds in multiple channels simultaneously; rapid testing of new correspondent relationships in non-primary jurisdictions; increased SAR filing volume for accounts with no prior suspicious activity history (consistent with probe transactions being flagged before the network refines its approach); DEA or law enforcement reporting on exploratory contacts with previously unidentified financial service providers.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Duration: Probe phase duration is inversely proportional to network organizational sophistication. Well-resourced Tier-1 networks may compress probe phase to days through prior intelligence about enforcement detection thresholds. Less sophisticated networks may probe for weeks before identifying viable exploitation pathways.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Enforcement window: Probe phase is the optimal enforcement window. Actions taken during Phase 1, before the network has identified viable exploitation pathways, maximize the cost of adaptation by forcing the network to probe again against a changed enforcement posture. Actions taken after Phase 1 compete against an adversary that already knows where the gaps are.</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PHASE 2 — EXPLOIT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Description: The network identifies specific gaps in enforcement coverage — unsupported channels, jurisdictions outside the coalition perimeter, enforcement latency windows — and routes primary throughput through those gaps. Exploit phase is the primary period of apparent enforcement disruption that is actually adaptive routing: observable indicators in pressured channels (declining SAR volumes, reduced identified transaction flows) reflect throughput displacement to unmonitored channels, not throughput reduction.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from published record: Sustained SAR volume reduction in pressured channels without corroborating retail market availability reduction; documented emergence of new financial pathway utilization in non-pressured jurisdictions; rapid increase in transaction volumes through channels not currently under Gate 2 prepared enforcement; DEA operational reporting on maintained network throughput despite observed channel displacement.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Duration: Exploit phase duration depends on the capacity of the exploited gap channel. Networks migrating to cash courier operations face physical throughput constraints that compress the exploit window. Networks migrating to offshore cryptocurrency exchanges or non-USD correspondent chains can sustain exploit phase indefinitely until enforcement catches up. For this reason, Channel 2 (physical currency) is assessed as a lower-persistence exploit channel and Channel 3 (offshore cryptocurrency) as a higher-persistence exploit channel.</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Enforcement window: Exploit phase is still a viable enforcement window if the exploited gap channel can be identified and closed before Phase 3 institutionalization begins. The 30 to 60 day network migration timeline from published enforcement records describes the Phase 1-2 transition; Phase 2-3 transition occurs when new operational infrastructure is established in the exploit channel (new correspondent relationships, new exchange accounts, new logistics networks). The Phase 2-3 transition is typically 60 to 120 days from Phase 2 commencement for most Tier B network types.</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PHASE 3 — INSTITUTIONALIZE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Description: The network establishes the exploited gap as a durable operational pathway, building correspondent relationships, compliance infrastructure, and organizational procedures around the alternative channel. Institutionalize phase converts temporary evasion into structural resilience. Published enforcement case records from post-designation network analysis are consistent with this phase occurring within 90 to 180 days of primary channel disruption for well-resourced Tier-1 networks.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Evidence of formalized new correspondent relationships in non-pressured jurisdictions (new account documentation, established settlement patterns, regular transaction volumes); documented network investment in alternative infrastructure (real estate in new jurisdictions, new logistics provider relationships, new exchange platform development); reduction in probe-phase transaction fragmentation as the network gains confidence in the new channel; operational tempo returning to pre-disruption levels in the new channel.</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Enforcement consequence: Phase 3 is the threshold after which enforcement of the original pressured channel has materially diminished strategic value. The network no longer depends on the original channel; enforcement of it produces activity (designations, seizures, prosecutions) without reducing network operational capacity. This is the mechanism behind the false positive assessment risk identified in WP-2026-COUNTERINTEL-01 Domain Seven: enforcement activity in a Phase 3+ deployment produces observable outputs without underlying throughput effect.</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Enforcement window: Once Phase 3 is confirmed, effective enforcement requires identifying and disrupting the newly institutionalized pathway, not the original pressured channel. This requires a new Gate 1 Tier Classification assessment (the network's effective USD-corridor dependency has changed), a new Gate 2 administrative record pre-positioning for the new pathway, and reassessment of coalition requirements for the new channel geography.</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PHASE 4 — NORMALIZE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Description: The alternative pathway becomes the primary operational channel; the enforcement pressure on the original channel loses operational relevance because the network has reorganized around the alternative. Normalize phase is the terminal state of adversary adaptation for a single channel — the original pressured channel is no longer a dependency, and enforcement of it is a net resource expenditure for the enforcement architecture without corresponding network constraint.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Retail market availability data stable or increasing despite sustained enforcement action on the original channel; network operational tempo at or above pre-disruption baseline; no evidence of network attempts to re-establish the original channel; network financial profile has materially changed (new Tier classification may be appropriate).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Implications for the framework: A deployment that has reached Phase 4 for its primary targeted channel is no longer applying the framework — it is applying enforcement pressure on a channel the network has exited. Continued resource commitment under Phase 4 conditions requires explicit justification beyond network constraint: intelligence collection value, deterrence value against new market entrants, or asset recovery objectives. These are legitimate objectives; they are distinct from the cumulative cost-escalation effect the framework requires.</w:t>
            </w:r>
          </w:p>
        </w:tc>
      </w:tr>
    </w:tbl>
    <w:p>
      <w:pPr>
        <w:spacing w:before="0" w:after="80"/>
      </w:pPr>
      <w:r>
        <w:rPr>
          <w:sz w:val="2"/>
          <w:szCs w:val="2"/>
        </w:rPr>
        <w:t xml:space="preserve"/>
      </w:r>
    </w:p>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2.2 Cycle Compression for Well-Resourced Networks</w:t>
      </w:r>
    </w:p>
    <w:p>
      <w:pPr>
        <w:spacing w:before="60" w:after="120"/>
        <w:jc w:val="both"/>
      </w:pPr>
      <w:r>
        <w:rPr>
          <w:rFonts w:ascii="Arial" w:cs="Arial" w:eastAsia="Arial" w:hAnsi="Arial"/>
          <w:b w:val="false"/>
          <w:bCs w:val="false"/>
          <w:i w:val="false"/>
          <w:iCs w:val="false"/>
          <w:color w:val="000000"/>
          <w:sz w:val="22"/>
          <w:szCs w:val="22"/>
        </w:rPr>
        <w:t xml:space="preserve">The four-phase model describes average network behavior. Well-resourced Tier-1 networks with pre-positioned infrastructure diversity can compress the cycle significantly. A network that has already established correspondent relationships in non-USD jurisdictions, pre-positioned cryptocurrency exchange accounts, and developed informal value transfer connections before Channel 1 enforcement begins is effectively already in Phase 2 or 3 at the moment Channel 1 action is taken. The simultaneity requirement in WP-2026-SIEGE-01 Part II is designed specifically to address cycle compression: by closing all channels before the network can migrate to any of them, the framework attempts to prevent Phase 2 exploitation regardless of pre-existing infrastructure.</w:t>
      </w:r>
    </w:p>
    <w:p>
      <w:pPr>
        <w:spacing w:before="60" w:after="120"/>
        <w:jc w:val="both"/>
      </w:pPr>
      <w:r>
        <w:rPr>
          <w:rFonts w:ascii="Arial" w:cs="Arial" w:eastAsia="Arial" w:hAnsi="Arial"/>
          <w:b w:val="false"/>
          <w:bCs w:val="false"/>
          <w:i w:val="false"/>
          <w:iCs w:val="false"/>
          <w:color w:val="000000"/>
          <w:sz w:val="22"/>
          <w:szCs w:val="22"/>
        </w:rPr>
        <w:t xml:space="preserve">Cycle compression is most acute for state-sponsored or state-adjacent networks that can leverage diplomatic channels, state-owned banking infrastructure, and state-protected logistics systems that were never within the framework's enforcement reach. For these networks, the cycle may begin at Phase 3 from the enforcement architecture's perspective: the primary exploitation pathway is infrastructure the enforcement framework cannot directly address. This is the structural basis for the Tier C classification and its three-channel limited framework.</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III: Evasion by Domain</w:t>
      </w:r>
    </w:p>
    <w:p>
      <w:pPr>
        <w:spacing w:before="60" w:after="120"/>
        <w:jc w:val="both"/>
      </w:pPr>
      <w:r>
        <w:rPr>
          <w:rFonts w:ascii="Arial" w:cs="Arial" w:eastAsia="Arial" w:hAnsi="Arial"/>
          <w:b w:val="false"/>
          <w:bCs w:val="false"/>
          <w:i w:val="false"/>
          <w:iCs w:val="false"/>
          <w:color w:val="000000"/>
          <w:sz w:val="22"/>
          <w:szCs w:val="22"/>
        </w:rPr>
        <w:t xml:space="preserve">This section maps the specific evasion behaviors documented in published enforcement records and typologies guidance for each financial domain. For each domain, it identifies: the primary evasion mechanism; the specific enforcement architecture vulnerability being exploited; the observable indicator that evasion in this domain is underway; and the SIEGE-01 channel and gate most directly affected.</w:t>
      </w:r>
    </w:p>
    <w:p>
      <w:pPr>
        <w:pStyle w:val="Heading2"/>
        <w:spacing w:before="240" w:after="80"/>
      </w:pPr>
      <w:r>
        <w:rPr>
          <w:rFonts w:ascii="Arial" w:cs="Arial" w:eastAsia="Arial" w:hAnsi="Arial"/>
          <w:b/>
          <w:bCs/>
          <w:color w:val="1B2A4A"/>
          <w:sz w:val="24"/>
          <w:szCs w:val="24"/>
        </w:rPr>
        <w:t xml:space="preserve">3.1 Financial Domain: Formal Banking and Correspondent Infrastructure</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FINANCIAL DOMAIN EVASION — DOCUMENTED BEHAVIORS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Non-USD corridor migration: Routing primary financial flows through non-USD currencies (EUR, CNY, AED, TRY) via correspondent chains with no U.S. financial institution involvement. Exploits the jurisdictional boundary of Section 311 authority, which requires U.S. correspondent exposure for direct enforcement effect. Published evidence: FATF mutual evaluation reports and DEA reporting document this pattern following Section 311 designations of institutions with mixed USD/non-USD correspondent portfolios.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Nested correspondent layering: Inserting additional correspondent tiers between the target institution and U.S. correspondent banks to reduce the direct nexus that triggers § 5318(i) enhanced due diligence requirements. Each additional correspondent layer increases the investigation burden and extends the attribution timeline. Published evidence: FinCEN guidance on nested correspondent relationships documents this pattern; OFAC enforcement cases against nested correspondent networks in multiple regions.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Jurisdictional arbitrage to weak AML regimes: Relocating primary financial infrastructure to jurisdictions with limited U.S. dollar correspondent exposure or weak AML enforcement. Published evidence: FATF grey-list and black-list designations track this pattern; FinCEN geographic targeting order expansion histories document destination jurisdictions.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Trade finance substitution: Replacing wire transfer-based financial flows with letter-of-credit and trade invoice structures that generate apparent commercial documentation. Published evidence: FinCEN TBML advisory (2010); FATF Trade-Based Money Laundering guidance.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channel affected: Channel 1 (primary); Channel 4 (trade finance substitution). Gate affected: Gate 1 (Tier Classification, if effective USD dependency falls below Tier B threshold); Gate 3 (Coalition Status, for non-USD corridor migration).</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3.2 Cryptocurrency Domain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CRYPTOCURRENCY DOMAIN EVASION — DOCUMENTED BEHAVIORS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Privacy coin substitution: Migrating from transparent-blockchain (Bitcoin, Ethereum, USDT) to privacy-preserving cryptocurrencies (Monero ring signatures, Zcash shielded pool, Dash PrivateSend) to reduce on-chain observability. Published evidence: Chainalysis annual crypto crime reports; OFAC guidance on privacy coin enforcement limitations; published delisting actions by U.S. exchanges under regulatory pressure.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DeFi protocol substitution: Replacing centralized exchange infrastructure with decentralized exchange protocols (Uniswap, PancakeSwap) and liquidity pools to eliminate the centralized KYC-obligated exchange interaction point. Published evidence: OFAC Tornado Cash designation documentation; Chainalysis DeFi crime reporting; FinCEN guidance on DeFi as a financial institution.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Cross-chain bridge exploitation: Using cross-chain bridge protocols to transfer asset value between blockchain ecosystems, increasing the forensic work required to trace funds and complicating SDN Digital Currency Address designation enforcement. Published evidence: Chainalysis bridge exploitation reporting; OFAC DCA designation methodology documentation.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Offshore exchange routing: Concentrating cryptocurrency-to-fiat conversion activity on exchanges in non-U.S.-regulated jurisdictions that do not maintain U.S. correspondent relationships and are therefore outside primary OFAC enforcement reach. Published evidence: OFAC enforcement actions against offshore exchanges (Garantex, Bitzlato) document this pattern; the pattern recurs after each designation as new exchanges fill the compliance gap.</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Peer-to-peer settlement: Using over-the-counter (OTC) cryptocurrency brokers and peer-to-peer settlement networks that do not route through exchange infrastructure at all, bypassing both exchange-layer KYC requirements and the fiat conversion point interdiction the framework relies on. Published evidence: FinCEN guidance on OTC cryptocurrency broker obligations; DEA reporting on cryptocurrency OTC networks in narcotics finance contexts.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channel affected: Channel 3 (primary). Gate affected: Gate 3 (Coalition Status, for offshore exchange enforcement); temporal adaptation in the DeFi domain reflects enforcement cycle asymmetry analyzed in WP-2026-COUNTERINTEL-01 Section III.6.</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3.3 Maritime Domain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MARITIME DOMAIN EVASION — DOCUMENTED BEHAVIORS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Flag-shopping: Rapid vessel re-flagging from a designated or at-risk registry to a registry with no U.S. port access dependency, no P&amp;I insurance market exposure, and limited diplomatic relationship with the U.S. Published evidence: OFAC vessel designation enforcement records document flag-shopping timelines of hours to days for well-organized maritime networks; FATF financial crime typologies guidance; CISA/Coast Guard maritime security reporting.</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AIS transponder manipulation: Disabling or spoofing Automatic Identification System (AIS) transponders to conceal vessel location, identity, and port calls, preventing CBP and Coast Guard from identifying designated vessel activity. Published evidence: OFAC SDN vessel enforcement guidance notes AIS manipulation as a primary evasion tactic; DOT Maritime Administration dark vessel reporting.</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State-fleet integration: Using vessels operated or chartered by state-owned shipping companies in non-cooperative jurisdictions, where commercial-incentive-based enforcement (P&amp;I insurance withdrawal, port access denial) has no leverage over state-directed commercial activity. Published evidence: OFAC DPRK and Iran maritime enforcement documentation notes state-fleet utilization as a primary evasion architecture for those networks.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Ship-to-ship transfer: Conducting cargo transfer between vessels at sea outside port jurisdiction to avoid CBP port-state control inspections and "Do Not Load" orders. Published evidence: OFAC Iran and DPRK petroleum enforcement documentation; Coast Guard interdiction reporting.</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Registry fragmentation: Distributing fleet vessels across multiple registries to prevent a single registry designation from achieving fleet-level disruption. Published evidence: OFAC enforcement records on proliferation-finance maritime networks document multi-registry fleet structures.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channel affected: Channel 7 (primary). Gate affected: Gate 3 (Coalition Status, for registries requiring diplomatic cooperation); the registry-level enforcement mechanism in Channel 7 is specifically designed to address vessel-by-vessel flag-shopping by operating at the commercial incentive level above individual vessels.</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3.4 Trade Finance Domain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TRADE FINANCE DOMAIN EVASION — DOCUMENTED BEHAVIORS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Transshipment routing: Routing controlled goods through intermediate third countries to break the direct export nexus between the U.S.-controlled technology and the Entity List end-user, exploiting FDPR jurisdictional predicate requirements. Published evidence: BIS export enforcement case records; FinCEN TBML advisory documenting transshipment as a primary TBML mechanism.</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Component disaggregation: Disaggregating controlled technology into individual components that do not individually meet ECCN control thresholds, assembled at the end destination. Published evidence: BIS enforcement cases on controlled semiconductor component procurement; CISA reporting on adversary technology acquisition patterns.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Non-U.S.-origin technology substitution: Deliberately migrating supply chains to manufacturing infrastructure with no U.S.-origin technology content to exit FDPR jurisdiction. Published evidence: Public reporting on SMIC and Huawei HiSilicon development trajectories as documented FDPR evasion architectures; RAND Corporation reporting on adversary semiconductor self-sufficiency timelines.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Shell company intermediary chains: Inserting multiple shell company tiers between the FTO-designated end-user and the supplier to obscure the end-user identity and defeat § 2339B knowledge requirements. Published evidence: DOJ § 2339B prosecution records; DEA enforcement documentation on cartel procurement networks; CTA beneficial ownership reporting rationale documentation.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False documentation: Using fraudulent end-user certificates, commercial invoices, and shipping documentation to misrepresent the destination, end-user, or classification of controlled goods. Published evidence: BIS enforcement case records; INTERPOL Red Notice documentation for false documentation networks.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channel affected: Channel 4 (primary). The § 2339B formal notice letter mechanism is specifically designed to address shell company intermediary chains by attaching criminal liability to knowing supply after notice regardless of intermediary structure.</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3.5 Legal and Jurisdictional Domain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LEGAL / JURISDICTIONAL DOMAIN EVASION — DOCUMENTED BEHAVIORS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Jurisdictional shielding: Incorporating financial entities in jurisdictions where U.S. subpoena authority under § 5318(k) has limited practical enforceability, where bank secrecy laws conflict with compliance obligations, or where the EU Blocking Statute (Reg 2271/96) creates a legal obligation for EU entities not to comply with certain U.S. secondary sanctions. Published evidence: PERSIST-01 Section 2.6 documents the EU Blocking Statute conflict; FinCEN geographic targeting order expansion history documents jurisdictional arbitrage patterns.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Beneficial ownership opacity: Using multi-layer nominee ownership structures, bearer share instruments in permissive jurisdictions, and rapidly rotating shell company formation to defeat beneficial ownership identification requirements under the CTA and § 5318(i). Published evidence: FinCEN beneficial ownership rulemaking documentation; DOJ enforcement records on shell company structures in money laundering prosecutions.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SLAPP litigation: Filing legal challenges to enforcement designations in multiple jurisdictions simultaneously to impose administrative burden on the enforcement architecture, extend litigation timelines, and create precedent uncertainty that delays follow-on actions. Published evidence: This pattern is documented in OFAC administrative reconsideration records; it is the mechanism behind the litigation interruption risk in SIEGE-01 Failure Mode Three.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Designation delisting petition campaigns: Filing systematic delisting petitions under 31 C.F.R. § 501.807 for multiple designated entities simultaneously to impose OFAC administrative processing burden and introduce uncertainty about designation durability into the network's financial counterparty calculations. Published evidence: OFAC reconsideration procedure documentation; pattern inferred from enforcement case timelines.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gate affected: Gate 2 (Administrative Record Pre-Positioning) — litigation resilience of administrative records is the primary defense against SLAPP litigation and delisting petition campaigns. The PERSIST-01 Appendix B record artifact templates are specifically designed to produce records that survive these challenges.</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IV: Evasion by Enforcement Condition</w:t>
      </w:r>
    </w:p>
    <w:p>
      <w:pPr>
        <w:spacing w:before="60" w:after="120"/>
        <w:jc w:val="both"/>
      </w:pPr>
      <w:r>
        <w:rPr>
          <w:rFonts w:ascii="Arial" w:cs="Arial" w:eastAsia="Arial" w:hAnsi="Arial"/>
          <w:b w:val="false"/>
          <w:bCs w:val="false"/>
          <w:i w:val="false"/>
          <w:iCs w:val="false"/>
          <w:color w:val="000000"/>
          <w:sz w:val="22"/>
          <w:szCs w:val="22"/>
        </w:rPr>
        <w:t xml:space="preserve">Adversary evasion behavior is not uniform across enforcement conditions. Networks calibrate their adaptation responses to the specific enforcement condition they face. The following conditions are the primary determinants of adversary evasion behavior during a deployment.</w:t>
      </w:r>
    </w:p>
    <w:p>
      <w:pPr>
        <w:pStyle w:val="Heading2"/>
        <w:spacing w:before="240" w:after="80"/>
      </w:pPr>
      <w:r>
        <w:rPr>
          <w:rFonts w:ascii="Arial" w:cs="Arial" w:eastAsia="Arial" w:hAnsi="Arial"/>
          <w:b/>
          <w:bCs/>
          <w:color w:val="1B2A4A"/>
          <w:sz w:val="24"/>
          <w:szCs w:val="24"/>
        </w:rPr>
        <w:t xml:space="preserve">4.1 Weak Coalition Condition</w:t>
      </w:r>
    </w:p>
    <w:p>
      <w:pPr>
        <w:spacing w:before="60" w:after="120"/>
        <w:jc w:val="both"/>
      </w:pPr>
      <w:r>
        <w:rPr>
          <w:rFonts w:ascii="Arial" w:cs="Arial" w:eastAsia="Arial" w:hAnsi="Arial"/>
          <w:b w:val="false"/>
          <w:bCs w:val="false"/>
          <w:i w:val="false"/>
          <w:iCs w:val="false"/>
          <w:color w:val="000000"/>
          <w:sz w:val="22"/>
          <w:szCs w:val="22"/>
        </w:rPr>
        <w:t xml:space="preserve">Where Gate 3 coalition status is not supported or where confirmed coalition partners fail to execute, adversaries exploit the coalition gap as the primary exploitation pathway. The specific evasion behavior is geographic routing concentration: the network concentrates primary throughput through the financial corridor of the non-participating jurisdiction, knowing that secondary sanctions pressure in that corridor will be limited without the coalition partner's financial institution compliance.</w:t>
      </w:r>
    </w:p>
    <w:p>
      <w:pPr>
        <w:spacing w:before="60" w:after="120"/>
        <w:jc w:val="both"/>
      </w:pPr>
      <w:r>
        <w:rPr>
          <w:rFonts w:ascii="Arial" w:cs="Arial" w:eastAsia="Arial" w:hAnsi="Arial"/>
          <w:b w:val="false"/>
          <w:bCs w:val="false"/>
          <w:i w:val="false"/>
          <w:iCs w:val="false"/>
          <w:color w:val="000000"/>
          <w:sz w:val="22"/>
          <w:szCs w:val="22"/>
        </w:rPr>
        <w:t xml:space="preserve">Observable: Transaction volume increases in the non-participating jurisdiction's financial corridor. DEA or law enforcement reporting on network operational activity concentrated in the non-participating jurisdiction. This is a direct indicator of Phase 2 exploitation of a Gate 3 coalition gap.</w:t>
      </w:r>
    </w:p>
    <w:p>
      <w:pPr>
        <w:spacing w:before="60" w:after="120"/>
        <w:jc w:val="both"/>
      </w:pPr>
      <w:r>
        <w:rPr>
          <w:rFonts w:ascii="Arial" w:cs="Arial" w:eastAsia="Arial" w:hAnsi="Arial"/>
          <w:b w:val="false"/>
          <w:bCs w:val="false"/>
          <w:i w:val="false"/>
          <w:iCs w:val="false"/>
          <w:color w:val="000000"/>
          <w:sz w:val="22"/>
          <w:szCs w:val="22"/>
        </w:rPr>
        <w:t xml:space="preserve">Enforcement design implication: Gate 3 should be designed so that coalition confirmation is obtained before Channel 1 action creates the observable signal that Channel 1 is underway. A network that observes Channel 1 action without simultaneous Channel 6 and 7 pressure in the coalition corridor will immediately identify the gap and begin Phase 2 exploitation before coalition engagement can be completed.</w:t>
      </w:r>
    </w:p>
    <w:p>
      <w:pPr>
        <w:pStyle w:val="Heading2"/>
        <w:spacing w:before="240" w:after="80"/>
      </w:pPr>
      <w:r>
        <w:rPr>
          <w:rFonts w:ascii="Arial" w:cs="Arial" w:eastAsia="Arial" w:hAnsi="Arial"/>
          <w:b/>
          <w:bCs/>
          <w:color w:val="1B2A4A"/>
          <w:sz w:val="24"/>
          <w:szCs w:val="24"/>
        </w:rPr>
        <w:t xml:space="preserve">4.2 Partial Gate Support Condition</w:t>
      </w:r>
    </w:p>
    <w:p>
      <w:pPr>
        <w:spacing w:before="60" w:after="120"/>
        <w:jc w:val="both"/>
      </w:pPr>
      <w:r>
        <w:rPr>
          <w:rFonts w:ascii="Arial" w:cs="Arial" w:eastAsia="Arial" w:hAnsi="Arial"/>
          <w:b w:val="false"/>
          <w:bCs w:val="false"/>
          <w:i w:val="false"/>
          <w:iCs w:val="false"/>
          <w:color w:val="000000"/>
          <w:sz w:val="22"/>
          <w:szCs w:val="22"/>
        </w:rPr>
        <w:t xml:space="preserve">Where fewer than five channels are under concurrent pressure — the Failure Mode One condition — adversaries exploit the gap channels as Phase 2 exploitation pathways. The specific exploitation pathway depends on the network's tier and pre-positioned infrastructure: Tier A networks will exploit cash courier infrastructure first; Tier B networks will exploit the non-USD corridor or cryptocurrency exchange infrastructure most immediately available.</w:t>
      </w:r>
    </w:p>
    <w:p>
      <w:pPr>
        <w:spacing w:before="60" w:after="120"/>
        <w:jc w:val="both"/>
      </w:pPr>
      <w:r>
        <w:rPr>
          <w:rFonts w:ascii="Arial" w:cs="Arial" w:eastAsia="Arial" w:hAnsi="Arial"/>
          <w:b w:val="false"/>
          <w:bCs w:val="false"/>
          <w:i w:val="false"/>
          <w:iCs w:val="false"/>
          <w:color w:val="000000"/>
          <w:sz w:val="22"/>
          <w:szCs w:val="22"/>
        </w:rPr>
        <w:t xml:space="preserve">The most consequential partial gate condition from an adversary perspective is partial Gate 2 preparation — where some channels have reached APA-sustainability standard and others have not. A network that observes Channel 1 action without simultaneous Channel 4 (Entity List) action will immediately begin precursor supply chain substitution, potentially reaching Phase 3 (Institutionalize) in the substitute supply chain before Channel 4 administrative records are prepared. This is precisely why the Gate 2 preparation timeline arithmetic requires Channel 4 preparation to begin before Channel 1 preparation.</w:t>
      </w:r>
    </w:p>
    <w:p>
      <w:pPr>
        <w:pStyle w:val="Heading2"/>
        <w:spacing w:before="240" w:after="80"/>
      </w:pPr>
      <w:r>
        <w:rPr>
          <w:rFonts w:ascii="Arial" w:cs="Arial" w:eastAsia="Arial" w:hAnsi="Arial"/>
          <w:b/>
          <w:bCs/>
          <w:color w:val="1B2A4A"/>
          <w:sz w:val="24"/>
          <w:szCs w:val="24"/>
        </w:rPr>
        <w:t xml:space="preserve">4.3 Jurisdictional Gap Condition</w:t>
      </w:r>
    </w:p>
    <w:p>
      <w:pPr>
        <w:spacing w:before="60" w:after="120"/>
        <w:jc w:val="both"/>
      </w:pPr>
      <w:r>
        <w:rPr>
          <w:rFonts w:ascii="Arial" w:cs="Arial" w:eastAsia="Arial" w:hAnsi="Arial"/>
          <w:b w:val="false"/>
          <w:bCs w:val="false"/>
          <w:i w:val="false"/>
          <w:iCs w:val="false"/>
          <w:color w:val="000000"/>
          <w:sz w:val="22"/>
          <w:szCs w:val="22"/>
        </w:rPr>
        <w:t xml:space="preserve">Where the target network has identified specific jurisdictions outside the enforcement framework's direct reach — non-USD correspondent chains, offshore cryptocurrency exchanges, non-cooperative maritime registries — the adversary concentrates operational infrastructure in those jurisdictions as a Phase 3 institutionalization strategy. The jurisdictional gap condition is most exploitable by Tier B and C networks with pre-positioned infrastructure outside the USD-correspondent perimeter.</w:t>
      </w:r>
    </w:p>
    <w:p>
      <w:pPr>
        <w:spacing w:before="60" w:after="120"/>
        <w:jc w:val="both"/>
      </w:pPr>
      <w:r>
        <w:rPr>
          <w:rFonts w:ascii="Arial" w:cs="Arial" w:eastAsia="Arial" w:hAnsi="Arial"/>
          <w:b w:val="false"/>
          <w:bCs w:val="false"/>
          <w:i w:val="false"/>
          <w:iCs w:val="false"/>
          <w:color w:val="000000"/>
          <w:sz w:val="22"/>
          <w:szCs w:val="22"/>
        </w:rPr>
        <w:t xml:space="preserve">The adversary's jurisdictional optimization behavior — deliberately restructuring operational geography to minimize U.S. financial system exposure — is the process by which Tier A networks migrate toward Tier B conditions and Tier B networks migrate toward Tier C conditions under sustained enforcement pressure. This migration represents successful Phase 3 institutionalization; the network has reorganized its financial architecture around the jurisdictional boundary of the enforcement framework.</w:t>
      </w:r>
    </w:p>
    <w:p>
      <w:pPr>
        <w:pStyle w:val="Heading2"/>
        <w:spacing w:before="240" w:after="80"/>
      </w:pPr>
      <w:r>
        <w:rPr>
          <w:rFonts w:ascii="Arial" w:cs="Arial" w:eastAsia="Arial" w:hAnsi="Arial"/>
          <w:b/>
          <w:bCs/>
          <w:color w:val="1B2A4A"/>
          <w:sz w:val="24"/>
          <w:szCs w:val="24"/>
        </w:rPr>
        <w:t xml:space="preserve">4.4 Enforcement Latency Condition</w:t>
      </w:r>
    </w:p>
    <w:p>
      <w:pPr>
        <w:spacing w:before="60" w:after="120"/>
        <w:jc w:val="both"/>
      </w:pPr>
      <w:r>
        <w:rPr>
          <w:rFonts w:ascii="Arial" w:cs="Arial" w:eastAsia="Arial" w:hAnsi="Arial"/>
          <w:b w:val="false"/>
          <w:bCs w:val="false"/>
          <w:i w:val="false"/>
          <w:iCs w:val="false"/>
          <w:color w:val="000000"/>
          <w:sz w:val="22"/>
          <w:szCs w:val="22"/>
        </w:rPr>
        <w:t xml:space="preserve">Where administrative designation timelines (30 to 180 days for Section 311 PMLC proceedings) exceed network migration timelines (30 to 60 days), adversaries exploit the latency gap by completing Phase 2 migration before the designation is effective. This is the structural basis for the sequential enforcement failure mode that WP-2026-SIEGE-01 Part I identifies as the framework's primary design problem.</w:t>
      </w:r>
    </w:p>
    <w:p>
      <w:pPr>
        <w:spacing w:before="60" w:after="120"/>
        <w:jc w:val="both"/>
      </w:pPr>
      <w:r>
        <w:rPr>
          <w:rFonts w:ascii="Arial" w:cs="Arial" w:eastAsia="Arial" w:hAnsi="Arial"/>
          <w:b w:val="false"/>
          <w:bCs w:val="false"/>
          <w:i w:val="false"/>
          <w:iCs w:val="false"/>
          <w:color w:val="000000"/>
          <w:sz w:val="22"/>
          <w:szCs w:val="22"/>
        </w:rPr>
        <w:t xml:space="preserve">Adversaries with prior enforcement experience — having observed the designation timeline in previous actions — can calibrate their migration timing to the specific latency of each channel's administrative process. A network that has observed 45-day Section 311 proceedings in prior enforcement cycles will begin Phase 2 migration when it detects administrative record development activity (which may be observable through financial institution due diligence requests, regulatory inquiry patterns, or intelligence channels), not when the Federal Register notice is published.</w:t>
      </w:r>
    </w:p>
    <w:p>
      <w:pPr>
        <w:spacing w:before="60" w:after="120"/>
        <w:jc w:val="both"/>
      </w:pPr>
      <w:r>
        <w:rPr>
          <w:rFonts w:ascii="Arial" w:cs="Arial" w:eastAsia="Arial" w:hAnsi="Arial"/>
          <w:b w:val="false"/>
          <w:bCs w:val="false"/>
          <w:i w:val="false"/>
          <w:iCs w:val="false"/>
          <w:color w:val="000000"/>
          <w:sz w:val="22"/>
          <w:szCs w:val="22"/>
        </w:rPr>
        <w:t xml:space="preserve">The Gate 2 pre-positioning requirement addresses this by requiring all channel records to be prepared before Channel 1 action — specifically to prevent the pre-publication administrative activity from signaling the enforcement sequence to the adversary before simultaneous closure is ready.</w:t>
      </w:r>
    </w:p>
    <w:p>
      <w:pPr>
        <w:pStyle w:val="Heading2"/>
        <w:spacing w:before="240" w:after="80"/>
      </w:pPr>
      <w:r>
        <w:rPr>
          <w:rFonts w:ascii="Arial" w:cs="Arial" w:eastAsia="Arial" w:hAnsi="Arial"/>
          <w:b/>
          <w:bCs/>
          <w:color w:val="1B2A4A"/>
          <w:sz w:val="24"/>
          <w:szCs w:val="24"/>
        </w:rPr>
        <w:t xml:space="preserve">4.5 Administrative Record Vulnerability Condition</w:t>
      </w:r>
    </w:p>
    <w:p>
      <w:pPr>
        <w:spacing w:before="60" w:after="120"/>
        <w:jc w:val="both"/>
      </w:pPr>
      <w:r>
        <w:rPr>
          <w:rFonts w:ascii="Arial" w:cs="Arial" w:eastAsia="Arial" w:hAnsi="Arial"/>
          <w:b w:val="false"/>
          <w:bCs w:val="false"/>
          <w:i w:val="false"/>
          <w:iCs w:val="false"/>
          <w:color w:val="000000"/>
          <w:sz w:val="22"/>
          <w:szCs w:val="22"/>
        </w:rPr>
        <w:t xml:space="preserve">Where Gate 2 administrative records do not meet the APA-sustainability standard specified in WP-2026-SIEGE-01 Part II, adversaries exploit legal challenge mechanisms (TRO, preliminary injunction, APA petition) to create enforcement continuity interruptions that trigger Failure Mode Three. A successful preliminary injunction against a Section 311 designation creates a 60-plus day enforcement gap during which the network completes Phase 3 institutionalization in the alternative channel.</w:t>
      </w:r>
    </w:p>
    <w:p>
      <w:pPr>
        <w:spacing w:before="60" w:after="120"/>
        <w:jc w:val="both"/>
      </w:pPr>
      <w:r>
        <w:rPr>
          <w:rFonts w:ascii="Arial" w:cs="Arial" w:eastAsia="Arial" w:hAnsi="Arial"/>
          <w:b w:val="false"/>
          <w:bCs w:val="false"/>
          <w:i w:val="false"/>
          <w:iCs w:val="false"/>
          <w:color w:val="000000"/>
          <w:sz w:val="22"/>
          <w:szCs w:val="22"/>
        </w:rPr>
        <w:t xml:space="preserve">The adversary legal challenge strategy is therefore not primarily directed at winning the legal challenge on the merits — most well-documented Section 311 designations survive judicial review — but at creating the temporal gap between the challenge filing and the judicial resolution. During that gap, the enforcement continuity interruption creates the Phase 3 institutionalization window the adversary needs. Administrative record pre-positioning to APA-sustainability standard is the primary defense against this strategy because it reduces the probability of a successful TRO to the point where the temporal gap is too short for Phase 3 completion.</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 Evasion by Time Horizon</w:t>
      </w:r>
    </w:p>
    <w:p>
      <w:pPr>
        <w:spacing w:before="60" w:after="120"/>
        <w:jc w:val="both"/>
      </w:pPr>
      <w:r>
        <w:rPr>
          <w:rFonts w:ascii="Arial" w:cs="Arial" w:eastAsia="Arial" w:hAnsi="Arial"/>
          <w:b w:val="false"/>
          <w:bCs w:val="false"/>
          <w:i w:val="false"/>
          <w:iCs w:val="false"/>
          <w:color w:val="000000"/>
          <w:sz w:val="22"/>
          <w:szCs w:val="22"/>
        </w:rPr>
        <w:t xml:space="preserve">Adversary adaptation behavior changes systematically across time horizons. Short-term evasion (days to weeks) is dominated by Phase 1-2 behaviors that exploit existing pre-positioned infrastructure. Medium-term restructuring (weeks to months) is dominated by Phase 2-3 behaviors that establish new operational pathways. Long-term institutionalization (months to permanent) reflects Phase 3-4 behaviors that embed the alternative pathway into organizational structure. Enforcement design that does not account for this progression will be calibrated to short-term observable behaviors without addressing the medium- and long-term structural changes that determine whether enforcement achieves durable operational constraint.</w:t>
      </w:r>
    </w:p>
    <w:p>
      <w:pPr>
        <w:pStyle w:val="Heading2"/>
        <w:spacing w:before="240" w:after="80"/>
      </w:pPr>
      <w:r>
        <w:rPr>
          <w:rFonts w:ascii="Arial" w:cs="Arial" w:eastAsia="Arial" w:hAnsi="Arial"/>
          <w:b/>
          <w:bCs/>
          <w:color w:val="1B2A4A"/>
          <w:sz w:val="24"/>
          <w:szCs w:val="24"/>
        </w:rPr>
        <w:t xml:space="preserve">5.1 Short-Term Bypass (Days to Weeks: Phase 1-2)</w:t>
      </w:r>
    </w:p>
    <w:p>
      <w:pPr>
        <w:spacing w:before="60" w:after="120"/>
        <w:jc w:val="both"/>
      </w:pPr>
      <w:r>
        <w:rPr>
          <w:rFonts w:ascii="Arial" w:cs="Arial" w:eastAsia="Arial" w:hAnsi="Arial"/>
          <w:b w:val="false"/>
          <w:bCs w:val="false"/>
          <w:i w:val="false"/>
          <w:iCs w:val="false"/>
          <w:color w:val="000000"/>
          <w:sz w:val="22"/>
          <w:szCs w:val="22"/>
        </w:rPr>
        <w:t xml:space="preserve">Short-term evasion exploits pre-positioned infrastructure: existing correspondent relationships in non-primary jurisdictions, existing cryptocurrency exchange accounts on offshore platforms, existing cash courier networks in alternative geographic corridors, existing logistics relationships with non-designated vessel operators. These bypass mechanisms require no new relationship development; they require only the organizational decision to route primary throughput through infrastructure that was being held in reserve.</w:t>
      </w:r>
    </w:p>
    <w:p>
      <w:pPr>
        <w:spacing w:before="60" w:after="120"/>
        <w:jc w:val="both"/>
      </w:pPr>
      <w:r>
        <w:rPr>
          <w:rFonts w:ascii="Arial" w:cs="Arial" w:eastAsia="Arial" w:hAnsi="Arial"/>
          <w:b w:val="false"/>
          <w:bCs w:val="false"/>
          <w:i w:val="false"/>
          <w:iCs w:val="false"/>
          <w:color w:val="000000"/>
          <w:sz w:val="22"/>
          <w:szCs w:val="22"/>
        </w:rPr>
        <w:t xml:space="preserve">Key short-term evasion behaviors: bulk cash activation (moving primary throughput from wire transfer to pre-positioned cash courier operations within 30 to 60 days of Channel 1 designation); offshore cryptocurrency pivot (concentrating cryptocurrency activity on pre-established offshore exchange accounts not subject to current OFAC wallet designations); and non-USD correspondent activation (routing through pre-established non-USD correspondent relationships in jurisdictions where secondary sanctions have not yet been initiated).</w:t>
      </w:r>
    </w:p>
    <w:p>
      <w:pPr>
        <w:spacing w:before="60" w:after="120"/>
        <w:jc w:val="both"/>
      </w:pPr>
      <w:r>
        <w:rPr>
          <w:rFonts w:ascii="Arial" w:cs="Arial" w:eastAsia="Arial" w:hAnsi="Arial"/>
          <w:b w:val="false"/>
          <w:bCs w:val="false"/>
          <w:i w:val="false"/>
          <w:iCs w:val="false"/>
          <w:color w:val="000000"/>
          <w:sz w:val="22"/>
          <w:szCs w:val="22"/>
        </w:rPr>
        <w:t xml:space="preserve">Enforcement implication: Short-term bypass is available to any network with sufficient organizational depth to have maintained parallel financial infrastructure. It is not preventable through enforcement timing adjustments; it can only be addressed by concurrent pressure on the bypass channels before the original channel is closed — which is the simultaneity requirement.</w:t>
      </w:r>
    </w:p>
    <w:p>
      <w:pPr>
        <w:pStyle w:val="Heading2"/>
        <w:spacing w:before="240" w:after="80"/>
      </w:pPr>
      <w:r>
        <w:rPr>
          <w:rFonts w:ascii="Arial" w:cs="Arial" w:eastAsia="Arial" w:hAnsi="Arial"/>
          <w:b/>
          <w:bCs/>
          <w:color w:val="1B2A4A"/>
          <w:sz w:val="24"/>
          <w:szCs w:val="24"/>
        </w:rPr>
        <w:t xml:space="preserve">5.2 Medium-Term Restructuring (Weeks to Months: Phase 2-3)</w:t>
      </w:r>
    </w:p>
    <w:p>
      <w:pPr>
        <w:spacing w:before="60" w:after="120"/>
        <w:jc w:val="both"/>
      </w:pPr>
      <w:r>
        <w:rPr>
          <w:rFonts w:ascii="Arial" w:cs="Arial" w:eastAsia="Arial" w:hAnsi="Arial"/>
          <w:b w:val="false"/>
          <w:bCs w:val="false"/>
          <w:i w:val="false"/>
          <w:iCs w:val="false"/>
          <w:color w:val="000000"/>
          <w:sz w:val="22"/>
          <w:szCs w:val="22"/>
        </w:rPr>
        <w:t xml:space="preserve">Medium-term restructuring involves establishing new operational pathways that were not pre-positioned — building new correspondent relationships in non-pressured jurisdictions, developing new cryptocurrency platform relationships, establishing new supplier relationships outside the Entity List enforcement perimeter, and restructuring beneficial ownership chains to reduce attribution visibility.</w:t>
      </w:r>
    </w:p>
    <w:p>
      <w:pPr>
        <w:spacing w:before="60" w:after="120"/>
        <w:jc w:val="both"/>
      </w:pPr>
      <w:r>
        <w:rPr>
          <w:rFonts w:ascii="Arial" w:cs="Arial" w:eastAsia="Arial" w:hAnsi="Arial"/>
          <w:b w:val="false"/>
          <w:bCs w:val="false"/>
          <w:i w:val="false"/>
          <w:iCs w:val="false"/>
          <w:color w:val="000000"/>
          <w:sz w:val="22"/>
          <w:szCs w:val="22"/>
        </w:rPr>
        <w:t xml:space="preserve">Medium-term restructuring is the period of highest vulnerability for the adversary: it requires capital investment, new relationship development, and organizational exposure during the transition. It is also the period when enforcement actions on the newly developing alternative pathways have the highest marginal impact — disrupting a pathway during Phase 2-3 forces the network back to Phase 1 probing rather than allowing Phase 3 consolidation.</w:t>
      </w:r>
    </w:p>
    <w:p>
      <w:pPr>
        <w:spacing w:before="60" w:after="120"/>
        <w:jc w:val="both"/>
      </w:pPr>
      <w:r>
        <w:rPr>
          <w:rFonts w:ascii="Arial" w:cs="Arial" w:eastAsia="Arial" w:hAnsi="Arial"/>
          <w:b w:val="false"/>
          <w:bCs w:val="false"/>
          <w:i w:val="false"/>
          <w:iCs w:val="false"/>
          <w:color w:val="000000"/>
          <w:sz w:val="22"/>
          <w:szCs w:val="22"/>
        </w:rPr>
        <w:t xml:space="preserve">Key medium-term restructuring behaviors: third-country supplier development for precursor acquisition; offshore exchange platform development or migration; non-USD correspondent relationship formalization; and jurisdictional migration of financial infrastructure to minimize continued U.S. exposure.</w:t>
      </w:r>
    </w:p>
    <w:p>
      <w:pPr>
        <w:pStyle w:val="Heading2"/>
        <w:spacing w:before="240" w:after="80"/>
      </w:pPr>
      <w:r>
        <w:rPr>
          <w:rFonts w:ascii="Arial" w:cs="Arial" w:eastAsia="Arial" w:hAnsi="Arial"/>
          <w:b/>
          <w:bCs/>
          <w:color w:val="1B2A4A"/>
          <w:sz w:val="24"/>
          <w:szCs w:val="24"/>
        </w:rPr>
        <w:t xml:space="preserve">5.3 Long-Term Institutionalization (Months to Permanent: Phase 3-4)</w:t>
      </w:r>
    </w:p>
    <w:p>
      <w:pPr>
        <w:spacing w:before="60" w:after="120"/>
        <w:jc w:val="both"/>
      </w:pPr>
      <w:r>
        <w:rPr>
          <w:rFonts w:ascii="Arial" w:cs="Arial" w:eastAsia="Arial" w:hAnsi="Arial"/>
          <w:b w:val="false"/>
          <w:bCs w:val="false"/>
          <w:i w:val="false"/>
          <w:iCs w:val="false"/>
          <w:color w:val="000000"/>
          <w:sz w:val="22"/>
          <w:szCs w:val="22"/>
        </w:rPr>
        <w:t xml:space="preserve">Long-term institutionalization reflects the completion of Phase 3 and the transition to Phase 4 normalization. The alternative pathway has become the primary channel; the network has reorganized its financial architecture, compliance procedures, and operational routines around the new pathway; and enforcement of the original pressured channel is producing activity without throughput effect.</w:t>
      </w:r>
    </w:p>
    <w:p>
      <w:pPr>
        <w:spacing w:before="60" w:after="120"/>
        <w:jc w:val="both"/>
      </w:pPr>
      <w:r>
        <w:rPr>
          <w:rFonts w:ascii="Arial" w:cs="Arial" w:eastAsia="Arial" w:hAnsi="Arial"/>
          <w:b w:val="false"/>
          <w:bCs w:val="false"/>
          <w:i w:val="false"/>
          <w:iCs w:val="false"/>
          <w:color w:val="000000"/>
          <w:sz w:val="22"/>
          <w:szCs w:val="22"/>
        </w:rPr>
        <w:t xml:space="preserve">From the enforcement architecture's perspective, long-term institutionalization represents a fundamental change in the target environment. The Tier Classification of the network may need revision (if the institutionalized alternative pathway has reduced USD-corridor dependency below the original tier threshold). The Gate 2 administrative records for the original channel are no longer addressing the primary financial architecture. And the cumulative cost escalation logic may be producing elevated costs in channels the network has exited, not channels it is currently using.</w:t>
      </w:r>
    </w:p>
    <w:p>
      <w:pPr>
        <w:spacing w:before="60" w:after="120"/>
        <w:jc w:val="both"/>
      </w:pPr>
      <w:r>
        <w:rPr>
          <w:rFonts w:ascii="Arial" w:cs="Arial" w:eastAsia="Arial" w:hAnsi="Arial"/>
          <w:b w:val="false"/>
          <w:bCs w:val="false"/>
          <w:i w:val="false"/>
          <w:iCs w:val="false"/>
          <w:color w:val="000000"/>
          <w:sz w:val="22"/>
          <w:szCs w:val="22"/>
        </w:rPr>
        <w:t xml:space="preserve">The most consequential long-term institutionalization pattern from the published record is jurisdictional migration: networks that have successfully institutionalized non-USD financial infrastructure over a period of 12 to 24 months following initial enforcement pressure show materially changed financial architecture profiles in subsequent enforcement assessments. This is the structural mechanism behind the Tier A to Tier B to Tier C migration trajectory that SIEGE-01 Part IV identifies as a possible outcome of sustained enforcement without closure of all available alternative pathways.</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VI: Channel Structural Persistence Analysis</w:t>
      </w:r>
    </w:p>
    <w:p>
      <w:pPr>
        <w:spacing w:before="60" w:after="120"/>
        <w:jc w:val="both"/>
      </w:pPr>
      <w:r>
        <w:rPr>
          <w:rFonts w:ascii="Arial" w:cs="Arial" w:eastAsia="Arial" w:hAnsi="Arial"/>
          <w:b w:val="false"/>
          <w:bCs w:val="false"/>
          <w:i w:val="false"/>
          <w:iCs w:val="false"/>
          <w:color w:val="000000"/>
          <w:sz w:val="22"/>
          <w:szCs w:val="22"/>
        </w:rPr>
        <w:t xml:space="preserve">Channel structural persistence describes how resistant each of the seven SIEGE-01 channels is to adversary adaptation — specifically, how long after enforcement action a network is assessed as likely to remain unable to operate at pre-enforcement capacity through alternative pathways. This analysis is the channel-level analog of the four-phase cycle: it identifies which channels the adversary will exit fastest and which will remain under effective pressure longest.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1200"/>
        <w:gridCol w:w="1600"/>
        <w:gridCol w:w="1840"/>
      </w:tblGrid>
      <w:tr>
        <w:trPr>
          <w:tblHeader/>
        </w:trPr>
        <w:tc>
          <w:tcPr>
            <w:tcW w:type="dxa" w:w="1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Channel</w:t>
            </w:r>
          </w:p>
        </w:tc>
        <w:tc>
          <w:tcPr>
            <w:tcW w:type="dxa" w:w="1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Persistence</w:t>
            </w:r>
          </w:p>
        </w:tc>
        <w:tc>
          <w:tcPr>
            <w:tcW w:type="dxa" w:w="16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Primary Evasion Mechanism</w:t>
            </w:r>
          </w:p>
        </w:tc>
        <w:tc>
          <w:tcPr>
            <w:tcW w:type="dxa" w:w="1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Adversary Capital Requirement</w:t>
            </w:r>
          </w:p>
        </w:tc>
        <w:tc>
          <w:tcPr>
            <w:tcW w:type="dxa" w:w="16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Phase 3 Timeline Estimate</w:t>
            </w:r>
          </w:p>
        </w:tc>
        <w:tc>
          <w:tcPr>
            <w:tcW w:type="dxa" w:w="18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Enforcement Design Implication</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Ch. 1 — Formal Banking</w:t>
            </w:r>
          </w:p>
        </w:tc>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HIGH — Moderate confidence</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Non-USD corridor migration; nested correspondent layering</w:t>
            </w:r>
          </w:p>
        </w:tc>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HIGH — Non-USD correspondent infrastructure development is capital-intensive and relationship-dependent</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6–18 months for full institutionalization of non-USD primary channel</w:t>
            </w:r>
          </w:p>
        </w:tc>
        <w:tc>
          <w:tcPr>
            <w:tcW w:type="dxa" w:w="1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Highest-value channel for simultaneous deployment; highest adversary capital barrier slows Phase 3</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Ch. 2 — Physical Currency</w:t>
            </w:r>
          </w:p>
        </w:tc>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LOW — Moderate confidence</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Cash courier network activation; placement market substitution</w:t>
            </w:r>
          </w:p>
        </w:tc>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LOW — Pre-positioned cash courier networks require minimal capital to activate</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30–60 days for existing infrastructure; 60–120 days for new construction</w:t>
            </w:r>
          </w:p>
        </w:tc>
        <w:tc>
          <w:tcPr>
            <w:tcW w:type="dxa" w:w="18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Amplifying channel; effective only under concurrent Channel 1 pressure; independently insufficient</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Ch. 3 — Cryptocurrency (exchange-linked)</w:t>
            </w:r>
          </w:p>
        </w:tc>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MEDIUM-HIGH — Moderate confidence</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Offshore exchange routing; exchange account migration</w:t>
            </w:r>
          </w:p>
        </w:tc>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MEDIUM — Exchange account establishment and compliance navigation require modest capital and time</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Exchange substitution: 30–60 days</w:t>
            </w:r>
          </w:p>
        </w:tc>
        <w:tc>
          <w:tcPr>
            <w:tcW w:type="dxa" w:w="1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Fiat conversion-point interdiction is the durable lever; offshore exchange enforcement requires coalition participation</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Ch. 3 — Cryptocurrency (DeFi/P2P)</w:t>
            </w:r>
          </w:p>
        </w:tc>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LOW for enforcement — Moderate confidence</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Privacy coin migration; DeFi substitution; P2P settlement</w:t>
            </w:r>
          </w:p>
        </w:tc>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LOW — DeFi protocols require no capital infrastructure; P2P settlement requires counterparty network only</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DeFi institutionalization: 7–14 days. P2P: immediate</w:t>
            </w:r>
          </w:p>
        </w:tc>
        <w:tc>
          <w:tcPr>
            <w:tcW w:type="dxa" w:w="18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Structurally asymmetric: lowest capital requirement, fastest institutionalization, lowest detectability — structural enforcement boundary</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Ch. 4 — Trade Finance</w:t>
            </w:r>
          </w:p>
        </w:tc>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MEDIUM — Moderate confidence</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Third-country supplier substitution; component disaggregation</w:t>
            </w:r>
          </w:p>
        </w:tc>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HIGH — New supplier development, transshipment logistics, and false documentation require significant capital and organizational investment</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90–180 days for new supplier chains; shorter for pre-positioned alternatives</w:t>
            </w:r>
          </w:p>
        </w:tc>
        <w:tc>
          <w:tcPr>
            <w:tcW w:type="dxa" w:w="1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 2339B notice letter extends deterrence beyond FDPR; high adversary capital cost makes this channel more constraining per enforcement dollar</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Ch. 5 — Real Estate</w:t>
            </w:r>
          </w:p>
        </w:tc>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 — Low-moderate confidence</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Foreign-situs asset migration; nominee ownership restructuring</w:t>
            </w:r>
          </w:p>
        </w:tc>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MEDIUM-HIGH — Foreign-situs real estate transactions require legal structuring, title transfer costs, and jurisdictional legal infrastructure</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60–120 days for jurisdictional migration</w:t>
            </w:r>
          </w:p>
        </w:tc>
        <w:tc>
          <w:tcPr>
            <w:tcW w:type="dxa" w:w="18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Domestic reporting rule strong; foreign-situs migration is outside domestic rule reach; adversary capital requirement moderates migration speed</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Ch. 6 — Informal Transfer</w:t>
            </w:r>
          </w:p>
        </w:tc>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LOW — Moderate confidence</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Operator substitution; corridor migration to non-USD jurisdictions</w:t>
            </w:r>
          </w:p>
        </w:tc>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LOW — Hawala operator relationships require trust-network development but minimal capital; new operators enter rapidly</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14–30 days operator substitution; 30–60 days corridor migration</w:t>
            </w:r>
          </w:p>
        </w:tc>
        <w:tc>
          <w:tcPr>
            <w:tcW w:type="dxa" w:w="1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Class designation more durable than operator designation; lowest adversary capital requirement makes this channel most rapidly reconstitutable</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Ch. 7 — Maritime (commercial registry)</w:t>
            </w:r>
          </w:p>
        </w:tc>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 — Moderate confidence</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Flag-shopping; AIS manipulation; STS transfer</w:t>
            </w:r>
          </w:p>
        </w:tc>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 — Re-flagging requires registry fees and documentation; state-fleet integration requires state-level relationships</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1–7 days flag-shopping; longer for state-fleet integration</w:t>
            </w:r>
          </w:p>
        </w:tc>
        <w:tc>
          <w:tcPr>
            <w:tcW w:type="dxa" w:w="18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Registry-level enforcement more durable than vessel designation; state-fleet integration creates structural enforcement boundary where commercial-incentive mechanism has no leverage</w:t>
            </w:r>
          </w:p>
        </w:tc>
      </w:tr>
    </w:tbl>
    <w:p>
      <w:pPr>
        <w:spacing w:before="60" w:after="120"/>
      </w:pPr>
      <w:r>
        <w:rPr>
          <w:rFonts w:ascii="Arial" w:cs="Arial" w:eastAsia="Arial" w:hAnsi="Arial"/>
          <w:i/>
          <w:iCs/>
          <w:color w:val="4A5568"/>
          <w:sz w:val="18"/>
          <w:szCs w:val="18"/>
        </w:rPr>
        <w:t xml:space="preserve">Table 1: Channel Structural Persistence Analysis with Adversary Capital Requirements. Capital requirement column reflects the organizational investment required for the adversary to complete Phase 3 institutionalization of the primary evasion mechanism. Higher capital requirement = slower adversary Phase 3 = longer enforcement window. All figures are illustrative scenario constructs not derived from a reproducible model.</w:t>
      </w:r>
    </w:p>
    <w:p>
      <w:pPr>
        <w:spacing w:before="0" w:after="160"/>
      </w:pPr>
      <w:r>
        <w:rPr>
          <w:sz w:val="2"/>
          <w:szCs w:val="2"/>
        </w:rPr>
        <w:t xml:space="preserve"/>
      </w:r>
    </w:p>
    <w:p>
      <w:pPr>
        <w:pStyle w:val="Heading2"/>
        <w:spacing w:before="240" w:after="80"/>
      </w:pPr>
      <w:r>
        <w:rPr>
          <w:rFonts w:ascii="Arial" w:cs="Arial" w:eastAsia="Arial" w:hAnsi="Arial"/>
          <w:b/>
          <w:bCs/>
          <w:color w:val="1B2A4A"/>
          <w:sz w:val="24"/>
          <w:szCs w:val="24"/>
        </w:rPr>
        <w:t xml:space="preserve">6.1 Deployment Prioritization Implications</w:t>
      </w:r>
    </w:p>
    <w:p>
      <w:pPr>
        <w:spacing w:before="60" w:after="120"/>
        <w:jc w:val="both"/>
      </w:pPr>
      <w:r>
        <w:rPr>
          <w:rFonts w:ascii="Arial" w:cs="Arial" w:eastAsia="Arial" w:hAnsi="Arial"/>
          <w:b w:val="false"/>
          <w:bCs w:val="false"/>
          <w:i w:val="false"/>
          <w:iCs w:val="false"/>
          <w:color w:val="000000"/>
          <w:sz w:val="22"/>
          <w:szCs w:val="22"/>
        </w:rPr>
        <w:t xml:space="preserve">The channel persistence analysis implies a deployment prioritization principle: under resource constraints that prevent full simultaneous seven-channel deployment, primary leverage channels (1 and 3) should be prioritized because their structural persistence provides the longest window for cumulative cost escalation to operate before adversary Phase 3 institutionalization completes. Amplifying channels (2, 5) contribute to cost escalation but degrade to adversary adaptation fastest; they should be deployed concurrently with primary leverage channels but should not be substituted for them.</w:t>
      </w:r>
    </w:p>
    <w:p>
      <w:pPr>
        <w:spacing w:before="60" w:after="120"/>
        <w:jc w:val="both"/>
      </w:pPr>
      <w:r>
        <w:rPr>
          <w:rFonts w:ascii="Arial" w:cs="Arial" w:eastAsia="Arial" w:hAnsi="Arial"/>
          <w:b w:val="false"/>
          <w:bCs w:val="false"/>
          <w:i w:val="false"/>
          <w:iCs w:val="false"/>
          <w:color w:val="000000"/>
          <w:sz w:val="22"/>
          <w:szCs w:val="22"/>
        </w:rPr>
        <w:t xml:space="preserve">The low persistence of Channels 2 and 6 is not a reason to deprioritize them — their contribution to the cumulative cost structure during the Phase 1-2 window is analytically important. It is a reason to ensure they are deployed within the simultaneity window rather than as sequential follow-on actions, because their contribution degrades fastest once the adversary completes Phase 2 migration.</w:t>
      </w:r>
    </w:p>
    <w:p>
      <w:pPr>
        <w:pStyle w:val="Heading2"/>
        <w:spacing w:before="240" w:after="80"/>
      </w:pPr>
      <w:r>
        <w:rPr>
          <w:rFonts w:ascii="Arial" w:cs="Arial" w:eastAsia="Arial" w:hAnsi="Arial"/>
          <w:b/>
          <w:bCs/>
          <w:color w:val="1B2A4A"/>
          <w:sz w:val="24"/>
          <w:szCs w:val="24"/>
        </w:rPr>
        <w:t xml:space="preserve">6.2 Channels the Framework Cannot Structurally Control</w:t>
      </w:r>
    </w:p>
    <w:p>
      <w:pPr>
        <w:spacing w:before="60" w:after="120"/>
        <w:jc w:val="both"/>
      </w:pPr>
      <w:r>
        <w:rPr>
          <w:rFonts w:ascii="Arial" w:cs="Arial" w:eastAsia="Arial" w:hAnsi="Arial"/>
          <w:b w:val="false"/>
          <w:bCs w:val="false"/>
          <w:i w:val="false"/>
          <w:iCs w:val="false"/>
          <w:color w:val="000000"/>
          <w:sz w:val="22"/>
          <w:szCs w:val="22"/>
        </w:rPr>
        <w:t xml:space="preserve">Structural analysis of adversary adaptation behavior identifies three conditions under which channels remain effectively uncontrolled regardless of enforcement intensity. These are not enforcement failures; they are structural limits that define the framework's jurisdictional boundary.</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STRUCTURALLY UNCONTROLLABLE CONDITIONS</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State-directed financial infrastructure: Channels routed through state-owned banks, state-directed logistics companies, or state-protected financial infrastructure in non-cooperative jurisdictions are structurally outside the commercial-incentive enforcement mechanism that the framework relies on. Section 311 secondary sanctions require U.S. market exposure to create a compliance incentive; state-directed institutions that have deliberately reduced or eliminated U.S. market exposure in anticipation of enforcement cannot be reached through this mechanism. For networks with state sponsorship or protection — placing them in the Tier C classification — this condition applies to Channels 1, 2, 5, and 6.</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P2P and non-custodial cryptocurrency settlement: Cryptocurrency activity that does not route through exchange custodial infrastructure — peer-to-peer settlement, non-custodial self-hosted wallets, decentralized protocol execution without fiat conversion — is structurally outside the fiat conversion-point interdiction mechanism that Channel 3 enforcement relies on. § 981(k) asset substitution applies only to custodial exchange holdings; self-custodied assets are outside its reach. This creates a structural enforcement boundary that is not addressable through improved administrative record preparation or coalition engagement.</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Pre-existing non-USD financial architecture: Networks that have completed Phase 3 institutionalization of non-USD primary financial channels before enforcement action begins are effectively operating outside Channel 1's primary enforcement reach from deployment Day 1. For these networks, the effective starting Tier classification may be lower than their nominal USD-corridor dependency suggests, because the nominal USD infrastructure is no longer primary. The pre-deployment Gate 1 assessment must address this possibility explicitly.</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VII: Integration with Series Documents and Enforcement Design Implications</w:t>
      </w:r>
    </w:p>
    <w:p>
      <w:pPr>
        <w:pStyle w:val="Heading2"/>
        <w:spacing w:before="240" w:after="80"/>
      </w:pPr>
      <w:r>
        <w:rPr>
          <w:rFonts w:ascii="Arial" w:cs="Arial" w:eastAsia="Arial" w:hAnsi="Arial"/>
          <w:b/>
          <w:bCs/>
          <w:color w:val="1B2A4A"/>
          <w:sz w:val="24"/>
          <w:szCs w:val="24"/>
        </w:rPr>
        <w:t xml:space="preserve">7.1 Integration with SIEGE-01</w:t>
      </w:r>
    </w:p>
    <w:p>
      <w:pPr>
        <w:spacing w:before="60" w:after="120"/>
        <w:jc w:val="both"/>
      </w:pPr>
      <w:r>
        <w:rPr>
          <w:rFonts w:ascii="Arial" w:cs="Arial" w:eastAsia="Arial" w:hAnsi="Arial"/>
          <w:b w:val="false"/>
          <w:bCs w:val="false"/>
          <w:i w:val="false"/>
          <w:iCs w:val="false"/>
          <w:color w:val="000000"/>
          <w:sz w:val="22"/>
          <w:szCs w:val="22"/>
        </w:rPr>
        <w:t xml:space="preserve">This document provides the adversary behavior model that underlies SIEGE-01's analytical architecture. Specific integration points: the four-phase adversary adaptation cycle in Part II is referenced in SIEGE-01 Part VII.4; the channel structural persistence analysis in Part VI informs the channel dependency hierarchy in SIEGE-01 Part V.0; the enforcement condition analysis in Part IV provides the adversary-side analysis underlying each of the four SIEGE-01 failure modes; and the domain evasion analysis in Part III provides the adversary-side basis for the evasion counter-architecture in SIEGE-01 Part V channels 1-7.</w:t>
      </w:r>
    </w:p>
    <w:p>
      <w:pPr>
        <w:spacing w:before="60" w:after="120"/>
        <w:jc w:val="both"/>
      </w:pPr>
      <w:r>
        <w:rPr>
          <w:rFonts w:ascii="Arial" w:cs="Arial" w:eastAsia="Arial" w:hAnsi="Arial"/>
          <w:b w:val="false"/>
          <w:bCs w:val="false"/>
          <w:i w:val="false"/>
          <w:iCs w:val="false"/>
          <w:color w:val="000000"/>
          <w:sz w:val="22"/>
          <w:szCs w:val="22"/>
        </w:rPr>
        <w:t xml:space="preserve">The practical integration is: before assessing which gates are supported for a specific deployment, analysts should consult EVASION-01 to identify which adversary phase the target network is currently in, which domain-specific evasion behaviors are documented or inferred for this network type, and which enforcement conditions are most likely to be exploited based on the target network's financial profile and organizational depth. This pre-deployment adversary analysis should inform the gate assessment, particularly Gate 1 (Tier Classification) and Gate 2 (preparation timeline arithmetic calibrated to the network's documented migration speed).</w:t>
      </w:r>
    </w:p>
    <w:p>
      <w:pPr>
        <w:pStyle w:val="Heading2"/>
        <w:spacing w:before="240" w:after="80"/>
      </w:pPr>
      <w:r>
        <w:rPr>
          <w:rFonts w:ascii="Arial" w:cs="Arial" w:eastAsia="Arial" w:hAnsi="Arial"/>
          <w:b/>
          <w:bCs/>
          <w:color w:val="1B2A4A"/>
          <w:sz w:val="24"/>
          <w:szCs w:val="24"/>
        </w:rPr>
        <w:t xml:space="preserve">7.2 Integration with COUNTERINTEL-01</w:t>
      </w:r>
    </w:p>
    <w:p>
      <w:pPr>
        <w:spacing w:before="60" w:after="120"/>
        <w:jc w:val="both"/>
      </w:pPr>
      <w:r>
        <w:rPr>
          <w:rFonts w:ascii="Arial" w:cs="Arial" w:eastAsia="Arial" w:hAnsi="Arial"/>
          <w:b w:val="false"/>
          <w:bCs w:val="false"/>
          <w:i w:val="false"/>
          <w:iCs w:val="false"/>
          <w:color w:val="000000"/>
          <w:sz w:val="22"/>
          <w:szCs w:val="22"/>
        </w:rPr>
        <w:t xml:space="preserve">COUNTERINTEL-01 maps framework degradation conditions from the enforcement architecture's perspective. EVASION-01 maps the adversary behaviors that actively create or accelerate those degradation conditions. The mapping is directional: each COUNTERINTEL-01 degradation domain has corresponding adversary behaviors in EVASION-01 that exploit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24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COUNTERINTEL-01 Degradation Domain</w:t>
            </w:r>
          </w:p>
        </w:tc>
        <w:tc>
          <w:tcPr>
            <w:tcW w:type="dxa" w:w="2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Corresponding EVASION-01 Adversary Behavior</w:t>
            </w:r>
          </w:p>
        </w:tc>
        <w:tc>
          <w:tcPr>
            <w:tcW w:type="dxa" w:w="42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Integrated Assessment</w:t>
            </w:r>
          </w:p>
        </w:tc>
      </w:tr>
      <w:tr>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Domain 1: Jurisdictional Boundary</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Non-USD corridor migration; jurisdiction arbitrage (Part III.1)</w:t>
            </w:r>
          </w:p>
        </w:tc>
        <w:tc>
          <w:tcPr>
            <w:tcW w:type="dxa" w:w="4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Adversary behavior that actively reduces USD-corridor dependency accelerates Tier A → Tier B → Tier C migration; Gate 1 reassessment required when this behavior is confirmed</w:t>
            </w:r>
          </w:p>
        </w:tc>
      </w:tr>
      <w:tr>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Domain 2: Financial Channel Substitution</w:t>
            </w:r>
          </w:p>
        </w:tc>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Phase 2 exploitation across all channels; channel-specific Phase 3 timelines (Parts III, V)</w:t>
            </w:r>
          </w:p>
        </w:tc>
        <w:tc>
          <w:tcPr>
            <w:tcW w:type="dxa" w:w="4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Adversary adaptation speed relative to enforcement preparation speed is the key variable; faster adaptation than anticipated in Gate 2 timeline arithmetic is a combined COUNTERINTEL-01/EVASION-01 risk</w:t>
            </w:r>
          </w:p>
        </w:tc>
      </w:tr>
      <w:tr>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Domain 3: Attribution / Visibility</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Beneficial ownership opacity; SLAPP litigation (Parts III.5)</w:t>
            </w:r>
          </w:p>
        </w:tc>
        <w:tc>
          <w:tcPr>
            <w:tcW w:type="dxa" w:w="4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Adversary legal challenge strategy is specifically designed to exploit the APA vulnerability COUNTERINTEL-01 identifies; Gate 2 pre-positioning is the integrated response</w:t>
            </w:r>
          </w:p>
        </w:tc>
      </w:tr>
      <w:tr>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Domain 4: Coalition Fracture</w:t>
            </w:r>
          </w:p>
        </w:tc>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Diplomatic pressure on partner states; exploitation of trade friction with technology-denial partners (Part IV.1)</w:t>
            </w:r>
          </w:p>
        </w:tc>
        <w:tc>
          <w:tcPr>
            <w:tcW w:type="dxa" w:w="4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Adversary can actively accelerate coalition fracture through targeted economic or diplomatic pressure; PERSIST-01 Section 10.1 fault line on trade friction/technology-denial coordination is the primary vulnerability</w:t>
            </w:r>
          </w:p>
        </w:tc>
      </w:tr>
      <w:tr>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Domain 6: Temporal Adaptation</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Pre-deployment Phase 3 institutionalization; probe phase timeline compression (Part II.2)</w:t>
            </w:r>
          </w:p>
        </w:tc>
        <w:tc>
          <w:tcPr>
            <w:tcW w:type="dxa" w:w="4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Well-resourced networks may be in Phase 3 before enforcement begins; the Gate 1 assessment must determine the network's current adaptation cycle phase, not only its current financial architecture</w:t>
            </w:r>
          </w:p>
        </w:tc>
      </w:tr>
      <w:tr>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Domain 7: False Signal / Misinterpretation</w:t>
            </w:r>
          </w:p>
        </w:tc>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Phase 2 exploit phase mimics disruption while throughput maintains (Part II, Phase 2)</w:t>
            </w:r>
          </w:p>
        </w:tc>
        <w:tc>
          <w:tcPr>
            <w:tcW w:type="dxa" w:w="4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The false signal risk in COUNTERINTEL-01 is produced by adversary Phase 2 behavior; throughput assessment is the only reliable distinguisher between effective enforcement and adversary adaptation</w:t>
            </w:r>
          </w:p>
        </w:tc>
      </w:tr>
    </w:tbl>
    <w:p>
      <w:pPr>
        <w:spacing w:before="60" w:after="120"/>
      </w:pPr>
      <w:r>
        <w:rPr>
          <w:rFonts w:ascii="Arial" w:cs="Arial" w:eastAsia="Arial" w:hAnsi="Arial"/>
          <w:i/>
          <w:iCs/>
          <w:color w:val="4A5568"/>
          <w:sz w:val="18"/>
          <w:szCs w:val="18"/>
        </w:rPr>
        <w:t xml:space="preserve">Table 2: COUNTERINTEL-01 / EVASION-01 Integration Mapping. Each degradation domain in COUNTERINTEL-01 has corresponding adversary behaviors in EVASION-01 that actively create or exploit the degradation condition.</w:t>
      </w:r>
    </w:p>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7.3 Enforcement Design Principles Derived from Adversary Analysis</w:t>
      </w:r>
    </w:p>
    <w:p>
      <w:pPr>
        <w:spacing w:before="60" w:after="120"/>
        <w:jc w:val="both"/>
      </w:pPr>
      <w:r>
        <w:rPr>
          <w:rFonts w:ascii="Arial" w:cs="Arial" w:eastAsia="Arial" w:hAnsi="Arial"/>
          <w:b w:val="false"/>
          <w:bCs w:val="false"/>
          <w:i w:val="false"/>
          <w:iCs w:val="false"/>
          <w:color w:val="000000"/>
          <w:sz w:val="22"/>
          <w:szCs w:val="22"/>
        </w:rPr>
        <w:t xml:space="preserve">The adversary adaptation analysis in this document implies the following enforcement design principles. These are not implementation directives; they are analytical consequences of the adversary model applied to the SIEGE-01 framework.</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Design against Phase 3, not Phase 2. Enforcement actions designed to address Phase 2 exploitation behaviors will be competed by an adversary that is already entering Phase 3 institutionalization. Gate 2 preparation timeline arithmetic must account for the Phase 2-3 transition timeline for each channel, not only the Phase 1-2 migration timeline.</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Calibrate Gate 1 to current adaptation cycle phase, not current financial architecture. A network assessed as Tier B based on its current financial architecture may be effectively Tier C if it has completed Phase 3 institutionalization of non-USD infrastructure during a period without enforcement pressure. Gate 1 should include an explicit assessment of the target network's current position in the adaptation cycle.</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Treat coalition gap as adversary Phase 2 exploitation confirmation. A confirmed coalition gap in Gate 3 should be assessed as likely already being exploited by the adversary in Phase 2, not as a future risk. The Gate 3 NO-GO determination means the adversary has already identified the coalition gap corridor as a viable Phase 2 exploitation pathway.</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Use throughput proxy as the primary effectiveness standard, not observable enforcement activity. Adversary Phase 2 behavior produces observable enforcement indicators (channel migration, SAR pattern changes) without throughput reduction. Effectiveness assessment based on observable enforcement indicators without throughput correlation will systematically overstate enforcement effect during Phase 2 exploitation.</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Deploy administrative record pre-positioning as an adversary counter-strategy, not only a legal requirement. APA-sustainable records reduce the probability of successful TRO challenge, which is the adversary's primary mechanism for creating Phase 3 institutionalization windows through enforcement continuity interruption. Gate 2 is as much an adversary counter-strategy as it is a legal discipline requirement.</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Sources and Reference Basis</w:t>
      </w:r>
    </w:p>
    <w:p>
      <w:pPr>
        <w:pStyle w:val="Heading2"/>
        <w:spacing w:before="240" w:after="80"/>
      </w:pPr>
      <w:r>
        <w:rPr>
          <w:rFonts w:ascii="Arial" w:cs="Arial" w:eastAsia="Arial" w:hAnsi="Arial"/>
          <w:b/>
          <w:bCs/>
          <w:color w:val="1B2A4A"/>
          <w:sz w:val="24"/>
          <w:szCs w:val="24"/>
        </w:rPr>
        <w:t xml:space="preserve">Tier 1 — U.S. Government and Official Sources</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FinCEN. National Money Laundering Risk Assessment. 2022.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FinCEN. Trade-Based Money Laundering Advisory. 2010.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FATF. Guidance on Money Laundering from Drug Trafficking. 2019.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FATF. Hawala and Other Similar Service Providers Typologies. 2013.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FATF. Trade-Based Money Laundering Guidance. 2020.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FATF. Virtual Assets — Red Flag Indicators. 2020.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OFAC. Tornado Cash SDN Designation Methodology. August 2022.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OFAC. Digital Currency Address — Designation Guidance.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BIS. Export Enforcement Case Records — Transshipment Patterns.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DEA. National Drug Threat Assessment. 2024; 2025.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DOT Maritime Administration. Dark Vessel Activity Reporting.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CISA/Coast Guard. Maritime Cybersecurity and AIS Manipulation Advisory. [TIER 1]</w:t>
      </w:r>
    </w:p>
    <w:p>
      <w:pPr>
        <w:pStyle w:val="Heading2"/>
        <w:spacing w:before="240" w:after="80"/>
      </w:pPr>
      <w:r>
        <w:rPr>
          <w:rFonts w:ascii="Arial" w:cs="Arial" w:eastAsia="Arial" w:hAnsi="Arial"/>
          <w:b/>
          <w:bCs/>
          <w:color w:val="1B2A4A"/>
          <w:sz w:val="24"/>
          <w:szCs w:val="24"/>
        </w:rPr>
        <w:t xml:space="preserve">WP-2026 Series Cross-References</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WP-2026-SIEGE-01 Final — Seven-channel mechanism; gate structure (Part II); failure mode protocols (Part III); adversary adaptation clause (Part VII); fragmentation governing finding (Part VII.2).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WP-2026-COUNTERINTEL-01 — Framework degradation domains (Sections III.1-III.7); analytical safeguards (Section V); COUNTERINTEL/EVASION integration table (Part VII.2 of this document).</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WP-2026-PERSIST-01 — Authority rails (Sections 2.1-2.6); fault line analysis (Section 10); coalition governance doctrine (Section 3).</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WP-2026-SAM-01 Rev 2.0 — Series architecture governance; document ownership.</w:t>
      </w:r>
    </w:p>
    <w:p>
      <w:pPr>
        <w:pStyle w:val="Heading2"/>
        <w:spacing w:before="240" w:after="80"/>
      </w:pPr>
      <w:r>
        <w:rPr>
          <w:rFonts w:ascii="Arial" w:cs="Arial" w:eastAsia="Arial" w:hAnsi="Arial"/>
          <w:b/>
          <w:bCs/>
          <w:color w:val="1B2A4A"/>
          <w:sz w:val="24"/>
          <w:szCs w:val="24"/>
        </w:rPr>
        <w:t xml:space="preserve">Tier 2 — Policy Research and Commercial Data</w:t>
      </w:r>
    </w:p>
    <w:p>
      <w:pPr>
        <w:spacing w:before="60" w:after="120"/>
        <w:jc w:val="both"/>
      </w:pPr>
      <w:r>
        <w:rPr>
          <w:rFonts w:ascii="Arial" w:cs="Arial" w:eastAsia="Arial" w:hAnsi="Arial"/>
          <w:b w:val="false"/>
          <w:bCs w:val="false"/>
          <w:i w:val="false"/>
          <w:iCs w:val="false"/>
          <w:color w:val="000000"/>
          <w:sz w:val="22"/>
          <w:szCs w:val="22"/>
        </w:rPr>
        <w:t xml:space="preserve">Tier 2 sources inform directional analytic judgments. They do not independently sustain consequential quantitative claims.</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Chainalysis. Crypto Crime Report. 2023.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RAND Corporation. Assessing Drug Problems and Policies. MG-742.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Bouchard, M. On the Resilience of Illegal Drug Markets. Global Crime. 2007.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Reuter, P. and Truman, E.M. Chasing Dirty Money. Institute for International Economics, 2004. [TIER 2]</w:t>
      </w:r>
    </w:p>
    <w:p>
      <w:pPr>
        <w:spacing w:before="0" w:after="160"/>
      </w:pPr>
      <w:r>
        <w:rPr>
          <w:sz w:val="2"/>
          <w:szCs w:val="2"/>
        </w:rPr>
        <w:t xml:space="preserve"/>
      </w:r>
    </w:p>
    <w:p>
      <w:pPr>
        <w:pBdr>
          <w:bottom w:val="single" w:color="1B2A4A" w:sz="6" w:space="1"/>
        </w:pBdr>
        <w:spacing w:before="0" w:after="0"/>
      </w:pPr>
      <w:r>
        <w:rPr>
          <w:rFonts w:ascii="Arial" w:cs="Arial" w:eastAsia="Arial" w:hAnsi="Arial"/>
          <w:sz w:val="2"/>
          <w:szCs w:val="2"/>
        </w:rPr>
        <w:t xml:space="preserve"/>
      </w:r>
    </w:p>
    <w:p>
      <w:pPr>
        <w:spacing w:before="0" w:after="80"/>
      </w:pPr>
      <w:r>
        <w:rPr>
          <w:sz w:val="2"/>
          <w:szCs w:val="2"/>
        </w:rPr>
        <w:t xml:space="preserve"/>
      </w:r>
    </w:p>
    <w:p>
      <w:pPr>
        <w:spacing w:before="0" w:after="0"/>
        <w:jc w:val="center"/>
      </w:pPr>
      <w:r>
        <w:rPr>
          <w:rFonts w:ascii="Arial" w:cs="Arial" w:eastAsia="Arial" w:hAnsi="Arial"/>
          <w:b/>
          <w:bCs/>
          <w:caps/>
          <w:color w:val="4A5568"/>
          <w:sz w:val="18"/>
          <w:szCs w:val="18"/>
        </w:rPr>
        <w:t xml:space="preserve">END OF DOCUMENT — WP-2026-EVASION-01 — MARCH 2026 — UNCLASSIFIED // OPEN 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pPr>
    <w:r>
      <w:rPr>
        <w:rFonts w:ascii="Arial" w:cs="Arial" w:eastAsia="Arial" w:hAnsi="Arial"/>
        <w:caps/>
        <w:color w:val="4A5568"/>
        <w:sz w:val="16"/>
        <w:szCs w:val="16"/>
      </w:rPr>
      <w:t xml:space="preserve">UNCLASSIFIED // OPEN SOURCE  |  Adversary Adaptation Architecture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aps/>
        <w:color w:val="4A5568"/>
        <w:sz w:val="16"/>
        <w:szCs w:val="16"/>
      </w:rPr>
      <w:t xml:space="preserve">WP-2026-EVASION-01  |  ADVERSARY ADAPTATION ARCHITECTURE  |  UNCLASSIFIED // OPEN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2026-03-27T12:41:36.220Z</dcterms:created>
  <dcterms:modified xsi:type="dcterms:W3CDTF">2026-03-27T12:41:36.220Z</dcterms:modified>
</cp:coreProperties>
</file>

<file path=docProps/custom.xml><?xml version="1.0" encoding="utf-8"?>
<Properties xmlns="http://schemas.openxmlformats.org/officeDocument/2006/custom-properties" xmlns:vt="http://schemas.openxmlformats.org/officeDocument/2006/docPropsVTypes"/>
</file>