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aps/>
          <w:color w:val="1B2A4A"/>
          <w:sz w:val="20"/>
          <w:szCs w:val="20"/>
        </w:rPr>
        <w:t xml:space="preserve">CENTER FOR COMPETITIVE STATECRAFT AND STRATEGIC POLICY</w:t>
      </w:r>
    </w:p>
    <w:p>
      <w:pPr>
        <w:spacing w:before="0" w:after="80"/>
        <w:jc w:val="center"/>
      </w:pPr>
      <w:r>
        <w:rPr>
          <w:rFonts w:ascii="Arial" w:cs="Arial" w:eastAsia="Arial" w:hAnsi="Arial"/>
          <w:b/>
          <w:bCs/>
          <w:color w:val="4A5568"/>
          <w:sz w:val="20"/>
          <w:szCs w:val="20"/>
        </w:rPr>
        <w:t xml:space="preserve">WP-2026 SERIES — SERIES ARCHITECTURE</w:t>
      </w:r>
    </w:p>
    <w:p>
      <w:pPr>
        <w:pBdr>
          <w:bottom w:val="single" w:color="1B2A4A" w:sz="6" w:space="1"/>
        </w:pBdr>
        <w:spacing w:before="0" w:after="0"/>
      </w:pPr>
      <w:r>
        <w:rPr>
          <w:rFonts w:ascii="Arial" w:cs="Arial" w:eastAsia="Arial" w:hAnsi="Arial"/>
          <w:sz w:val="2"/>
          <w:szCs w:val="2"/>
        </w:rPr>
        <w:t xml:space="preserve"/>
      </w:r>
    </w:p>
    <w:p>
      <w:pPr>
        <w:spacing w:before="0" w:after="160"/>
      </w:pPr>
      <w:r>
        <w:rPr>
          <w:sz w:val="2"/>
          <w:szCs w:val="2"/>
        </w:rPr>
        <w:t xml:space="preserve"/>
      </w:r>
    </w:p>
    <w:p>
      <w:pPr>
        <w:spacing w:before="0" w:after="120"/>
        <w:jc w:val="center"/>
      </w:pPr>
      <w:r>
        <w:rPr>
          <w:rFonts w:ascii="Arial" w:cs="Arial" w:eastAsia="Arial" w:hAnsi="Arial"/>
          <w:b/>
          <w:bCs/>
          <w:caps/>
          <w:color w:val="8B6914"/>
          <w:sz w:val="22"/>
          <w:szCs w:val="22"/>
        </w:rPr>
        <w:t xml:space="preserve">SERIES ARCHITECTURE MEMO — SAM-01 / REVISION 2.0</w:t>
      </w:r>
    </w:p>
    <w:p>
      <w:pPr>
        <w:spacing w:before="0" w:after="80"/>
        <w:jc w:val="center"/>
      </w:pPr>
      <w:r>
        <w:rPr>
          <w:rFonts w:ascii="Arial" w:cs="Arial" w:eastAsia="Arial" w:hAnsi="Arial"/>
          <w:b/>
          <w:bCs/>
          <w:color w:val="1B2A4A"/>
          <w:sz w:val="28"/>
          <w:szCs w:val="28"/>
        </w:rPr>
        <w:t xml:space="preserve">Document Ownership, Overlap Analysis, and Cross-Reference Architecture</w:t>
      </w:r>
    </w:p>
    <w:p>
      <w:pPr>
        <w:spacing w:before="0" w:after="240"/>
        <w:jc w:val="center"/>
      </w:pPr>
      <w:r>
        <w:rPr>
          <w:rFonts w:ascii="Arial" w:cs="Arial" w:eastAsia="Arial" w:hAnsi="Arial"/>
          <w:i/>
          <w:iCs/>
          <w:color w:val="4A5568"/>
          <w:sz w:val="22"/>
          <w:szCs w:val="22"/>
        </w:rPr>
        <w:t xml:space="preserve">Governing document for the WP-2026 series analytical system. Establishes exclusive ownership domains, enforces cross-reference architecture, defines series failure conditions, and prevents internal contradiction.</w:t>
      </w:r>
    </w:p>
    <w:p>
      <w:pPr>
        <w:spacing w:before="0" w:after="16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WP-2026 — Center for Competitive Statecraft and Strategic Policy</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Document</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SAM-01, Revision 2.0 — Series Architecture Memo</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Date</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Status</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Governing document. Required compliance for all WP-2026 series papers.</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Applies To</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All WP-2026 series documents, current and future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Supersedes</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SAM-01, Revision 1.0 (March 2026)</w:t>
            </w:r>
          </w:p>
        </w:tc>
      </w:tr>
    </w:tbl>
    <w:p>
      <w:pPr>
        <w:spacing w:before="0" w:after="24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GOVERNING DOCUMENT NOTICE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SAM-01 is the governing architecture document for the WP-2026 series. It is not a policy analysis paper. It does not require the same confidence labeling, evidentiary framework, or analytical hedging that apply to series papers. Its claims are architectural, not empirical.</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Compliance with this document is required for all WP-2026 series papers. A paper that introduces analytical claims within another document's established ownership domain without explicit cross-reference is non-compliant with series architecture and requires revision before publication. This rule is stated here, in the governing document, and is not advisory.</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External purpose: This architecture prevents internal contradiction, eliminates analytical redundancy, increases litigation resilience by concentrating authority analysis in a single governing location (PERSIST-01), and enables modular reuse of any individual series paper without importing inconsistencies from other series papers. These properties are the analytical equivalent of severability in legal drafting: each paper stands independently while remaining consistent with the whole.</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 Purpose, Method, and Why This Structure Matters</w:t>
      </w:r>
    </w:p>
    <w:p>
      <w:pPr>
        <w:pStyle w:val="Heading2"/>
        <w:spacing w:before="240" w:after="80"/>
      </w:pPr>
      <w:r>
        <w:rPr>
          <w:rFonts w:ascii="Arial" w:cs="Arial" w:eastAsia="Arial" w:hAnsi="Arial"/>
          <w:b/>
          <w:bCs/>
          <w:color w:val="1B2A4A"/>
          <w:sz w:val="24"/>
          <w:szCs w:val="24"/>
        </w:rPr>
        <w:t xml:space="preserve">1.1 Purpose</w:t>
      </w:r>
    </w:p>
    <w:p>
      <w:pPr>
        <w:spacing w:before="60" w:after="120"/>
        <w:jc w:val="both"/>
      </w:pPr>
      <w:r>
        <w:rPr>
          <w:rFonts w:ascii="Arial" w:cs="Arial" w:eastAsia="Arial" w:hAnsi="Arial"/>
          <w:b w:val="false"/>
          <w:bCs w:val="false"/>
          <w:i w:val="false"/>
          <w:iCs w:val="false"/>
          <w:color w:val="000000"/>
          <w:sz w:val="22"/>
          <w:szCs w:val="22"/>
        </w:rPr>
        <w:t xml:space="preserve">This memo maps document ownership, establishes the series architecture enforcement rule, defines series failure conditions, and specifies the cross-reference architecture for the WP-2026 series. Revision 2.0 adds: an architecture enforcement rule with compliance standard; a strengthened UNIFIED-01 boundary with prohibited content list; a series failure conditions section; an elevated Nexus/CSE-01 dependency requirement for Tier B/C networks with PRC exposure; and an overlap resolution threshold definition.</w:t>
      </w:r>
    </w:p>
    <w:p>
      <w:pPr>
        <w:spacing w:before="60" w:after="120"/>
        <w:jc w:val="both"/>
      </w:pPr>
      <w:r>
        <w:rPr>
          <w:rFonts w:ascii="Arial" w:cs="Arial" w:eastAsia="Arial" w:hAnsi="Arial"/>
          <w:b w:val="false"/>
          <w:bCs w:val="false"/>
          <w:i w:val="false"/>
          <w:iCs w:val="false"/>
          <w:color w:val="000000"/>
          <w:sz w:val="22"/>
          <w:szCs w:val="22"/>
        </w:rPr>
        <w:t xml:space="preserve">The governing question this memo answers is not "what do these documents contain?" but "what does each document own, what happens when those boundaries are violated, and what failure modes exist for the series as a whole?"</w:t>
      </w:r>
    </w:p>
    <w:p>
      <w:pPr>
        <w:pStyle w:val="Heading2"/>
        <w:spacing w:before="240" w:after="80"/>
      </w:pPr>
      <w:r>
        <w:rPr>
          <w:rFonts w:ascii="Arial" w:cs="Arial" w:eastAsia="Arial" w:hAnsi="Arial"/>
          <w:b/>
          <w:bCs/>
          <w:color w:val="1B2A4A"/>
          <w:sz w:val="24"/>
          <w:szCs w:val="24"/>
        </w:rPr>
        <w:t xml:space="preserve">1.2 Why This Structure Matters to External Reviewers</w:t>
      </w:r>
    </w:p>
    <w:p>
      <w:pPr>
        <w:spacing w:before="60" w:after="120"/>
        <w:jc w:val="both"/>
      </w:pPr>
      <w:r>
        <w:rPr>
          <w:rFonts w:ascii="Arial" w:cs="Arial" w:eastAsia="Arial" w:hAnsi="Arial"/>
          <w:b w:val="false"/>
          <w:bCs w:val="false"/>
          <w:i w:val="false"/>
          <w:iCs w:val="false"/>
          <w:color w:val="000000"/>
          <w:sz w:val="22"/>
          <w:szCs w:val="22"/>
        </w:rPr>
        <w:t xml:space="preserve">An institutional reviewer — whether government, academic, or legal — assessing the WP-2026 series faces one primary question: is this a coherent analytical system or a collection of papers that happen to share a series label? The distinction matters in four specific ways.</w:t>
      </w:r>
    </w:p>
    <w:p>
      <w:pPr>
        <w:spacing w:before="60" w:after="120"/>
        <w:jc w:val="both"/>
      </w:pPr>
      <w:r>
        <w:rPr>
          <w:rFonts w:ascii="Arial" w:cs="Arial" w:eastAsia="Arial" w:hAnsi="Arial"/>
          <w:b w:val="false"/>
          <w:bCs w:val="false"/>
          <w:i w:val="false"/>
          <w:iCs w:val="false"/>
          <w:color w:val="000000"/>
          <w:sz w:val="22"/>
          <w:szCs w:val="22"/>
        </w:rPr>
        <w:t xml:space="preserve">First, contradiction. A reviewer who finds conflicting analytical claims across series papers — the fragmentation contradiction between SIEGE-01 and UNIFIED-01 is the live example — uses that conflict to discredit both papers rather than adjudicate between them. A series architecture that prevents contradiction is a series that survives review.</w:t>
      </w:r>
    </w:p>
    <w:p>
      <w:pPr>
        <w:spacing w:before="60" w:after="120"/>
        <w:jc w:val="both"/>
      </w:pPr>
      <w:r>
        <w:rPr>
          <w:rFonts w:ascii="Arial" w:cs="Arial" w:eastAsia="Arial" w:hAnsi="Arial"/>
          <w:b w:val="false"/>
          <w:bCs w:val="false"/>
          <w:i w:val="false"/>
          <w:iCs w:val="false"/>
          <w:color w:val="000000"/>
          <w:sz w:val="22"/>
          <w:szCs w:val="22"/>
        </w:rPr>
        <w:t xml:space="preserve">Second, duplication. Papers that restate each other's analytical content at equal depth signal that neither is authoritative. Import-by-reference architecture, where each claim lives in one place and is cited from others, signals that each paper is authoritative within its domain.</w:t>
      </w:r>
    </w:p>
    <w:p>
      <w:pPr>
        <w:spacing w:before="60" w:after="120"/>
        <w:jc w:val="both"/>
      </w:pPr>
      <w:r>
        <w:rPr>
          <w:rFonts w:ascii="Arial" w:cs="Arial" w:eastAsia="Arial" w:hAnsi="Arial"/>
          <w:b w:val="false"/>
          <w:bCs w:val="false"/>
          <w:i w:val="false"/>
          <w:iCs w:val="false"/>
          <w:color w:val="000000"/>
          <w:sz w:val="22"/>
          <w:szCs w:val="22"/>
        </w:rPr>
        <w:t xml:space="preserve">Third, litigation resilience. Legal authority analysis is most durable when it lives in one location with the highest evidentiary and procedural standard, and other documents reference it rather than independently interpreting the same authorities. PERSIST-01 owns this function; a series that routes all authority analysis through PERSIST-01 is harder to challenge than one where five documents independently interpret IEEPA.</w:t>
      </w:r>
    </w:p>
    <w:p>
      <w:pPr>
        <w:spacing w:before="60" w:after="120"/>
        <w:jc w:val="both"/>
      </w:pPr>
      <w:r>
        <w:rPr>
          <w:rFonts w:ascii="Arial" w:cs="Arial" w:eastAsia="Arial" w:hAnsi="Arial"/>
          <w:b w:val="false"/>
          <w:bCs w:val="false"/>
          <w:i w:val="false"/>
          <w:iCs w:val="false"/>
          <w:color w:val="000000"/>
          <w:sz w:val="22"/>
          <w:szCs w:val="22"/>
        </w:rPr>
        <w:t xml:space="preserve">Fourth, modular reuse. A policy official or academic using one series paper as a reference needs to know that the paper is internally complete and consistent with the series. Import-by-reference architecture with clear ownership makes each paper modulary usable without requiring the reader to resolve inconsistencies across documents they have not read.</w:t>
      </w:r>
    </w:p>
    <w:p>
      <w:pPr>
        <w:pStyle w:val="Heading2"/>
        <w:spacing w:before="240" w:after="80"/>
      </w:pPr>
      <w:r>
        <w:rPr>
          <w:rFonts w:ascii="Arial" w:cs="Arial" w:eastAsia="Arial" w:hAnsi="Arial"/>
          <w:b/>
          <w:bCs/>
          <w:color w:val="1B2A4A"/>
          <w:sz w:val="24"/>
          <w:szCs w:val="24"/>
        </w:rPr>
        <w:t xml:space="preserve">1.3 Method</w:t>
      </w:r>
    </w:p>
    <w:p>
      <w:pPr>
        <w:spacing w:before="60" w:after="120"/>
        <w:jc w:val="both"/>
      </w:pPr>
      <w:r>
        <w:rPr>
          <w:rFonts w:ascii="Arial" w:cs="Arial" w:eastAsia="Arial" w:hAnsi="Arial"/>
          <w:b w:val="false"/>
          <w:bCs w:val="false"/>
          <w:i w:val="false"/>
          <w:iCs w:val="false"/>
          <w:color w:val="000000"/>
          <w:sz w:val="22"/>
          <w:szCs w:val="22"/>
        </w:rPr>
        <w:t xml:space="preserve">Each document was read in full. Overlap was identified at the section level by comparing analytical claims, structural architecture, legal authority treatment, and operational logic. Overlap is classified into three categories defined precisely in Part III.</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 Architecture Enforcement Rule</w:t>
      </w:r>
    </w:p>
    <w:p>
      <w:pPr>
        <w:spacing w:before="60" w:after="120"/>
        <w:jc w:val="both"/>
      </w:pPr>
      <w:r>
        <w:rPr>
          <w:rFonts w:ascii="Arial" w:cs="Arial" w:eastAsia="Arial" w:hAnsi="Arial"/>
          <w:b w:val="false"/>
          <w:bCs w:val="false"/>
          <w:i w:val="false"/>
          <w:iCs w:val="false"/>
          <w:color w:val="000000"/>
          <w:sz w:val="22"/>
          <w:szCs w:val="22"/>
        </w:rPr>
        <w:t xml:space="preserve">This section establishes the governing rule for series compliance. It applies to all current and future WP-2026 series documents.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ARCHITECTURE ENFORCEMENT RULE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RULE: Any WP-2026 series document that introduces analytical claims within another document's established ownership domain — as defined in Part IV of this memo — without explicit cross-reference to the owning document shall be considered non-compliant with series architecture. Non-compliant documents require revision to either: (a) remove the duplicated claim and replace it with a cross-reference to the owning document; or (b) explicitly justify the independent treatment as a different analytical function than the owning document's treatment, with the functional distinction stated in the text.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COMPLIANCE STANDARD: A claim is within another document's ownership domain when it answers the same analytical question at equivalent or greater depth. Restating a conclusion from the owning document in summary form, with explicit cross-reference, is permitted. Independently analyzing and concluding on the same question is not.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BORDERLINE CASE RESOLUTION RULE: If two sections in different series documents answer the same analytical question, automatic deferral is required. The question is: which document's ownership domain does this question most naturally belong to, per the ownership assignments in Part IV? The document outside that domain defers by cross-reference. There is no category of "healthy overlap" that permits both documents to answer the same question independently at equivalent analytical depth. Healthy overlap means the documents address the same domain from different analytical angles — the angles must be demonstrably different in analytical function, not just in wording.</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PUBLICATION GATE: No WP-2026 series paper shall be published, submitted, or distributed in a form that has not been reviewed against this enforcement rule. The review should confirm: (a) no claim within another document's ownership domain is made without cross-reference; (b) no direct series contradiction exists with any other series paper; and (c) the document's methodological note accurately states its series position per Part IV.</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III: Overlap Classification — Definitions and Resolution Thresholds</w:t>
      </w:r>
    </w:p>
    <w:p>
      <w:pPr>
        <w:spacing w:before="60" w:after="120"/>
        <w:jc w:val="both"/>
      </w:pPr>
      <w:r>
        <w:rPr>
          <w:rFonts w:ascii="Arial" w:cs="Arial" w:eastAsia="Arial" w:hAnsi="Arial"/>
          <w:b w:val="false"/>
          <w:bCs w:val="false"/>
          <w:i w:val="false"/>
          <w:iCs w:val="false"/>
          <w:color w:val="000000"/>
          <w:sz w:val="22"/>
          <w:szCs w:val="22"/>
        </w:rPr>
        <w:t xml:space="preserve">Three overlap categories apply to the series. The definitions and resolution thresholds are stated precisely enough to resolve borderline cases without case-by-case judgment.</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A5C2E" w:sz="18" w:space="0"/>
              <w:bottom w:val="none" w:color="FFFFFF" w:sz="0"/>
              <w:right w:val="none" w:color="FFFFFF" w:sz="0"/>
            </w:tcBorders>
            <w:shd w:fill="EAF4EC" w:val="clear"/>
            <w:tcMar>
              <w:top w:type="dxa" w:w="60"/>
              <w:left w:type="dxa" w:w="160"/>
              <w:bottom w:type="dxa" w:w="20"/>
              <w:right w:type="dxa" w:w="80"/>
            </w:tcMar>
          </w:tcPr>
          <w:p>
            <w:pPr>
              <w:spacing w:before="0" w:after="0"/>
            </w:pPr>
            <w:r>
              <w:rPr>
                <w:rFonts w:ascii="Arial" w:cs="Arial" w:eastAsia="Arial" w:hAnsi="Arial"/>
                <w:b/>
                <w:bCs/>
                <w:caps/>
                <w:color w:val="1A5C2E"/>
                <w:sz w:val="18"/>
                <w:szCs w:val="18"/>
              </w:rPr>
              <w:t xml:space="preserve">CATEGORY 1 — HEALTHY OVERLAP (Cross-Reference Required; No Revision)</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Definition: Two documents address the same analytical domain but from demonstrably different analytical angles that serve different decision functions. The analytical function must differ, not only the wording.</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Test: Can a reader use Document A's treatment without Document B's, and vice versa, for their respective purposes? If yes, the overlap is healthy. If one document's treatment makes the other's redundant for any reader, the overlap is not healthy.</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Resolution: Both documents must contain explicit cross-references to each other. Neither revises its treatment. The cross-reference identifies what the other document adds that this document does not provide.</w:t>
            </w:r>
          </w:p>
        </w:tc>
      </w:tr>
      <w:tr>
        <w:tc>
          <w:tcPr>
            <w:tcW w:type="dxa" w:w="8640"/>
            <w:tcBorders>
              <w:top w:val="none" w:color="FFFFFF" w:sz="0"/>
              <w:left w:val="single" w:color="1A5C2E" w:sz="18" w:space="0"/>
              <w:bottom w:val="single" w:color="EAF4EC" w:sz="4"/>
              <w:right w:val="none" w:color="FFFFFF" w:sz="0"/>
            </w:tcBorders>
            <w:shd w:fill="EAF4EC"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Example from this series: SIEGE-01 (channel-denial mechanism applicability) and SENI-ARCH-01 (node-level target financial attribution). Both address financial enforcement. Their analytical functions are different: SIEGE-01 addresses whether the mechanism is applicable for a given target tier; SENI addresses whether a specific named entity meets the evidentiary standard for designation action.</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CATEGORY 2 — REDUNDANT OVERLAP (Revision Required; One Document Defers)</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Definition: Two documents make the same analytical claim at equivalent depth. The owning document is the one whose exclusive domain assignment most naturally encompasses the question.</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Test: Do both documents independently analyze the same question and reach conclusions? If yes, the overlap is redundant. If one summarizes and cites the other, it is not redundant.</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Resolution: The non-owning document removes its independent treatment and replaces it with a cross-reference to the owning document's conclusion. The non-owning document may include a one-to-two sentence summary of the conclusion for reader convenience, with explicit citation.</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Example from this series: UNIFIED-01 Section 3 (authority operative mechanics) and SIEGE-01 Part V (per-channel legal authority and operative mechanics). Both independently analyze how Section 311, § 981(k), and related authorities operate. SIEGE-01 owns this; UNIFIED-01 must defer.</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CATEGORY 3 — BOUNDARY RISK (Immediate Resolution Required; Contradiction Risk)</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Definition: Two documents make conflicting analytical claims, or one document encroaches on another's ownership domain in a way that creates internal series inconsistency or analytical contradiction.</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Test: Can both claims be simultaneously true? If no, or if the claims produce different operational conclusions from the same premises, the overlap is a boundary risk.</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Resolution: Required immediately, before either document is published. The owning document's claim governs. The non-owning document must adopt the owning document's conclusion or explicitly state the analytical basis for a different conclusion, in which case the difference must be resolved by series architecture review before publication.</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Active example in this series: UNIFIED-01 Section 8.1 (fragmentation as positive performance signal) vs. SIEGE-01 Part VII (fragmentation as probable adverse outcome). This is a Category 3 boundary risk. SIEGE-01 owns the fragmentation assessment. UNIFIED-01 must adopt SIEGE-01's conclusion. Required edit specified in Part VII of this memo.</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IV: Document Ownership — Exclusive Domains</w:t>
      </w:r>
    </w:p>
    <w:p>
      <w:pPr>
        <w:spacing w:before="60" w:after="120"/>
        <w:jc w:val="both"/>
      </w:pPr>
      <w:r>
        <w:rPr>
          <w:rFonts w:ascii="Arial" w:cs="Arial" w:eastAsia="Arial" w:hAnsi="Arial"/>
          <w:b w:val="false"/>
          <w:bCs w:val="false"/>
          <w:i w:val="false"/>
          <w:iCs w:val="false"/>
          <w:color w:val="000000"/>
          <w:sz w:val="22"/>
          <w:szCs w:val="22"/>
        </w:rPr>
        <w:t xml:space="preserve">The following ownership assignments are derived from the actual text of each document. Ownership means: this document is the series' authoritative source for this analytical question. Other documents import its conclusions by cross-reference.</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A5C2E" w:sz="18" w:space="0"/>
              <w:bottom w:val="none" w:color="FFFFFF" w:sz="0"/>
              <w:right w:val="none" w:color="FFFFFF" w:sz="0"/>
            </w:tcBorders>
            <w:shd w:fill="EAF4EC" w:val="clear"/>
            <w:tcMar>
              <w:top w:type="dxa" w:w="60"/>
              <w:left w:type="dxa" w:w="160"/>
              <w:bottom w:type="dxa" w:w="20"/>
              <w:right w:type="dxa" w:w="80"/>
            </w:tcMar>
          </w:tcPr>
          <w:p>
            <w:pPr>
              <w:spacing w:before="0" w:after="0"/>
            </w:pPr>
            <w:r>
              <w:rPr>
                <w:rFonts w:ascii="Arial" w:cs="Arial" w:eastAsia="Arial" w:hAnsi="Arial"/>
                <w:b/>
                <w:bCs/>
                <w:caps/>
                <w:color w:val="1A5C2E"/>
                <w:sz w:val="18"/>
                <w:szCs w:val="18"/>
              </w:rPr>
              <w:t xml:space="preserve">PERSIST-01 — EXCLUSIVE OWNERSHIP DOMAIN</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five-pillar competitive statecraft architecture against PRC.</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six authority rails: Export Controls, Sanctions (IEEPA/OFAC), CFIUS, Defense Cooperation, Speech/Information, and International Law/Alliance — including hard limits, drafting rules, and FDPR extraterritoriality boundaries.</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tiered escalation ladder (Tier 0-3), Coalition-Risk Review requirements at Tier 2+, and Guardrail Index with four systemic stability indicators and Override Memorandum procedure.</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series standards-of-proof framework: Credible Signal, Confirmed Attribution, Material Enabling Behavior, and Systemic-Risk Threshold — including the distinction between statutory minimum and voluntary durability standard.</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neutral designation-selection rule: objective triggers, prohibited factor list, and designation-selection log as the primary defense exhibit against selective-enforcement challenge.</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stability architecture: crisis communications, published off-ramps, and guardrail-index procedural pause triggers.</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Coalition governance doctrine at the strategic level: coalition-first sequencing as a durability rule; allied concurrence standards (Tier 2: non-objection from at least one primary partner; Tier 3: affirmative written concurrence from at least two).</w:t>
            </w:r>
          </w:p>
        </w:tc>
      </w:tr>
      <w:tr>
        <w:tc>
          <w:tcPr>
            <w:tcW w:type="dxa" w:w="8640"/>
            <w:tcBorders>
              <w:top w:val="none" w:color="FFFFFF" w:sz="0"/>
              <w:left w:val="single" w:color="1A5C2E" w:sz="18" w:space="0"/>
              <w:bottom w:val="single" w:color="EAF4EC" w:sz="4"/>
              <w:right w:val="none" w:color="FFFFFF" w:sz="0"/>
            </w:tcBorders>
            <w:shd w:fill="EAF4EC"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model record artifacts: Designation Memorandum, Coalition-Risk Review Memorandum, Delisting/Off-Ramp Memorandum, and Guardrail Override Memorandum templates.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A5C2E" w:sz="18" w:space="0"/>
              <w:bottom w:val="none" w:color="FFFFFF" w:sz="0"/>
              <w:right w:val="none" w:color="FFFFFF" w:sz="0"/>
            </w:tcBorders>
            <w:shd w:fill="EAF4EC" w:val="clear"/>
            <w:tcMar>
              <w:top w:type="dxa" w:w="60"/>
              <w:left w:type="dxa" w:w="160"/>
              <w:bottom w:type="dxa" w:w="20"/>
              <w:right w:type="dxa" w:w="80"/>
            </w:tcMar>
          </w:tcPr>
          <w:p>
            <w:pPr>
              <w:spacing w:before="0" w:after="0"/>
            </w:pPr>
            <w:r>
              <w:rPr>
                <w:rFonts w:ascii="Arial" w:cs="Arial" w:eastAsia="Arial" w:hAnsi="Arial"/>
                <w:b/>
                <w:bCs/>
                <w:caps/>
                <w:color w:val="1A5C2E"/>
                <w:sz w:val="18"/>
                <w:szCs w:val="18"/>
              </w:rPr>
              <w:t xml:space="preserve">SENI-ARCH-01 — EXCLUSIVE OWNERSHIP DOMAIN</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three-layer product architecture for target-specific corpus work: Intelligence Estimate (L1), Enforcement Playbook (L2), and Strategic Model (L3) — including evidentiary standards, inference tolerance, and audience designations for each layer.</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Node-level targeting logic for the Russian nuclear fuel cycle: the 47-node index, D2 evidence tiering (D2=[1] through D2=[5-FININT/OSINT]), hard-stop conditions, and scoring model.</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Target-specific financial attribution at named-counterparty and named-bank level.</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System resilience modeling: cascade scenarios for UECC, ChMP, and Isotope JSC disruption; reactor dependency quantification; Western capacity constraint mapping.</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China Financial Escalation Ladder (CHN-01): seven-tier model; Tier 7 off-the-table designation; displacement exchange mechanism.</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OSINT ceiling doctrine and D2 evidence tiering as the mechanism for mapping the boundary between open-source analysis and classified intelligence requirements.</w:t>
            </w:r>
          </w:p>
        </w:tc>
      </w:tr>
      <w:tr>
        <w:tc>
          <w:tcPr>
            <w:tcW w:type="dxa" w:w="8640"/>
            <w:tcBorders>
              <w:top w:val="none" w:color="FFFFFF" w:sz="0"/>
              <w:left w:val="single" w:color="1A5C2E" w:sz="18" w:space="0"/>
              <w:bottom w:val="single" w:color="EAF4EC" w:sz="4"/>
              <w:right w:val="none" w:color="FFFFFF" w:sz="0"/>
            </w:tcBorders>
            <w:shd w:fill="EAF4EC"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Inter-layer analytical flow governance: L1 feeds L2 feeds L3 in one direction only.</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A5C2E" w:sz="18" w:space="0"/>
              <w:bottom w:val="none" w:color="FFFFFF" w:sz="0"/>
              <w:right w:val="none" w:color="FFFFFF" w:sz="0"/>
            </w:tcBorders>
            <w:shd w:fill="EAF4EC" w:val="clear"/>
            <w:tcMar>
              <w:top w:type="dxa" w:w="60"/>
              <w:left w:type="dxa" w:w="160"/>
              <w:bottom w:type="dxa" w:w="20"/>
              <w:right w:type="dxa" w:w="80"/>
            </w:tcMar>
          </w:tcPr>
          <w:p>
            <w:pPr>
              <w:spacing w:before="0" w:after="0"/>
            </w:pPr>
            <w:r>
              <w:rPr>
                <w:rFonts w:ascii="Arial" w:cs="Arial" w:eastAsia="Arial" w:hAnsi="Arial"/>
                <w:b/>
                <w:bCs/>
                <w:caps/>
                <w:color w:val="1A5C2E"/>
                <w:sz w:val="18"/>
                <w:szCs w:val="18"/>
              </w:rPr>
              <w:t xml:space="preserve">UNIFIED-01 — EXCLUSIVE OWNERSHIP DOMAIN</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cross-domain enforcement efficiency doctrine: that cartels, proliferation networks, and terrorist financing facilitators use shared shadow financial infrastructure, and that single designation actions produce cascading enforcement effects across multiple threat domains simultaneously.</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mapping of which statutory tools produce cross-domain cascading results and in what combination — not how those tools work mechanically, but why applying them simultaneously across domains produces multiplied effect.</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threat-based decision framework: which primary and supporting frameworks apply to each threat indicator type.</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cross-domain interagency coordination structure at bureau level across narcotics, terrorist financing, and proliferation finance simultaneously.</w:t>
            </w:r>
          </w:p>
        </w:tc>
      </w:tr>
      <w:tr>
        <w:tc>
          <w:tcPr>
            <w:tcW w:type="dxa" w:w="8640"/>
            <w:tcBorders>
              <w:top w:val="none" w:color="FFFFFF" w:sz="0"/>
              <w:left w:val="single" w:color="1A5C2E" w:sz="18" w:space="0"/>
              <w:bottom w:val="single" w:color="EAF4EC" w:sz="4"/>
              <w:right w:val="none" w:color="FFFFFF" w:sz="0"/>
            </w:tcBorders>
            <w:shd w:fill="EAF4EC"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Analytical readiness staging across domains: when intelligence, legal records, and coalition conditions for each domain reach the SIEGE-01 gate thresholds simultaneously — not mechanism theory, not authority mechanics, not quantitative outcome projections.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A5C2E" w:sz="18" w:space="0"/>
              <w:bottom w:val="none" w:color="FFFFFF" w:sz="0"/>
              <w:right w:val="none" w:color="FFFFFF" w:sz="0"/>
            </w:tcBorders>
            <w:shd w:fill="EAF4EC" w:val="clear"/>
            <w:tcMar>
              <w:top w:type="dxa" w:w="60"/>
              <w:left w:type="dxa" w:w="160"/>
              <w:bottom w:type="dxa" w:w="20"/>
              <w:right w:type="dxa" w:w="80"/>
            </w:tcMar>
          </w:tcPr>
          <w:p>
            <w:pPr>
              <w:spacing w:before="0" w:after="0"/>
            </w:pPr>
            <w:r>
              <w:rPr>
                <w:rFonts w:ascii="Arial" w:cs="Arial" w:eastAsia="Arial" w:hAnsi="Arial"/>
                <w:b/>
                <w:bCs/>
                <w:caps/>
                <w:color w:val="1A5C2E"/>
                <w:sz w:val="18"/>
                <w:szCs w:val="18"/>
              </w:rPr>
              <w:t xml:space="preserve">SIEGE-01 — EXCLUSIVE OWNERSHIP DOMAIN</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seven-channel financial access disruption framework as a mechanism paper: why sequential designation fails; what the seven channels constitute; and the cumulative cost-escalation logic that makes simultaneous channel pressure analytically different from sequential enforcement.</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network tier classification system (Tier A, B, C) based on USD-corridor dependency — the targeting applicability framework for the financial channel mechanism.</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five pre-deployment applicability gates (Tier Classification, Administrative Record Pre-Positioning, Coalition Status, Parallel Disruption Architecture, Continuity Assessment).</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failure mode analysis and reassessment protocols: the four failure modes, their observable indicators, and mandatory analytical responses — including the 60-day interruption threshold as an analytical boundary.</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fragmentation stop condition and its historical basis (Medellín/Cali/Arellano Félix). This is SIEGE-01's governing finding on fragmentation for the entire series. All series documents must adopt this assessment.</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jurisdictional limits layer: where each channel's enforcement reach degrades, including the proposition that the framework's reach is coextensive with U.S. financial system exposure.</w:t>
            </w:r>
          </w:p>
        </w:tc>
      </w:tr>
      <w:tr>
        <w:tc>
          <w:tcPr>
            <w:tcW w:type="dxa" w:w="8640"/>
            <w:tcBorders>
              <w:top w:val="none" w:color="FFFFFF" w:sz="0"/>
              <w:left w:val="single" w:color="1A5C2E" w:sz="18" w:space="0"/>
              <w:bottom w:val="none" w:color="FFFFFF" w:sz="0"/>
              <w:right w:val="none" w:color="FFFFFF" w:sz="0"/>
            </w:tcBorders>
            <w:shd w:fill="EAF4EC"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falsifiable observable indicators and mandatory analytical response protocols: specific, time-bounded, refutable conditions that update confidence in the framework's applicability.</w:t>
            </w:r>
          </w:p>
        </w:tc>
      </w:tr>
      <w:tr>
        <w:tc>
          <w:tcPr>
            <w:tcW w:type="dxa" w:w="8640"/>
            <w:tcBorders>
              <w:top w:val="none" w:color="FFFFFF" w:sz="0"/>
              <w:left w:val="single" w:color="1A5C2E" w:sz="18" w:space="0"/>
              <w:bottom w:val="single" w:color="EAF4EC" w:sz="4"/>
              <w:right w:val="none" w:color="FFFFFF" w:sz="0"/>
            </w:tcBorders>
            <w:shd w:fill="EAF4EC"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evasion counter-architecture for each channel: the specific legal responses to documented evasion tactics drawn from existing statutory authority.</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 UNIFIED-01 Boundary Restrictions — Prohibited Content</w:t>
      </w:r>
    </w:p>
    <w:p>
      <w:pPr>
        <w:spacing w:before="60" w:after="120"/>
        <w:jc w:val="both"/>
      </w:pPr>
      <w:r>
        <w:rPr>
          <w:rFonts w:ascii="Arial" w:cs="Arial" w:eastAsia="Arial" w:hAnsi="Arial"/>
          <w:b w:val="false"/>
          <w:bCs w:val="false"/>
          <w:i w:val="false"/>
          <w:iCs w:val="false"/>
          <w:color w:val="000000"/>
          <w:sz w:val="22"/>
          <w:szCs w:val="22"/>
        </w:rPr>
        <w:t xml:space="preserve">UNIFIED-01 presents the highest series collapse risk because its cross-domain synthesis role creates an incentive to import mechanism theory, authority mechanics, and implementation logic from SIEGE-01 rather than cross-referencing them. The following restrictions are therefore stated as explicit prohibitions, not general guidance.</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UNIFIED-01 — PROHIBITED CONTENT</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PROHIBITED: Descriptions of how any of the seven financial access channels operates mechanically, including operative mechanics, evasion counter-architecture, or jurisdictional boundary analysis. These belong to SIEGE-01 Part V. UNIFIED-01 may state which channels are applicable to which threat domain; it may not describe how those channels work.</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PROHIBITED: Restatement of the seven-channel cumulative cost-escalation theory, the Tier A/B/C classification logic, the failure mode analysis, the fragmentation stop condition, or the falsifiable indicator framework. These belong to SIEGE-01. UNIFIED-01 must import them by cross-reference.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PROHIBITED: Quantitative outcome projections — specific percentage ranges for cost inflation, revenue degradation, asset forfeitures, or network capacity reduction. SIEGE-01 Rev 7.0 explicitly withdraws such projections as unsupported by the available public evidentiary base. UNIFIED-01 cannot reintroduce them. Directional indicators consistent with SIEGE-01's falsifiable indicator framework are permitted.</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PROHIBITED: Calendar-based phased implementation sequencing that specifies execution timelines (Days 1-90, Days 91-180, etc.). This constitutes operational instruction and conflicts with SIEGE-01's gate-based applicability framework. UNIFIED-01 may describe analytical readiness staging — when gate conditions across all three domains are simultaneously satisfied — but not execution timelines.</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PROHIBITED: Independent interpretation of IEEPA, Section 311, § 981(k), § 5323, or any other statutory authority that conflicts with or duplicates PERSIST-01's authority rail analysis or SIEGE-01's per-channel legal architecture. UNIFIED-01 may describe cross-domain application of these authorities; it may not independently analyze their operative mechanics.</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PROHIBITED: Framing network fragmentation as a positive performance signal or network degradation indicator. SIEGE-01 Part VII establishes — as the series governing finding — that fragmentation without parallel organizational disruption is a probable adverse outcome. UNIFIED-01 must adopt this assessment.</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UNIFIED-01 — PERMITTED CONTENT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cross-domain shared infrastructure doctrine: why the same shadow financial nodes serve narcotics, proliferation, and terrorist financing simultaneously.</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Cross-domain application logic: why applying SIEGE-01's mechanism across three domains simultaneously produces enforcement efficiencies that single-domain application does not.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threat-based decision framework: which primary and supporting frameworks address each threat indicator type, without describing how those frameworks operate.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Interagency coordination mapping at the bureau level across all three domains.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Directional outcome indicators consistent with SIEGE-01's falsifiable indicator framework.</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Cross-references to SIEGE-01, PERSIST-01, and domain-specific papers (ARCH-03, CTF-01, CPF-02) for all mechanism theory, authority analysis, and implementation logic.</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 Series Failure Conditions</w:t>
      </w:r>
    </w:p>
    <w:p>
      <w:pPr>
        <w:spacing w:before="60" w:after="120"/>
        <w:jc w:val="both"/>
      </w:pPr>
      <w:r>
        <w:rPr>
          <w:rFonts w:ascii="Arial" w:cs="Arial" w:eastAsia="Arial" w:hAnsi="Arial"/>
          <w:b w:val="false"/>
          <w:bCs w:val="false"/>
          <w:i w:val="false"/>
          <w:iCs w:val="false"/>
          <w:color w:val="000000"/>
          <w:sz w:val="22"/>
          <w:szCs w:val="22"/>
        </w:rPr>
        <w:t xml:space="preserve">This section defines the conditions under which the WP-2026 series fails as an analytical system — not the conditions under which individual papers fail analytically, but the conditions under which the series' internal coherence, external credibility, and institutional survivability break down. These are distinct failure modes from those addressed within individual papers.</w:t>
      </w:r>
    </w:p>
    <w:p>
      <w:pPr>
        <w:spacing w:before="60" w:after="120"/>
        <w:jc w:val="both"/>
      </w:pPr>
      <w:r>
        <w:rPr>
          <w:rFonts w:ascii="Arial" w:cs="Arial" w:eastAsia="Arial" w:hAnsi="Arial"/>
          <w:b w:val="false"/>
          <w:bCs w:val="false"/>
          <w:i w:val="false"/>
          <w:iCs w:val="false"/>
          <w:color w:val="000000"/>
          <w:sz w:val="22"/>
          <w:szCs w:val="22"/>
        </w:rPr>
        <w:t xml:space="preserve">A series failure condition is a state in which the series architecture itself produces a vulnerability that makes the entire corpus less credible than any individual paper within it. A reviewer who finds a series failure condition uses it to discount all papers, not only the one where the failure originated.</w:t>
      </w:r>
    </w:p>
    <w:p>
      <w:pPr>
        <w:pStyle w:val="Heading3"/>
        <w:spacing w:before="180" w:after="60"/>
      </w:pPr>
      <w:r>
        <w:rPr>
          <w:rFonts w:ascii="Arial" w:cs="Arial" w:eastAsia="Arial" w:hAnsi="Arial"/>
          <w:b/>
          <w:bCs/>
          <w:color w:val="4A5568"/>
          <w:sz w:val="22"/>
          <w:szCs w:val="22"/>
        </w:rPr>
        <w:t xml:space="preserve">Series Failure Condition 1: Cross-Document Analytical Contradiction</w:t>
      </w:r>
    </w:p>
    <w:p>
      <w:pPr>
        <w:spacing w:before="60" w:after="120"/>
        <w:jc w:val="both"/>
      </w:pPr>
      <w:r>
        <w:rPr>
          <w:rFonts w:ascii="Arial" w:cs="Arial" w:eastAsia="Arial" w:hAnsi="Arial"/>
          <w:b w:val="false"/>
          <w:bCs w:val="false"/>
          <w:i w:val="false"/>
          <w:iCs w:val="false"/>
          <w:color w:val="000000"/>
          <w:sz w:val="22"/>
          <w:szCs w:val="22"/>
        </w:rPr>
        <w:t xml:space="preserve">When two series papers reach conflicting conclusions on the same analytical question, a reviewer cannot determine which paper is authoritative without information external to the series. The conflict discredits both papers. The fragmentation contradiction between SIEGE-01 and UNIFIED-01 is the active example. It must be resolved before either paper is finalized.</w:t>
      </w:r>
    </w:p>
    <w:p>
      <w:pPr>
        <w:spacing w:before="60" w:after="120"/>
        <w:jc w:val="both"/>
      </w:pPr>
      <w:r>
        <w:rPr>
          <w:rFonts w:ascii="Arial" w:cs="Arial" w:eastAsia="Arial" w:hAnsi="Arial"/>
          <w:b w:val="false"/>
          <w:bCs w:val="false"/>
          <w:i w:val="false"/>
          <w:iCs w:val="false"/>
          <w:color w:val="000000"/>
          <w:sz w:val="22"/>
          <w:szCs w:val="22"/>
        </w:rPr>
        <w:t xml:space="preserve">Detection: Review each analytical conclusion in each paper against the conclusions of all other series papers on the same question. A conclusion that cannot simultaneously be true with a conclusion in another series paper is a Category 3 boundary risk under Part III and a series failure condition under this section.</w:t>
      </w:r>
    </w:p>
    <w:p>
      <w:pPr>
        <w:spacing w:before="60" w:after="120"/>
        <w:jc w:val="both"/>
      </w:pPr>
      <w:r>
        <w:rPr>
          <w:rFonts w:ascii="Arial" w:cs="Arial" w:eastAsia="Arial" w:hAnsi="Arial"/>
          <w:b w:val="false"/>
          <w:bCs w:val="false"/>
          <w:i w:val="false"/>
          <w:iCs w:val="false"/>
          <w:color w:val="000000"/>
          <w:sz w:val="22"/>
          <w:szCs w:val="22"/>
        </w:rPr>
        <w:t xml:space="preserve">Prevention: The architecture enforcement rule in Part II. The ownership assignments in Part IV. The cross-reference requirements in Part VII.</w:t>
      </w:r>
    </w:p>
    <w:p>
      <w:pPr>
        <w:pStyle w:val="Heading3"/>
        <w:spacing w:before="180" w:after="60"/>
      </w:pPr>
      <w:r>
        <w:rPr>
          <w:rFonts w:ascii="Arial" w:cs="Arial" w:eastAsia="Arial" w:hAnsi="Arial"/>
          <w:b/>
          <w:bCs/>
          <w:color w:val="4A5568"/>
          <w:sz w:val="22"/>
          <w:szCs w:val="22"/>
        </w:rPr>
        <w:t xml:space="preserve">Series Failure Condition 2: Evidentiary Standard Mismatch</w:t>
      </w:r>
    </w:p>
    <w:p>
      <w:pPr>
        <w:spacing w:before="60" w:after="120"/>
        <w:jc w:val="both"/>
      </w:pPr>
      <w:r>
        <w:rPr>
          <w:rFonts w:ascii="Arial" w:cs="Arial" w:eastAsia="Arial" w:hAnsi="Arial"/>
          <w:b w:val="false"/>
          <w:bCs w:val="false"/>
          <w:i w:val="false"/>
          <w:iCs w:val="false"/>
          <w:color w:val="000000"/>
          <w:sz w:val="22"/>
          <w:szCs w:val="22"/>
        </w:rPr>
        <w:t xml:space="preserve">When different series papers apply different evidentiary standards to the same type of analytical claim, the series as a whole cannot be assessed as operating to a consistent standard. A reviewer comparing SENI's D2 evidence tiering, PERSIST's Confirmed Attribution threshold, and a paper that makes untiered analytical claims will identify the inconsistency and use it to question the series' overall analytical discipline.</w:t>
      </w:r>
    </w:p>
    <w:p>
      <w:pPr>
        <w:spacing w:before="60" w:after="120"/>
        <w:jc w:val="both"/>
      </w:pPr>
      <w:r>
        <w:rPr>
          <w:rFonts w:ascii="Arial" w:cs="Arial" w:eastAsia="Arial" w:hAnsi="Arial"/>
          <w:b w:val="false"/>
          <w:bCs w:val="false"/>
          <w:i w:val="false"/>
          <w:iCs w:val="false"/>
          <w:color w:val="000000"/>
          <w:sz w:val="22"/>
          <w:szCs w:val="22"/>
        </w:rPr>
        <w:t xml:space="preserve">Detection: Every paper that makes a consequential analytical claim about a specific entity, institution, or financial flow should be assessable against a standard consistent with PERSIST-01 Section 4 and SENI-ARCH-01's D2 tiering. A claim that cannot be so assessed — because no evidentiary standard is stated — is a potential mismatch.</w:t>
      </w:r>
    </w:p>
    <w:p>
      <w:pPr>
        <w:spacing w:before="60" w:after="120"/>
        <w:jc w:val="both"/>
      </w:pPr>
      <w:r>
        <w:rPr>
          <w:rFonts w:ascii="Arial" w:cs="Arial" w:eastAsia="Arial" w:hAnsi="Arial"/>
          <w:b w:val="false"/>
          <w:bCs w:val="false"/>
          <w:i w:val="false"/>
          <w:iCs w:val="false"/>
          <w:color w:val="000000"/>
          <w:sz w:val="22"/>
          <w:szCs w:val="22"/>
        </w:rPr>
        <w:t xml:space="preserve">Prevention: The Methodological Note cross-reference requirement (Part VIII, Insert 1) positions each paper in the SENI product layer architecture. Gate 2 in SIEGE-01 requires administrative records to meet the SENI D2=[5-OSINT] standard for named-institution claims.</w:t>
      </w:r>
    </w:p>
    <w:p>
      <w:pPr>
        <w:pStyle w:val="Heading3"/>
        <w:spacing w:before="180" w:after="60"/>
      </w:pPr>
      <w:r>
        <w:rPr>
          <w:rFonts w:ascii="Arial" w:cs="Arial" w:eastAsia="Arial" w:hAnsi="Arial"/>
          <w:b/>
          <w:bCs/>
          <w:color w:val="4A5568"/>
          <w:sz w:val="22"/>
          <w:szCs w:val="22"/>
        </w:rPr>
        <w:t xml:space="preserve">Series Failure Condition 3: Authority Interpretation Divergence</w:t>
      </w:r>
    </w:p>
    <w:p>
      <w:pPr>
        <w:spacing w:before="60" w:after="120"/>
        <w:jc w:val="both"/>
      </w:pPr>
      <w:r>
        <w:rPr>
          <w:rFonts w:ascii="Arial" w:cs="Arial" w:eastAsia="Arial" w:hAnsi="Arial"/>
          <w:b w:val="false"/>
          <w:bCs w:val="false"/>
          <w:i w:val="false"/>
          <w:iCs w:val="false"/>
          <w:color w:val="000000"/>
          <w:sz w:val="22"/>
          <w:szCs w:val="22"/>
        </w:rPr>
        <w:t xml:space="preserve">When two series papers independently interpret the same statutory authority and reach different conclusions about its scope, limits, or applicable evidentiary standard, the series presents inconsistent legal analysis. A legal reviewer will identify the divergence and use it to challenge the legal architecture of both papers. PERSIST-01 owns authority analysis for the series precisely to prevent this condition.</w:t>
      </w:r>
    </w:p>
    <w:p>
      <w:pPr>
        <w:spacing w:before="60" w:after="120"/>
        <w:jc w:val="both"/>
      </w:pPr>
      <w:r>
        <w:rPr>
          <w:rFonts w:ascii="Arial" w:cs="Arial" w:eastAsia="Arial" w:hAnsi="Arial"/>
          <w:b w:val="false"/>
          <w:bCs w:val="false"/>
          <w:i w:val="false"/>
          <w:iCs w:val="false"/>
          <w:color w:val="000000"/>
          <w:sz w:val="22"/>
          <w:szCs w:val="22"/>
        </w:rPr>
        <w:t xml:space="preserve">Detection: Any series paper that independently interprets a statutory authority (IEEPA, Section 311, § 981(k), FDPR, § 2339B) without cross-referencing PERSIST-01's governing analysis is a potential divergence point. The test is not whether the conclusions match — they may — but whether the analysis is independent or derivative.</w:t>
      </w:r>
    </w:p>
    <w:p>
      <w:pPr>
        <w:spacing w:before="60" w:after="120"/>
        <w:jc w:val="both"/>
      </w:pPr>
      <w:r>
        <w:rPr>
          <w:rFonts w:ascii="Arial" w:cs="Arial" w:eastAsia="Arial" w:hAnsi="Arial"/>
          <w:b w:val="false"/>
          <w:bCs w:val="false"/>
          <w:i w:val="false"/>
          <w:iCs w:val="false"/>
          <w:color w:val="000000"/>
          <w:sz w:val="22"/>
          <w:szCs w:val="22"/>
        </w:rPr>
        <w:t xml:space="preserve">Prevention: The cross-reference architecture in Part VII routes all authority analysis through PERSIST-01. The UNIFIED-01 prohibited content list in Part V prevents independent authority interpretation in the cross-domain application document.</w:t>
      </w:r>
    </w:p>
    <w:p>
      <w:pPr>
        <w:pStyle w:val="Heading3"/>
        <w:spacing w:before="180" w:after="60"/>
      </w:pPr>
      <w:r>
        <w:rPr>
          <w:rFonts w:ascii="Arial" w:cs="Arial" w:eastAsia="Arial" w:hAnsi="Arial"/>
          <w:b/>
          <w:bCs/>
          <w:color w:val="4A5568"/>
          <w:sz w:val="22"/>
          <w:szCs w:val="22"/>
        </w:rPr>
        <w:t xml:space="preserve">Series Failure Condition 4: Drift Toward Operational Prescription</w:t>
      </w:r>
    </w:p>
    <w:p>
      <w:pPr>
        <w:spacing w:before="60" w:after="120"/>
        <w:jc w:val="both"/>
      </w:pPr>
      <w:r>
        <w:rPr>
          <w:rFonts w:ascii="Arial" w:cs="Arial" w:eastAsia="Arial" w:hAnsi="Arial"/>
          <w:b w:val="false"/>
          <w:bCs w:val="false"/>
          <w:i w:val="false"/>
          <w:iCs w:val="false"/>
          <w:color w:val="000000"/>
          <w:sz w:val="22"/>
          <w:szCs w:val="22"/>
        </w:rPr>
        <w:t xml:space="preserve">When series papers progressively adopt directive, prescriptive, or execution-oriented language, the series loses its analytic posture and begins to function as an operational document. This changes the legal exposure of the series, reduces its institutional credibility with academic and government reviewers, and makes it more vulnerable to characterization as advocacy rather than analysis.</w:t>
      </w:r>
    </w:p>
    <w:p>
      <w:pPr>
        <w:spacing w:before="60" w:after="120"/>
        <w:jc w:val="both"/>
      </w:pPr>
      <w:r>
        <w:rPr>
          <w:rFonts w:ascii="Arial" w:cs="Arial" w:eastAsia="Arial" w:hAnsi="Arial"/>
          <w:b w:val="false"/>
          <w:bCs w:val="false"/>
          <w:i w:val="false"/>
          <w:iCs w:val="false"/>
          <w:color w:val="000000"/>
          <w:sz w:val="22"/>
          <w:szCs w:val="22"/>
        </w:rPr>
        <w:t xml:space="preserve">Detection: Review the series papers for directive voice (must, shall, should immediately, authorize), quantitative precision that is not supported by the evidentiary base, and implementation language (Phase 1, Day 1-90, execute, deploy). Any paper that uses this language without the analytical framing that converts it to conditional assessment is drifting toward operational prescription.</w:t>
      </w:r>
    </w:p>
    <w:p>
      <w:pPr>
        <w:spacing w:before="60" w:after="120"/>
        <w:jc w:val="both"/>
      </w:pPr>
      <w:r>
        <w:rPr>
          <w:rFonts w:ascii="Arial" w:cs="Arial" w:eastAsia="Arial" w:hAnsi="Arial"/>
          <w:b w:val="false"/>
          <w:bCs w:val="false"/>
          <w:i w:val="false"/>
          <w:iCs w:val="false"/>
          <w:color w:val="000000"/>
          <w:sz w:val="22"/>
          <w:szCs w:val="22"/>
        </w:rPr>
        <w:t xml:space="preserve">Prevention: SIEGE-01 Rev 7.0's institutional hardening pass (the transition from execution gates to applicability conditions) is the model. The language conversion table in PERSIST-01 Section 8 governs. SAM-01's governing document status means that new papers must conform to these standards at initial drafting, not only at revision.</w:t>
      </w:r>
    </w:p>
    <w:p>
      <w:pPr>
        <w:pStyle w:val="Heading3"/>
        <w:spacing w:before="180" w:after="60"/>
      </w:pPr>
      <w:r>
        <w:rPr>
          <w:rFonts w:ascii="Arial" w:cs="Arial" w:eastAsia="Arial" w:hAnsi="Arial"/>
          <w:b/>
          <w:bCs/>
          <w:color w:val="4A5568"/>
          <w:sz w:val="22"/>
          <w:szCs w:val="22"/>
        </w:rPr>
        <w:t xml:space="preserve">Series Failure Condition 5: Unauthorized Series Extension</w:t>
      </w:r>
    </w:p>
    <w:p>
      <w:pPr>
        <w:spacing w:before="60" w:after="120"/>
        <w:jc w:val="both"/>
      </w:pPr>
      <w:r>
        <w:rPr>
          <w:rFonts w:ascii="Arial" w:cs="Arial" w:eastAsia="Arial" w:hAnsi="Arial"/>
          <w:b w:val="false"/>
          <w:bCs w:val="false"/>
          <w:i w:val="false"/>
          <w:iCs w:val="false"/>
          <w:color w:val="000000"/>
          <w:sz w:val="22"/>
          <w:szCs w:val="22"/>
        </w:rPr>
        <w:t xml:space="preserve">When a new paper is introduced to the series without completing a series architecture review against this memo, it may inadvertently claim ownership of analytical questions already owned by existing papers, create new redundancies, or introduce analytical frameworks that conflict with established series positions.</w:t>
      </w:r>
    </w:p>
    <w:p>
      <w:pPr>
        <w:spacing w:before="60" w:after="120"/>
        <w:jc w:val="both"/>
      </w:pPr>
      <w:r>
        <w:rPr>
          <w:rFonts w:ascii="Arial" w:cs="Arial" w:eastAsia="Arial" w:hAnsi="Arial"/>
          <w:b w:val="false"/>
          <w:bCs w:val="false"/>
          <w:i w:val="false"/>
          <w:iCs w:val="false"/>
          <w:color w:val="000000"/>
          <w:sz w:val="22"/>
          <w:szCs w:val="22"/>
        </w:rPr>
        <w:t xml:space="preserve">Detection: Any new paper introduced to the WP-2026 series should be reviewed against Part IV ownership assignments before finalization. A new paper that independently develops analytical frameworks in areas already owned by existing papers — without cross-referencing those papers — is an unauthorized extension.</w:t>
      </w:r>
    </w:p>
    <w:p>
      <w:pPr>
        <w:spacing w:before="60" w:after="120"/>
        <w:jc w:val="both"/>
      </w:pPr>
      <w:r>
        <w:rPr>
          <w:rFonts w:ascii="Arial" w:cs="Arial" w:eastAsia="Arial" w:hAnsi="Arial"/>
          <w:b w:val="false"/>
          <w:bCs w:val="false"/>
          <w:i w:val="false"/>
          <w:iCs w:val="false"/>
          <w:color w:val="000000"/>
          <w:sz w:val="22"/>
          <w:szCs w:val="22"/>
        </w:rPr>
        <w:t xml:space="preserve">Prevention: The publication gate requirement in the Architecture Enforcement Rule (Part II). New papers must complete a series architecture review against SAM-01 before publication.</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VII: The SIEGE-01 ↔ UNIFIED-01 Boundary Rule</w:t>
      </w:r>
    </w:p>
    <w:p>
      <w:pPr>
        <w:spacing w:before="60" w:after="120"/>
        <w:jc w:val="both"/>
      </w:pPr>
      <w:r>
        <w:rPr>
          <w:rFonts w:ascii="Arial" w:cs="Arial" w:eastAsia="Arial" w:hAnsi="Arial"/>
          <w:b w:val="false"/>
          <w:bCs w:val="false"/>
          <w:i w:val="false"/>
          <w:iCs w:val="false"/>
          <w:color w:val="000000"/>
          <w:sz w:val="22"/>
          <w:szCs w:val="22"/>
        </w:rPr>
        <w:t xml:space="preserve">This boundary is the most consequential editorial rule in the series because these two documents are the most likely to collapse into each other. The rule is stated with sufficient precision to govern both documents going forward.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THE BOUNDARY RULE — SIEGE-01 vs. UNIFIED-01</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SIEGE-01 owns: How the mechanism works. Why simultaneous channel pressure produces different cost conditions than sequential enforcement. The conditions under which the mechanism is analytically applicable. What failure looks like during deployment. When the mechanism should not be deployed. Where the mechanism's jurisdictional reach ends.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UNIFIED-01 owns: Why this mechanism is applicable across multiple threat domains simultaneously. How shared shadow financial infrastructure enables cross-domain cascading effects from single enforcement actions. Which statutory tools produce cross-domain results — not how they work, but why applying them simultaneously across domains produces multiplied effect. How the interagency coordination structure maps across domains.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test for any paragraph in either document: Does it explain how the mechanism works? → SIEGE-01. Does it explain why applying the mechanism across multiple domains simultaneously is analytically justified? → UNIFIED-01.</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compliance test: A UNIFIED-01 paragraph that could be moved to SIEGE-01 without loss of meaning is redundant and must be replaced with a cross-reference. A SIEGE-01 paragraph that requires knowledge of what the cross-domain threat environment looks like — rather than what the mechanism does — belongs in UNIFIED-01.</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VIII: Overlap Matrix — By Document Pair</w:t>
      </w:r>
    </w:p>
    <w:p>
      <w:pPr>
        <w:pStyle w:val="Heading2"/>
        <w:spacing w:before="240" w:after="80"/>
      </w:pPr>
      <w:r>
        <w:rPr>
          <w:rFonts w:ascii="Arial" w:cs="Arial" w:eastAsia="Arial" w:hAnsi="Arial"/>
          <w:b/>
          <w:bCs/>
          <w:color w:val="1B2A4A"/>
          <w:sz w:val="24"/>
          <w:szCs w:val="24"/>
        </w:rPr>
        <w:t xml:space="preserve">8.1 SIEGE-01 ↔ PERSIST-01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24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Overlap Area</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SIEGE-01 Treatment</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PERSIST-01 Treatment</w:t>
            </w:r>
          </w:p>
        </w:tc>
        <w:tc>
          <w:tcPr>
            <w:tcW w:type="dxa" w:w="32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Category and Resolution</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Legal survivability posture</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2 APA-sustainability standard; per-channel litigation resilience table (Part VIII)</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Authority rails Section 2; Appendix A tool-by-tool authority mapping with hard limits and evidentiary basis</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1 (Healthy). Different analytical functions: PERSIST owns general authority-rail doctrine; SIEGE owns channel-specific application. SIEGE-01 Part VIII must cross-reference PERSIST-01 Section 2 and Appendix A as the series authority-rail foundation.</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Coalition governance</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3 binary coalition status determination</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Coalition-Risk Review Memorandum template; concurrence vs. non-objection standards; recorded dissent procedure</w:t>
            </w:r>
          </w:p>
        </w:tc>
        <w:tc>
          <w:tcPr>
            <w:tcW w:type="dxa" w:w="3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CATEGORY 1 (Healthy). PERSIST owns coalition governance doctrine; SIEGE applies it as a gate condition. Gate 3 must cross-reference PERSIST-01 Section 3 standards explicitly. The PERSIST-01 Coalition-Risk Review Memorandum template (Appendix B.2) should be referenced as the required documentation format.</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Evidence-gating logic</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2 APA-sustainability standard</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Standards-of-proof framework: Credible Signal through Systemic-Risk Threshold</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2 (Redundant). PERSIST owns the series evidentiary standards. SIEGE-01 Gate 2 must cross-reference PERSIST-01 Section 4 Confirmed Attribution standard rather than stating evidentiary requirements independently. Required insert specified in Part IX.</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Reversibility and off-ramps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Failure mode reassessment protocols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Published off-ramps doctrine: specific, verifiable, pre-committed (Section 7.2)</w:t>
            </w:r>
          </w:p>
        </w:tc>
        <w:tc>
          <w:tcPr>
            <w:tcW w:type="dxa" w:w="3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CATEGORY 1 (Healthy). PERSIST owns the off-ramp doctrine; SIEGE's failure mode protocols are the mechanism-specific application. SIEGE-01 Part III must cross-reference PERSIST-01 Section 7.2 reversibility principle.</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Neutral selection and prohibited factors</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Non-transferability clause (Notice block)</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Neutral designation-selection rule: objective triggers, prohibited factor list, selection log</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2 (Redundant). PERSIST owns neutral selection doctrine. SIEGE-01 Notice block must add explicit cross-reference to PERSIST-01 Section 5. Required insert specified in Part IX.</w:t>
            </w:r>
          </w:p>
        </w:tc>
      </w:tr>
    </w:tbl>
    <w:p>
      <w:pPr>
        <w:spacing w:before="60" w:after="120"/>
      </w:pPr>
      <w:r>
        <w:rPr>
          <w:rFonts w:ascii="Arial" w:cs="Arial" w:eastAsia="Arial" w:hAnsi="Arial"/>
          <w:i/>
          <w:iCs/>
          <w:color w:val="4A5568"/>
          <w:sz w:val="18"/>
          <w:szCs w:val="18"/>
        </w:rPr>
        <w:t xml:space="preserve">Table 1: SIEGE-01 ↔ PERSIST-01 Overlap Matrix.</w:t>
      </w:r>
    </w:p>
    <w:p>
      <w:pPr>
        <w:spacing w:before="0" w:after="160"/>
      </w:pPr>
      <w:r>
        <w:rPr>
          <w:sz w:val="2"/>
          <w:szCs w:val="2"/>
        </w:rPr>
        <w:t xml:space="preserve"/>
      </w:r>
    </w:p>
    <w:p>
      <w:pPr>
        <w:pStyle w:val="Heading2"/>
        <w:spacing w:before="240" w:after="80"/>
      </w:pPr>
      <w:r>
        <w:rPr>
          <w:rFonts w:ascii="Arial" w:cs="Arial" w:eastAsia="Arial" w:hAnsi="Arial"/>
          <w:b/>
          <w:bCs/>
          <w:color w:val="1B2A4A"/>
          <w:sz w:val="24"/>
          <w:szCs w:val="24"/>
        </w:rPr>
        <w:t xml:space="preserve">8.2 SIEGE-01 ↔ SENI-ARCH-01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24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Overlap Area</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SIEGE-01 Treatment</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SENI Treatment</w:t>
            </w:r>
          </w:p>
        </w:tc>
        <w:tc>
          <w:tcPr>
            <w:tcW w:type="dxa" w:w="32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Category and Resolution</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Evidentiary tiering for target financial claims</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1 Tier Classification based on documented financial intelligence</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D2 evidence tiering system; hard-stop conditions; OSINT ceiling doctrine</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1 (Healthy). Different analytical functions: SIEGE addresses channel-level deployment decision; SENI addresses named-entity financial attribution. Gate 1 must cross-reference SENI D2=[5-OSINT] standard for named-bank claims.</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Financial pathway analysis at named-institution level</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Channel-level financial architecture; no named-institution analysis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Named-entity and named-bank pathway analysis at D2=[5-OSINT]</w:t>
            </w:r>
          </w:p>
        </w:tc>
        <w:tc>
          <w:tcPr>
            <w:tcW w:type="dxa" w:w="3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CATEGORY 1 (Healthy). No redundancy. SENI owns named-institution analysis; SIEGE operates at channel level. SIEGE-01 must note that Gate 2 record pre-positioning requires intelligence to SENI-equivalent evidentiary standards for named-institution designation actions.</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Product layer positioning</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Implicit single-layer product</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Three-layer product architecture: L1 Intelligence Estimate, L2 Enforcement Playbook, L3 Strategic Model</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2 (Redundant — positional). SENI-ARCH-01 owns the product layer architecture for the series. SIEGE-01 operates as a Layer 3 Strategic Model document and must state this explicitly in its Methodological Note. Required insert specified in Part IX.</w:t>
            </w:r>
          </w:p>
        </w:tc>
      </w:tr>
    </w:tbl>
    <w:p>
      <w:pPr>
        <w:spacing w:before="60" w:after="120"/>
      </w:pPr>
      <w:r>
        <w:rPr>
          <w:rFonts w:ascii="Arial" w:cs="Arial" w:eastAsia="Arial" w:hAnsi="Arial"/>
          <w:i/>
          <w:iCs/>
          <w:color w:val="4A5568"/>
          <w:sz w:val="18"/>
          <w:szCs w:val="18"/>
        </w:rPr>
        <w:t xml:space="preserve">Table 2: SIEGE-01 ↔ SENI-ARCH-01 Overlap Matrix.</w:t>
      </w:r>
    </w:p>
    <w:p>
      <w:pPr>
        <w:spacing w:before="0" w:after="160"/>
      </w:pPr>
      <w:r>
        <w:rPr>
          <w:sz w:val="2"/>
          <w:szCs w:val="2"/>
        </w:rPr>
        <w:t xml:space="preserve"/>
      </w:r>
    </w:p>
    <w:p>
      <w:pPr>
        <w:pStyle w:val="Heading2"/>
        <w:spacing w:before="240" w:after="80"/>
      </w:pPr>
      <w:r>
        <w:rPr>
          <w:rFonts w:ascii="Arial" w:cs="Arial" w:eastAsia="Arial" w:hAnsi="Arial"/>
          <w:b/>
          <w:bCs/>
          <w:color w:val="1B2A4A"/>
          <w:sz w:val="24"/>
          <w:szCs w:val="24"/>
        </w:rPr>
        <w:t xml:space="preserve">8.3 SIEGE-01 ↔ UNIFIED-01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24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Overlap Area</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SIEGE-01 Treatment</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UNIFIED-01 Treatment</w:t>
            </w:r>
          </w:p>
        </w:tc>
        <w:tc>
          <w:tcPr>
            <w:tcW w:type="dxa" w:w="32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Category and Resolution</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Seven-channel mechanism theory</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Full analytic framework (Parts I-VII)</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Implicit restatement in Section 3 cross-domain application and Section 5 phased implementation</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2 (Redundant). SIEGE-01 OWNS. UNIFIED-01 must remove mechanism restatement and import by cross-reference.</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Authority operative mechanics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Per-channel legal authority, operative mechanic, evasion counter-architecture (Part V)</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Section 3.1-3.3: per-authority cross-domain operative mechanic description at significant depth</w:t>
            </w:r>
          </w:p>
        </w:tc>
        <w:tc>
          <w:tcPr>
            <w:tcW w:type="dxa" w:w="3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CATEGORY 2 (Redundant). SIEGE-01 OWNS operative mechanics. UNIFIED-01 Section 3 must reduce to cross-domain application logic only and cross-reference SIEGE-01 Part V.</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Effectiveness metrics</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Falsifiable observable indicators with mandatory response protocols (Part XII)</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Quantitative KPIs: specific percentage ranges, dollar projections, milestone targets</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3 (Boundary Risk — direct contradiction). SIEGE-01 explicitly withdraws quantitative projections as unsupported. UNIFIED-01 cannot reintroduce them. UNIFIED-01 must replace Section 8 KPIs with directional indicators consistent with SIEGE-01's falsifiable indicator framework.</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Fragmentation assessment</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Fragmentation = probable adverse outcome requiring parallel disruption architecture (Part VII)</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Fragmentation = positive "network degradation indicator" (Section 8.1)</w:t>
            </w:r>
          </w:p>
        </w:tc>
        <w:tc>
          <w:tcPr>
            <w:tcW w:type="dxa" w:w="3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CATEGORY 3 (Boundary Risk — DIRECT SERIES CONTRADICTION). SIEGE-01 OWNS. Required edit to UNIFIED-01 Section 8.1 specified in Part IX of this memo.</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Calendar-based implementation phasing</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Not present; gates are applicability conditions, not execution timeline</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Section 5: Days 1-90, Days 91-180, Days 181-365 execution roadmap</w:t>
            </w:r>
          </w:p>
        </w:tc>
        <w:tc>
          <w:tcPr>
            <w:tcW w:type="dxa" w:w="3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3 (Boundary Risk). Execution timeline framing conflicts with SIEGE-01's gate-based applicability framework and with the series institutional hardening standard. UNIFIED-01 must reframe as analytical readiness staging.</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Cross-domain application</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Not present; SIEGE-01 is single-domain mechanism</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Cross-domain enforcement efficiency doctrine and shared infrastructure analysis (Sections 1-2)</w:t>
            </w:r>
          </w:p>
        </w:tc>
        <w:tc>
          <w:tcPr>
            <w:tcW w:type="dxa" w:w="3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CATEGORY 1 (Healthy). UNIFIED-01 OWNS. This is UNIFIED-01's exclusive contribution. SIEGE-01 must cross-reference UNIFIED-01 for cross-domain application.</w:t>
            </w:r>
          </w:p>
        </w:tc>
      </w:tr>
    </w:tbl>
    <w:p>
      <w:pPr>
        <w:spacing w:before="60" w:after="120"/>
      </w:pPr>
      <w:r>
        <w:rPr>
          <w:rFonts w:ascii="Arial" w:cs="Arial" w:eastAsia="Arial" w:hAnsi="Arial"/>
          <w:i/>
          <w:iCs/>
          <w:color w:val="4A5568"/>
          <w:sz w:val="18"/>
          <w:szCs w:val="18"/>
        </w:rPr>
        <w:t xml:space="preserve">Table 3: SIEGE-01 ↔ UNIFIED-01 Overlap Matrix. Three Category 3 items require immediate resolution before either document is finalized.</w:t>
      </w:r>
    </w:p>
    <w:p>
      <w:pPr>
        <w:spacing w:before="0" w:after="160"/>
      </w:pPr>
      <w:r>
        <w:rPr>
          <w:sz w:val="2"/>
          <w:szCs w:val="2"/>
        </w:rPr>
        <w:t xml:space="preserve"/>
      </w:r>
    </w:p>
    <w:p>
      <w:pPr>
        <w:pStyle w:val="Heading2"/>
        <w:spacing w:before="240" w:after="80"/>
      </w:pPr>
      <w:r>
        <w:rPr>
          <w:rFonts w:ascii="Arial" w:cs="Arial" w:eastAsia="Arial" w:hAnsi="Arial"/>
          <w:b/>
          <w:bCs/>
          <w:color w:val="1B2A4A"/>
          <w:sz w:val="24"/>
          <w:szCs w:val="24"/>
        </w:rPr>
        <w:t xml:space="preserve">8.4 PERSIST-01 ↔ UNIFIED-01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474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Overlap Area</w:t>
            </w:r>
          </w:p>
        </w:tc>
        <w:tc>
          <w:tcPr>
            <w:tcW w:type="dxa" w:w="23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Both Documents Treat</w:t>
            </w:r>
          </w:p>
        </w:tc>
        <w:tc>
          <w:tcPr>
            <w:tcW w:type="dxa" w:w="47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Category and Resolution</w:t>
            </w:r>
          </w:p>
        </w:tc>
      </w:tr>
      <w:tr>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IEEPA / OFAC / Section 311 authority mechanics</w:t>
            </w:r>
          </w:p>
        </w:tc>
        <w:tc>
          <w:tcPr>
            <w:tcW w:type="dxa" w:w="23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Per-authority operative mechanics and jurisdictional limits</w:t>
            </w:r>
          </w:p>
        </w:tc>
        <w:tc>
          <w:tcPr>
            <w:tcW w:type="dxa" w:w="47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1 (Healthy). Different strategic contexts. Both should cross-reference SIEGE-01 Part V as the series' channel-mechanism authority analysis.</w:t>
            </w:r>
          </w:p>
        </w:tc>
      </w:tr>
      <w:tr>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Coalition governance at operational level</w:t>
            </w:r>
          </w:p>
        </w:tc>
        <w:tc>
          <w:tcPr>
            <w:tcW w:type="dxa" w:w="23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Coalition-risk review requirements and allied concurrence standards</w:t>
            </w:r>
          </w:p>
        </w:tc>
        <w:tc>
          <w:tcPr>
            <w:tcW w:type="dxa" w:w="47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CATEGORY 2 (Redundant). PERSIST-01 OWNS at doctrine level. UNIFIED-01 must cross-reference PERSIST-01 Section 3 standards.</w:t>
            </w:r>
          </w:p>
        </w:tc>
      </w:tr>
      <w:tr>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Standards of proof for designation actions</w:t>
            </w:r>
          </w:p>
        </w:tc>
        <w:tc>
          <w:tcPr>
            <w:tcW w:type="dxa" w:w="23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Evidentiary thresholds for Section 311 and SDN designations</w:t>
            </w:r>
          </w:p>
        </w:tc>
        <w:tc>
          <w:tcPr>
            <w:tcW w:type="dxa" w:w="47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CATEGORY 2 (Redundant). PERSIST-01 OWNS. UNIFIED-01 Section 7 must cross-reference PERSIST-01 Section 4 rather than restating evidentiary standards independently.</w:t>
            </w:r>
          </w:p>
        </w:tc>
      </w:tr>
    </w:tbl>
    <w:p>
      <w:pPr>
        <w:spacing w:before="60" w:after="120"/>
      </w:pPr>
      <w:r>
        <w:rPr>
          <w:rFonts w:ascii="Arial" w:cs="Arial" w:eastAsia="Arial" w:hAnsi="Arial"/>
          <w:i/>
          <w:iCs/>
          <w:color w:val="4A5568"/>
          <w:sz w:val="18"/>
          <w:szCs w:val="18"/>
        </w:rPr>
        <w:t xml:space="preserve">Table 4: PERSIST-01 ↔ UNIFIED-01 Overlap Matrix.</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IX: Nexus/CSE-01 Attribution Dependency — Required Integration for Tier B/C Networks</w:t>
      </w:r>
    </w:p>
    <w:p>
      <w:pPr>
        <w:spacing w:before="60" w:after="120"/>
        <w:jc w:val="both"/>
      </w:pPr>
      <w:r>
        <w:rPr>
          <w:rFonts w:ascii="Arial" w:cs="Arial" w:eastAsia="Arial" w:hAnsi="Arial"/>
          <w:b w:val="false"/>
          <w:bCs w:val="false"/>
          <w:i w:val="false"/>
          <w:iCs w:val="false"/>
          <w:color w:val="000000"/>
          <w:sz w:val="22"/>
          <w:szCs w:val="22"/>
        </w:rPr>
        <w:t xml:space="preserve">The Nexus Protocol / CSE-01 documents were not available for full analysis at the time this memo was finalized. Based on the series description, they own PRC commercial state-nexus attribution methodology — the framework for determining when a PRC-linked entity's conduct meets the threshold for attribution to state direction rather than independent commercial activity.</w:t>
      </w:r>
    </w:p>
    <w:p>
      <w:pPr>
        <w:spacing w:before="60" w:after="120"/>
        <w:jc w:val="both"/>
      </w:pPr>
      <w:r>
        <w:rPr>
          <w:rFonts w:ascii="Arial" w:cs="Arial" w:eastAsia="Arial" w:hAnsi="Arial"/>
          <w:b w:val="false"/>
          <w:bCs w:val="false"/>
          <w:i w:val="false"/>
          <w:iCs w:val="false"/>
          <w:color w:val="000000"/>
          <w:sz w:val="22"/>
          <w:szCs w:val="22"/>
        </w:rPr>
        <w:t xml:space="preserve">This is not a minor gap to be addressed in future work. It is a required dependency for the series' legal architecture when applied to Tier B and Tier C networks with identified PRC financial infrastructure in their operational corridors. The reason is structural: the applicable authority rail changes based on the attribution determination, and applying the wrong authority rail creates both legal vulnerability and analytical error.</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NEXUS/CSE-01 AUTHORITY RAIL DEPENDENCY</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When a PRC-linked financial institution is identified as part of a Tier B or Tier C target network's financial throughput corridor, the applicable authority rail depends on whether that institution's facilitation role constitutes: (a) independent commercial conduct — in which case Section 311 and secondary sanctions under CAATSA/CISADA are the primary applicable authorities; (b) PRC state-nexus conduct — in which case IEEPA's national emergency nexus requirement governs, and the evidentiary threshold is materially higher because the designation must document the nexus between the designated conduct and the declared national emergency; or (c) knowing material support to an FTO — in which case § 2339B applies with the criminal liability framework established by Holder v. Humanitarian Law Project.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These three authority rails have different evidentiary thresholds, different administrative record requirements, different coalition implications (IEEPA-based action against a PRC state-linked institution carries materially different diplomatic stakes than commercial-facilitation Section 311 action), and different litigation vulnerability profiles. Selecting the wrong authority rail because the attribution determination was not completed exposes the designation to the exact evidentiary reversal PERSIST-01 Section 4 is designed to prevent.</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This dependency is therefore elevated from "future integration item" to "required prerequisite for Tier B/C Gate 1 Tier Classification when PRC financial infrastructure is identified in the target corridor." SIEGE-01 Gate 1 must add a conditional requirement: for target networks with identified PRC financial institution involvement in their USD-corridor throughput chain, Gate 1 Tier Classification is not complete until a Nexus/CSE-01 attribution assessment has determined which authority rail applies to that institutional involvement.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9.1 Required SIEGE-01 Gate 1 Addition — Pending Nexus/CSE-01 Review</w:t>
      </w:r>
    </w:p>
    <w:p>
      <w:pPr>
        <w:spacing w:before="60" w:after="120"/>
        <w:jc w:val="both"/>
      </w:pPr>
      <w:r>
        <w:rPr>
          <w:rFonts w:ascii="Arial" w:cs="Arial" w:eastAsia="Arial" w:hAnsi="Arial"/>
          <w:b w:val="false"/>
          <w:bCs w:val="false"/>
          <w:i w:val="false"/>
          <w:iCs w:val="false"/>
          <w:color w:val="000000"/>
          <w:sz w:val="22"/>
          <w:szCs w:val="22"/>
        </w:rPr>
        <w:t xml:space="preserve">When Nexus/CSE-01 is available for series architecture review, the following conditional requirement should be added to SIEGE-01 Gate 1 after the evidentiary standard paragraph:</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PROVISIONAL INSERT — SIEGE-01 GATE 1 (pending Nexus/CSE-01 review)</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PRC Financial Infrastructure Attribution Condition: For target networks with identified PRC financial institution involvement in their USD-corridor throughput chain — whether as primary correspondent, facilitating exchange, or intermediate settlement institution — Gate 1 Tier Classification is not analytically complete until a PRC commercial state-nexus attribution assessment has been completed and documented. The attribution assessment determines which authority rail governs the PRC-institution element of the enforcement action: independent commercial facilitation (Section 311 / CAATSA secondary sanctions), state-nexus conduct (IEEPA national emergency nexus), or knowing material support (§ 2339B). Proceeding with Gate 1 Tier Classification without this determination, where PRC financial infrastructure is present, produces a deployment scope assessment that may recommend applying an authority with an insufficient evidentiary record for the specific institutional nexus involved.</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This requirement is provisional pending full series integration of WP-2026-NEXUS/CSE-01. When that document is finalized and reviewed against this memo, the specific attribution threshold and documentation standard should be imported by cross-reference and this provisional language replaced.</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X: Required Edits — Specific Insertions and Revisions</w:t>
      </w:r>
    </w:p>
    <w:p>
      <w:pPr>
        <w:spacing w:before="60" w:after="120"/>
        <w:jc w:val="both"/>
      </w:pPr>
      <w:r>
        <w:rPr>
          <w:rFonts w:ascii="Arial" w:cs="Arial" w:eastAsia="Arial" w:hAnsi="Arial"/>
          <w:b w:val="false"/>
          <w:bCs w:val="false"/>
          <w:i w:val="false"/>
          <w:iCs w:val="false"/>
          <w:color w:val="000000"/>
          <w:sz w:val="22"/>
          <w:szCs w:val="22"/>
        </w:rPr>
        <w:t xml:space="preserve">The following edits are required for series architecture compliance. They are numbered in priority order. Edits 1 through 4 are required before any series paper is published. Edits 5 and 6 are required before UNIFIED-01 is published in any form.</w:t>
      </w:r>
    </w:p>
    <w:p>
      <w:pPr>
        <w:pStyle w:val="Heading2"/>
        <w:spacing w:before="240" w:after="80"/>
      </w:pPr>
      <w:r>
        <w:rPr>
          <w:rFonts w:ascii="Arial" w:cs="Arial" w:eastAsia="Arial" w:hAnsi="Arial"/>
          <w:b/>
          <w:bCs/>
          <w:color w:val="1B2A4A"/>
          <w:sz w:val="24"/>
          <w:szCs w:val="24"/>
        </w:rPr>
        <w:t xml:space="preserve">Edit 1: SIEGE-01 Methodological Note — Series Positioning (Priority: Required)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INSERT — SIEGE-01 METHODOLOGICAL NOTE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Series Position: This paper operates as a Layer 3 Strategic Model document within the WP-2026 series product architecture, per WP-2026-SENI-ARCH-01 Section II. It models the strategic logic of the multi-channel financial access disruption mechanism. It does not substitute for Layer 2 enforcement playbook development (target-specific financial pathway analysis to D2=[5-OSINT] standard) or Layer 1 intelligence estimate work (named-entity node profiling). Those products are preconditions for specific deployment actions.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Governance Framework: The authority rails, standards of proof, neutral designation-selection rule, coalition governance doctrine, and model record artifacts that govern all WP-2026 series enforcement analysis are established in WP-2026-PERSIST-01. This paper's gate assessments, failure mode protocols, and legal authority analysis operate within and are supplementary to PERSIST-01's governing framework.</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Cross-Domain Application: Cross-domain application of this mechanism to simultaneous enforcement across narcotics, proliferation finance, and terrorist financing domains is addressed in WP-2026-UNIFIED-01. That document governs the cross-domain integration logic; this paper governs the channel-denial mechanism that UNIFIED-01 applies.</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Series Architecture Compliance: This paper has been reviewed against WP-2026-SAM-01 (Series Architecture Memo) and is assessed as compliant with series document ownership assignments as of the date of this revision.</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Edit 2: SIEGE-01 Gate 2 — Evidentiary Standard Cross-Reference (Priority: Required)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INSERT — SIEGE-01 GATE 2 (end of GO standard paragraph)</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APA-sustainability record standard applied here is consistent with the Confirmed Attribution evidentiary threshold in WP-2026-PERSIST-01 Section 4. For named-institution designation actions, administrative records must be developed to a standard equivalent to D2=[5-OSINT] (named-bank level) per WP-2026-SENI-ARCH-01's D2 evidence tiering framework before Gate 2 is assessed as supported. Named-institution records that do not reach this standard require additional evidentiary development before Gate 2 is satisfied.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Edit 3: SIEGE-01 Gate 3 — Coalition Standard Cross-Reference (Priority: Required)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INSERT — SIEGE-01 GATE 3 (after supported determination standard)</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specific operational commitment standard applied here is consistent with the coalition-risk review requirements in WP-2026-PERSIST-01 Section 3. For Tier 2-equivalent channel actions (Section 311 PMLC designation, secondary sanctions notices), documented non-objection from at least one primary partner is the minimum. For channel actions with Tier 3-equivalent systemic risk profiles, affirmative written concurrence from at least two primary partners is required per PERSIST-01 Section 3 coalition concurrence standards. The PERSIST-01 Coalition-Risk Review Memorandum template (Appendix B.2) should be completed as part of the Gate 3 documentation record.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Edit 4: SIEGE-01 Notice Block — Neutral Selection Cross-Reference (Priority: Required)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INSERT — SIEGE-01 NOTICE BLOCK (after non-transferability clause)</w:t>
            </w:r>
          </w:p>
        </w:tc>
      </w:tr>
      <w:tr>
        <w:tc>
          <w:tcPr>
            <w:tcW w:type="dxa" w:w="8640"/>
            <w:tcBorders>
              <w:top w:val="none" w:color="FFFFFF" w:sz="0"/>
              <w:left w:val="single" w:color="1B2A4A" w:sz="18" w:space="0"/>
              <w:bottom w:val="single" w:color="E8EDF5" w:sz="4"/>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NEUTRAL SELECTION COMPLIANCE: Target selection for framework deployment must comply with the neutral designation-selection rule established in WP-2026-PERSIST-01 Section 5. No network or institution may be selected as a framework deployment target based on national origin, ethnicity, political statements, or participation in litigation challenging U.S. government action. The objective trigger documentation, prohibited factor list, and designation-selection log requirements in PERSIST-01 Section 5 apply to all deployment decisions under this framework.</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Edit 5: UNIFIED-01 Section 8.1 — Fragmentation Contradiction (Priority: Required Before Publication)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REQUIRED EDIT — UNIFIED-01 SECTION 8.1 (Category 3 Contradiction)</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DELETE: "Network fragmentation effects through enhanced whistleblower incentive structures creating internal compliance pressure" as a Network Degradation Indicator.</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REPLACE WITH: "Network fragmentation indicators — emergence of new market entrants in the target domain, maintained output levels despite reduced primary target throughput, or increased market violence in target corridors — are assessment triggers requiring immediate Gate 4 parallel organizational disruption architecture evaluation per WP-2026-SIEGE-01 Part VII. Fragmentation without parallel organizational disruption is assessed as a probable adverse outcome based on the historical enforcement record (Medellín/Cali/Arellano Félix documented in SIEGE-01 Part VII), not a performance signal. See SIEGE-01 fragmentation stop condition protocol for the required analytical response when these indicators are observed."</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Rationale: This is a direct series contradiction. SIEGE-01 Part VII establishes the series governing finding on fragmentation based on the historical enforcement record. UNIFIED-01 cannot simultaneously treat fragmentation as a success indicator. The series cannot hold both positions. SIEGE-01 owns this finding; UNIFIED-01 adopts it.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Edit 6: UNIFIED-01 Section 5 — Implementation Sequencing Reframe (Priority: Required Before Publication)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REQUIRED EDIT — UNIFIED-01 SECTION 5</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REFRAME: The phased implementation roadmap (Phase 1: Days 1-90, Phase 2: Days 91-180, Phase 3: Days 181-365, Phase 4: 365+) must be reframed from calendar-based execution sequencing to analytical readiness staging.</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REPLACEMENT FRAMING: "Analytical readiness staging describes when the gate conditions established in WP-2026-SIEGE-01 Part II are simultaneously satisfied across all three threat domains. Phase descriptions should specify what gate conditions must be met — Tier Classification complete, administrative records pre-positioned, coalition status determined, parallel disruption architecture certified, continuity commitment confirmed — for each domain before cross-domain simultaneous deployment is analytically supported. Calendar projections are not analytically supported by the available public evidentiary base and should be removed." See SIEGE-01 Rev 7.0 Methodological Note on the withdrawal of calendar-based implementation projections.</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XI: SIEGE-01 Cross-Reference Architecture</w:t>
      </w:r>
    </w:p>
    <w:p>
      <w:pPr>
        <w:spacing w:before="60" w:after="120"/>
        <w:jc w:val="both"/>
      </w:pPr>
      <w:r>
        <w:rPr>
          <w:rFonts w:ascii="Arial" w:cs="Arial" w:eastAsia="Arial" w:hAnsi="Arial"/>
          <w:b w:val="false"/>
          <w:bCs w:val="false"/>
          <w:i w:val="false"/>
          <w:iCs w:val="false"/>
          <w:color w:val="000000"/>
          <w:sz w:val="22"/>
          <w:szCs w:val="22"/>
        </w:rPr>
        <w:t xml:space="preserve">The following table specifies, for each major analytical claim in SIEGE-01 that has a governing framework in another series document, where the cross-reference should point.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24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SIEGE-01 Section</w:t>
            </w:r>
          </w:p>
        </w:tc>
        <w:tc>
          <w:tcPr>
            <w:tcW w:type="dxa" w:w="2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Analytical Claim</w:t>
            </w:r>
          </w:p>
        </w:tc>
        <w:tc>
          <w:tcPr>
            <w:tcW w:type="dxa" w:w="42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Cross-Reference Target</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Methodological Note</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Series product layer position</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SENI-ARCH-01 Section II — Layer 3 Strategic Model definition</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Methodological Note</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Cross-domain application scope</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UNIFIED-01 — governs cross-domain application</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Methodological Note</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Governance framework</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PERSIST-01 — authority rails, standards of proof, neutral selection, coalition governance</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2 — GO standard</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APA-sustainability evidentiary standard</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PERSIST-01 Section 4 (Confirmed Attribution); SENI-ARCH-01 D2=[5-OSINT] named-bank requirement</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3 — Coalition standard</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Operational commitment standard</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PERSIST-01 Section 3 (Coalition-Risk Review); Appendix B.2 (Memorandum template)</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1 — PRC corridor targets</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Authority rail attribution for PRC-linked institutions</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WP-2026-NEXUS/CSE-01 (pending; provisional insert in Part IX of this memo)</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Notice block</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Target selection conduct standard</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PERSIST-01 Section 5 — Neutral Designation-Selection Rule</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Part V — Legal authority tables</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Per-instrument authority rails and hard limits</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PERSIST-01 Section 2 (Authority Rails) and Appendix A (Tool-by-Tool Authority Mapping)</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Part V — Evasion counter-architecture</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Specific legal responses to evasion tactics</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SIEGE-01 OWNS — no cross-reference needed; exclusive contribution to the series</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Part VII — Fragmentation assessment</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Series governing finding on fragmentation outcomes</w:t>
            </w:r>
          </w:p>
        </w:tc>
        <w:tc>
          <w:tcPr>
            <w:tcW w:type="dxa" w:w="4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SIEGE-01 OWNS — all series documents must adopt this finding; UNIFIED-01 required edit in Part X above</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Part XII — Falsifiable indicators</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Observable conditions updating confidence</w:t>
            </w:r>
          </w:p>
        </w:tc>
        <w:tc>
          <w:tcPr>
            <w:tcW w:type="dxa" w:w="4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SIEGE-01 OWNS — UNIFIED-01 must replace its KPI section with indicators consistent with this framework</w:t>
            </w:r>
          </w:p>
        </w:tc>
      </w:tr>
    </w:tbl>
    <w:p>
      <w:pPr>
        <w:spacing w:before="60" w:after="120"/>
      </w:pPr>
      <w:r>
        <w:rPr>
          <w:rFonts w:ascii="Arial" w:cs="Arial" w:eastAsia="Arial" w:hAnsi="Arial"/>
          <w:i/>
          <w:iCs/>
          <w:color w:val="4A5568"/>
          <w:sz w:val="18"/>
          <w:szCs w:val="18"/>
        </w:rPr>
        <w:t xml:space="preserve">Table 5: SIEGE-01 Cross-Reference Architecture. "SIEGE-01 OWNS" entries are exclusive to SIEGE-01 and should be imported by other documents, not restated.</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XII: Series Architecture Flow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000"/>
        <w:gridCol w:w="204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Document</w:t>
            </w:r>
          </w:p>
        </w:tc>
        <w:tc>
          <w:tcPr>
            <w:tcW w:type="dxa" w:w="18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Exclusive Domain</w:t>
            </w:r>
          </w:p>
        </w:tc>
        <w:tc>
          <w:tcPr>
            <w:tcW w:type="dxa" w:w="18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Upstream Dependencies</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Downstream Outputs To</w:t>
            </w:r>
          </w:p>
        </w:tc>
        <w:tc>
          <w:tcPr>
            <w:tcW w:type="dxa" w:w="20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 Role</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PERSIST-01</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Competitive statecraft architecture; authority rails; tiered escalation; standards of proof; neutral selection; stability architecture; coalition governance doctrine; model record artifacts</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None (foundational)</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SIEGE-01 (authority rails, standards of proof, coalition governance); UNIFIED-01 (standards of proof, coalition standards)</w:t>
            </w:r>
          </w:p>
        </w:tc>
        <w:tc>
          <w:tcPr>
            <w:tcW w:type="dxa" w:w="2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Series legal and governance foundation</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SENI-ARCH-01</w:t>
            </w:r>
          </w:p>
        </w:tc>
        <w:tc>
          <w:tcPr>
            <w:tcW w:type="dxa" w:w="18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Russian nuclear fuel cycle node targeting; D2 evidence tiering; three-layer product architecture; named-institution financial pathway analysis; system resilience modeling; China escalation ladder</w:t>
            </w:r>
          </w:p>
        </w:tc>
        <w:tc>
          <w:tcPr>
            <w:tcW w:type="dxa" w:w="18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PERSIST-01 (authority rails for sanctions authority annex)</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SIEGE-01 (evidentiary standards for Gate 1/2); series-wide product layer framework</w:t>
            </w:r>
          </w:p>
        </w:tc>
        <w:tc>
          <w:tcPr>
            <w:tcW w:type="dxa" w:w="20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Target-specific intelligence and enforcement playbook</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NEXUS/CSE-01</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PRC commercial state-nexus attribution methodology; authority rail determination for PRC-linked institutional conduct</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PERSIST-01 (authority rails)</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SIEGE-01 Gate 1 (required for Tier B/C with PRC exposure)</w:t>
            </w:r>
          </w:p>
        </w:tc>
        <w:tc>
          <w:tcPr>
            <w:tcW w:type="dxa" w:w="2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Attribution methodology; authority rail selection for PRC corridor enforcement</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SIEGE-01 (Rev 7.0)</w:t>
            </w:r>
          </w:p>
        </w:tc>
        <w:tc>
          <w:tcPr>
            <w:tcW w:type="dxa" w:w="18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Seven-channel mechanism; Tier A/B/C applicability; five pre-deployment gates; failure mode analysis; fragmentation governing finding; jurisdictional limits; falsifiable indicators; evasion counter-architecture</w:t>
            </w:r>
          </w:p>
        </w:tc>
        <w:tc>
          <w:tcPr>
            <w:tcW w:type="dxa" w:w="18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PERSIST-01 (authority rails, standards of proof, coalition governance); SENI-ARCH-01 (evidentiary standards, product layer positioning); NEXUS/CSE-01 (PRC attribution, pending)</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UNIFIED-01 (mechanism theory, channel operative mechanics, fragmentation assessment, falsifiable indicators)</w:t>
            </w:r>
          </w:p>
        </w:tc>
        <w:tc>
          <w:tcPr>
            <w:tcW w:type="dxa" w:w="20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Channel-denial mechanism and deployment applicability framework</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UNIFIED-01</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Cross-domain shared infrastructure doctrine; cascading enforcement efficiency; domain-specific application mapping; interagency coordination structure</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SIEGE-01 (mechanism, operative mechanics, fragmentation, falsifiable indicators); PERSIST-01 (standards of proof, coalition governance)</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ARCH-03, CTF-01, CPF-02 (domain-specific implementation)</w:t>
            </w:r>
          </w:p>
        </w:tc>
        <w:tc>
          <w:tcPr>
            <w:tcW w:type="dxa" w:w="2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Cross-domain synthesis and application memo</w:t>
            </w:r>
          </w:p>
        </w:tc>
      </w:tr>
    </w:tbl>
    <w:p>
      <w:pPr>
        <w:spacing w:before="60" w:after="120"/>
      </w:pPr>
      <w:r>
        <w:rPr>
          <w:rFonts w:ascii="Arial" w:cs="Arial" w:eastAsia="Arial" w:hAnsi="Arial"/>
          <w:i/>
          <w:iCs/>
          <w:color w:val="4A5568"/>
          <w:sz w:val="18"/>
          <w:szCs w:val="18"/>
        </w:rPr>
        <w:t xml:space="preserve">Table 6: WP-2026 Series Architecture Flow. Documents flow from foundational (PERSIST-01) through mechanism (SIEGE-01) to cross-domain application (UNIFIED-01). SENI and NEXUS/CSE-01 operate on parallel tracks feeding the mechanism layer at the evidentiary standard and attribution levels respectively.</w:t>
      </w:r>
    </w:p>
    <w:p>
      <w:pPr>
        <w:spacing w:before="0" w:after="160"/>
      </w:pPr>
      <w:r>
        <w:rPr>
          <w:sz w:val="2"/>
          <w:szCs w:val="2"/>
        </w:rPr>
        <w:t xml:space="preserve"/>
      </w:r>
    </w:p>
    <w:p>
      <w:pPr>
        <w:pBdr>
          <w:bottom w:val="single" w:color="1B2A4A" w:sz="6" w:space="1"/>
        </w:pBdr>
        <w:spacing w:before="0" w:after="0"/>
      </w:pPr>
      <w:r>
        <w:rPr>
          <w:rFonts w:ascii="Arial" w:cs="Arial" w:eastAsia="Arial" w:hAnsi="Arial"/>
          <w:sz w:val="2"/>
          <w:szCs w:val="2"/>
        </w:rPr>
        <w:t xml:space="preserve"/>
      </w:r>
    </w:p>
    <w:p>
      <w:pPr>
        <w:spacing w:before="0" w:after="80"/>
      </w:pPr>
      <w:r>
        <w:rPr>
          <w:sz w:val="2"/>
          <w:szCs w:val="2"/>
        </w:rPr>
        <w:t xml:space="preserve"/>
      </w:r>
    </w:p>
    <w:p>
      <w:pPr>
        <w:spacing w:before="0" w:after="0"/>
        <w:jc w:val="center"/>
      </w:pPr>
      <w:r>
        <w:rPr>
          <w:rFonts w:ascii="Arial" w:cs="Arial" w:eastAsia="Arial" w:hAnsi="Arial"/>
          <w:b/>
          <w:bCs/>
          <w:caps/>
          <w:color w:val="4A5568"/>
          <w:sz w:val="18"/>
          <w:szCs w:val="18"/>
        </w:rPr>
        <w:t xml:space="preserve">END OF DOCUMENT — WP-2026-SAM-01 REVISION 2.0 — MARCH 2026 — UNCLASSIFIED // OPEN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aps/>
        <w:color w:val="4A5568"/>
        <w:sz w:val="16"/>
        <w:szCs w:val="16"/>
      </w:rPr>
      <w:t xml:space="preserve">UNCLASSIFIED // OPEN SOURCE  |  Document Ownership, Overlap Analysis, Series Failure Conditions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aps/>
        <w:color w:val="4A5568"/>
        <w:sz w:val="16"/>
        <w:szCs w:val="16"/>
      </w:rPr>
      <w:t xml:space="preserve">WP-2026-SAM-01 REV 2.0  |  SERIES ARCHITECTURE MEMO — GOVERNING DOCUMENT  |  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2026-03-26T09:13:37.738Z</dcterms:created>
  <dcterms:modified xsi:type="dcterms:W3CDTF">2026-03-26T09:13:37.738Z</dcterms:modified>
</cp:coreProperties>
</file>

<file path=docProps/custom.xml><?xml version="1.0" encoding="utf-8"?>
<Properties xmlns="http://schemas.openxmlformats.org/officeDocument/2006/custom-properties" xmlns:vt="http://schemas.openxmlformats.org/officeDocument/2006/docPropsVTypes"/>
</file>