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aps/>
          <w:color w:val="1B2A4A"/>
          <w:sz w:val="20"/>
          <w:szCs w:val="20"/>
        </w:rPr>
        <w:t xml:space="preserve">CENTER FOR COMPETITIVE STATECRAFT AND STRATEGIC POLICY</w:t>
      </w:r>
    </w:p>
    <w:p>
      <w:pPr>
        <w:spacing w:before="0" w:after="80"/>
        <w:jc w:val="center"/>
      </w:pPr>
      <w:r>
        <w:rPr>
          <w:rFonts w:ascii="Arial" w:cs="Arial" w:eastAsia="Arial" w:hAnsi="Arial"/>
          <w:b/>
          <w:bCs/>
          <w:color w:val="4A5568"/>
          <w:sz w:val="20"/>
          <w:szCs w:val="20"/>
        </w:rPr>
        <w:t xml:space="preserve">WP-2026 SERIES</w:t>
      </w:r>
    </w:p>
    <w:p>
      <w:pPr>
        <w:pBdr>
          <w:bottom w:val="single" w:color="1B2A4A" w:sz="6" w:space="1"/>
        </w:pBdr>
        <w:spacing w:before="0" w:after="0"/>
      </w:pPr>
      <w:r>
        <w:rPr>
          <w:rFonts w:ascii="Arial" w:cs="Arial" w:eastAsia="Arial" w:hAnsi="Arial"/>
          <w:sz w:val="2"/>
          <w:szCs w:val="2"/>
        </w:rPr>
        <w:t xml:space="preserve"/>
      </w:r>
    </w:p>
    <w:p>
      <w:pPr>
        <w:spacing w:before="0" w:after="160"/>
      </w:pPr>
      <w:r>
        <w:rPr>
          <w:sz w:val="2"/>
          <w:szCs w:val="2"/>
        </w:rPr>
        <w:t xml:space="preserve"/>
      </w:r>
    </w:p>
    <w:p>
      <w:pPr>
        <w:spacing w:before="0" w:after="120"/>
        <w:jc w:val="center"/>
      </w:pPr>
      <w:r>
        <w:rPr>
          <w:rFonts w:ascii="Arial" w:cs="Arial" w:eastAsia="Arial" w:hAnsi="Arial"/>
          <w:b/>
          <w:bCs/>
          <w:caps/>
          <w:color w:val="8B6914"/>
          <w:sz w:val="22"/>
          <w:szCs w:val="22"/>
        </w:rPr>
        <w:t xml:space="preserve">SIEGE-01 / FINAL</w:t>
      </w:r>
    </w:p>
    <w:p>
      <w:pPr>
        <w:spacing w:before="0" w:after="80"/>
        <w:jc w:val="center"/>
      </w:pPr>
      <w:r>
        <w:rPr>
          <w:rFonts w:ascii="Arial" w:cs="Arial" w:eastAsia="Arial" w:hAnsi="Arial"/>
          <w:b/>
          <w:bCs/>
          <w:color w:val="1B2A4A"/>
          <w:sz w:val="30"/>
          <w:szCs w:val="30"/>
        </w:rPr>
        <w:t xml:space="preserve">Multi-Channel Financial Denial and Adaptive Illicit Networks</w:t>
      </w:r>
    </w:p>
    <w:p>
      <w:pPr>
        <w:spacing w:before="0" w:after="240"/>
        <w:jc w:val="center"/>
      </w:pPr>
      <w:r>
        <w:rPr>
          <w:rFonts w:ascii="Arial" w:cs="Arial" w:eastAsia="Arial" w:hAnsi="Arial"/>
          <w:i/>
          <w:iCs/>
          <w:color w:val="4A5568"/>
          <w:sz w:val="22"/>
          <w:szCs w:val="22"/>
        </w:rPr>
        <w:t xml:space="preserve">A Deployment-Constrained, Litigation-Resilient Analytic Framework for Assessing the Conditions Under Which Coordinated Multi-Channel Enforcement Pressure May Remove Substitution Pathways for Adaptive Illicit Finance Networks</w:t>
      </w:r>
    </w:p>
    <w:p>
      <w:pPr>
        <w:spacing w:before="0" w:after="16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Series</w:t>
            </w:r>
          </w:p>
        </w:tc>
        <w:tc>
          <w:tcPr>
            <w:tcW w:type="dxa" w:w="664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WP-2026 — Center for Competitive Statecraft and Strategic Policy</w:t>
            </w:r>
          </w:p>
        </w:tc>
      </w:tr>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Paper</w:t>
            </w:r>
          </w:p>
        </w:tc>
        <w:tc>
          <w:tcPr>
            <w:tcW w:type="dxa" w:w="664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SIEGE-01, Final</w:t>
            </w:r>
          </w:p>
        </w:tc>
      </w:tr>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Title</w:t>
            </w:r>
          </w:p>
        </w:tc>
        <w:tc>
          <w:tcPr>
            <w:tcW w:type="dxa" w:w="664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Multi-Channel Financial Denial and Adaptive Illicit Networks: A Deployment-Constrained, Litigation-Resilient Analytic Framework</w:t>
            </w:r>
          </w:p>
        </w:tc>
      </w:tr>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Date</w:t>
            </w:r>
          </w:p>
        </w:tc>
        <w:tc>
          <w:tcPr>
            <w:tcW w:type="dxa" w:w="664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March 2026</w:t>
            </w:r>
          </w:p>
        </w:tc>
      </w:tr>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Prepared by</w:t>
            </w:r>
          </w:p>
        </w:tc>
        <w:tc>
          <w:tcPr>
            <w:tcW w:type="dxa" w:w="664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Independent Policy Research Group</w:t>
            </w:r>
          </w:p>
        </w:tc>
      </w:tr>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Classification</w:t>
            </w:r>
          </w:p>
        </w:tc>
        <w:tc>
          <w:tcPr>
            <w:tcW w:type="dxa" w:w="664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UNCLASSIFIED // OPEN SOURCE</w:t>
            </w:r>
          </w:p>
        </w:tc>
      </w:tr>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Distribution</w:t>
            </w:r>
          </w:p>
        </w:tc>
        <w:tc>
          <w:tcPr>
            <w:tcW w:type="dxa" w:w="664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Academic Policy Analysis — Open Source</w:t>
            </w:r>
          </w:p>
        </w:tc>
      </w:tr>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Status</w:t>
            </w:r>
          </w:p>
        </w:tc>
        <w:tc>
          <w:tcPr>
            <w:tcW w:type="dxa" w:w="664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Pre-decisional analytic framework for open-source policy analysis. Not a government product. Not operational guidance. Not transferable across targets without independent gate assessment.</w:t>
            </w:r>
          </w:p>
        </w:tc>
      </w:tr>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Series Governance</w:t>
            </w:r>
          </w:p>
        </w:tc>
        <w:tc>
          <w:tcPr>
            <w:tcW w:type="dxa" w:w="664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Compliant with WP-2026-SAM-01 (Series Architecture Memo, Rev 2.0)</w:t>
            </w:r>
          </w:p>
        </w:tc>
      </w:tr>
    </w:tbl>
    <w:p>
      <w:pPr>
        <w:spacing w:before="0" w:after="24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7A4000" w:sz="18" w:space="0"/>
              <w:bottom w:val="none" w:color="FFFFFF" w:sz="0"/>
              <w:right w:val="none" w:color="FFFFFF" w:sz="0"/>
            </w:tcBorders>
            <w:shd w:fill="FEF3E2" w:val="clear"/>
            <w:tcMar>
              <w:top w:type="dxa" w:w="60"/>
              <w:left w:type="dxa" w:w="160"/>
              <w:bottom w:type="dxa" w:w="20"/>
              <w:right w:type="dxa" w:w="80"/>
            </w:tcMar>
          </w:tcPr>
          <w:p>
            <w:pPr>
              <w:spacing w:before="0" w:after="0"/>
            </w:pPr>
            <w:r>
              <w:rPr>
                <w:rFonts w:ascii="Arial" w:cs="Arial" w:eastAsia="Arial" w:hAnsi="Arial"/>
                <w:b/>
                <w:bCs/>
                <w:caps/>
                <w:color w:val="7A4000"/>
                <w:sz w:val="18"/>
                <w:szCs w:val="18"/>
              </w:rPr>
              <w:t xml:space="preserve">NOTICE</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UNCLASSIFIED // OPEN SOURCE. This paper constitutes academic open-source policy analysis based entirely on publicly codified law, officially published government reporting, and peer-reviewed or institutional research. It does not represent the position of any government entity. It does not constitute operational guidance, enforcement instruction, or policy direction. All legal authorities cited are drawn from existing U.S. statutory and regulatory frameworks in their published form. This paper does not assess, recommend, or facilitate any action against any named or identifiable individual, institution, or network.</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NON-TRANSFERABILITY: This framework is not transferable across targets without independent evidentiary validation of all gate conditions. Structural similarity between networks does not establish equivalence of financial architecture or enforcement sensitivity. Applying this framework to a target without completing the gate assessment is analytically unsupported.</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NEUTRAL SELECTION COMPLIANCE: Target selection for framework deployment must comply with the neutral designation-selection rule established in WP-2026-PERSIST-01 Section 5. No network or institution may be selected as a framework deployment target based on national origin, ethnicity, political statements, or participation in litigation challenging U.S. government action.</w:t>
            </w:r>
          </w:p>
        </w:tc>
      </w:tr>
      <w:tr>
        <w:tc>
          <w:tcPr>
            <w:tcW w:type="dxa" w:w="8640"/>
            <w:tcBorders>
              <w:top w:val="none" w:color="FFFFFF" w:sz="0"/>
              <w:left w:val="single" w:color="7A4000" w:sz="18" w:space="0"/>
              <w:bottom w:val="single" w:color="FEF3E2" w:sz="4"/>
              <w:right w:val="none" w:color="FFFFFF" w:sz="0"/>
            </w:tcBorders>
            <w:shd w:fill="FEF3E2"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LITIGATION SURVIVABILITY SCOPE: This framework assesses statutory availability and general litigation resilience at a categorical level. It does not assess the sufficiency of evidentiary records, procedural compliance, or administrative findings required to sustain any specific designation, rulemaking action, or prosecutorial decision. Those determinations require independent legal and evidentiary assessment for each specific action.</w:t>
            </w:r>
          </w:p>
        </w:tc>
      </w:tr>
    </w:tbl>
    <w:p>
      <w:pPr>
        <w:spacing w:before="0" w:after="80"/>
      </w:pPr>
      <w:r>
        <w:rPr>
          <w:sz w:val="2"/>
          <w:szCs w:val="2"/>
        </w:rPr>
        <w:t xml:space="preserve"/>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Methodological Note</w:t>
      </w:r>
    </w:p>
    <w:p>
      <w:pPr>
        <w:spacing w:before="60" w:after="120"/>
        <w:jc w:val="both"/>
      </w:pPr>
      <w:r>
        <w:rPr>
          <w:rFonts w:ascii="Arial" w:cs="Arial" w:eastAsia="Arial" w:hAnsi="Arial"/>
          <w:b w:val="false"/>
          <w:bCs w:val="false"/>
          <w:i w:val="false"/>
          <w:iCs w:val="false"/>
          <w:color w:val="000000"/>
          <w:sz w:val="22"/>
          <w:szCs w:val="22"/>
        </w:rPr>
        <w:t xml:space="preserve">This paper operates entirely within the open-source public record. All claims about legal authority rest on codified statute or published regulatory guidance. All claims about enforcement patterns rest on official published reporting. No classified information is used or implied. Where the public record does not permit a firm conclusion, this paper states that explicitly. Where the public record supports only a directional inference, this paper states that as well.</w:t>
      </w:r>
    </w:p>
    <w:p>
      <w:pPr>
        <w:spacing w:before="60" w:after="120"/>
        <w:jc w:val="both"/>
      </w:pPr>
      <w:r>
        <w:rPr>
          <w:rFonts w:ascii="Arial" w:cs="Arial" w:eastAsia="Arial" w:hAnsi="Arial"/>
          <w:b w:val="false"/>
          <w:bCs w:val="false"/>
          <w:i w:val="false"/>
          <w:iCs w:val="false"/>
          <w:color w:val="000000"/>
          <w:sz w:val="22"/>
          <w:szCs w:val="22"/>
        </w:rPr>
        <w:t xml:space="preserve">The governing analytic standard is deployment-constrained institutional analysis: the framework must define the conditions under which its logic is analytically applicable, the conditions under which it is not, the variables it does not control, and the points at which its logic requires termination or reassessment. An analytic framework that cannot specify its own applicability limits and stop conditions is not institutionally credible regardless of its technical quality.</w:t>
      </w:r>
    </w:p>
    <w:p>
      <w:pPr>
        <w:spacing w:before="60" w:after="120"/>
        <w:jc w:val="both"/>
      </w:pPr>
      <w:r>
        <w:rPr>
          <w:rFonts w:ascii="Arial" w:cs="Arial" w:eastAsia="Arial" w:hAnsi="Arial"/>
          <w:b w:val="false"/>
          <w:bCs w:val="false"/>
          <w:i w:val="false"/>
          <w:iCs w:val="false"/>
          <w:color w:val="000000"/>
          <w:sz w:val="22"/>
          <w:szCs w:val="22"/>
        </w:rPr>
        <w:t xml:space="preserve">This framework is designed to reduce analytical fragmentation across enforcement domains by aligning mechanism logic (SIEGE-01), evidentiary standards (WP-2026-SENI-ARCH-01), governance doctrine (WP-2026-PERSIST-01), and cross-domain application (WP-2026-UNIFIED-01) into a consistent, reusable structure. A reviewer assessing any single series document can locate its analytical claims within this structure without needing to resolve inconsistencies across documents they have not read. That property — internal coherence across independently usable papers — is the design goal this framework serves.</w:t>
      </w:r>
    </w:p>
    <w:p>
      <w:pPr>
        <w:spacing w:before="60" w:after="120"/>
        <w:jc w:val="both"/>
      </w:pPr>
      <w:r>
        <w:rPr>
          <w:rFonts w:ascii="Arial" w:cs="Arial" w:eastAsia="Arial" w:hAnsi="Arial"/>
          <w:b w:val="false"/>
          <w:bCs w:val="false"/>
          <w:i w:val="false"/>
          <w:iCs w:val="false"/>
          <w:color w:val="000000"/>
          <w:sz w:val="22"/>
          <w:szCs w:val="22"/>
        </w:rPr>
        <w:t xml:space="preserve">SIEGE-01 is a dependent analytical model and is not designed for standalone application absent upstream evidentiary and attribution frameworks. Its gate structure presupposes Layer 1 and Layer 2 analytical products developed to WP-2026-SENI-ARCH-01 evidentiary standards, legal authority rails and standards of proof from WP-2026-PERSIST-01, and — for Tier B and C networks with PRC financial infrastructure exposure — attribution determinations from WP-2026-NEXUS/CSE-01. Applying this framework to a specific target network without those upstream products is analytically unsupported and does not constitute deployment of the framework as specified.</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CONFIDENCE LEXICON</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HIGH CONFIDENCE — Claim directly supported by multiple independent Tier 1 sources. Analytic inference minimal.</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MODERATE CONFIDENCE — Credible Tier 1/2 sourcing with meaningful analytic inference or a significant unresolved variable.</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LOW-MODERATE CONFIDENCE — Thin but structurally sound inference from indirect evidence. Reasonable alternative conclusions exist.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LOW CONFIDENCE — Primarily analytic inference from limited or indirect evidence. Does not mean the claim is wrong.</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ANALYTICALLY INFERRED — Derived by logical extension from documented premises. Not directly observed.</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SCENARIO-CONDITIONED — Valid only under stated analytical premises. Not a prediction.</w:t>
            </w:r>
          </w:p>
        </w:tc>
      </w:tr>
    </w:tbl>
    <w:p>
      <w:pPr>
        <w:spacing w:before="0" w:after="80"/>
      </w:pPr>
      <w:r>
        <w:rPr>
          <w:sz w:val="2"/>
          <w:szCs w:val="2"/>
        </w:rPr>
        <w:t xml:space="preserve"/>
      </w:r>
    </w:p>
    <w:p>
      <w:pPr>
        <w:spacing w:before="0" w:after="80"/>
      </w:pPr>
      <w:r>
        <w:rPr>
          <w:sz w:val="2"/>
          <w:szCs w:val="2"/>
        </w:rPr>
        <w:t xml:space="preserve"/>
      </w:r>
    </w:p>
    <w:p>
      <w:pPr>
        <w:spacing w:before="60" w:after="120"/>
        <w:jc w:val="both"/>
      </w:pPr>
      <w:r>
        <w:rPr>
          <w:rFonts w:ascii="Arial" w:cs="Arial" w:eastAsia="Arial" w:hAnsi="Arial"/>
          <w:b w:val="false"/>
          <w:bCs w:val="false"/>
          <w:i w:val="false"/>
          <w:iCs w:val="false"/>
          <w:color w:val="000000"/>
          <w:sz w:val="22"/>
          <w:szCs w:val="22"/>
        </w:rPr>
        <w:t xml:space="preserve">Tier 1 sources include U.S. government publications, UN bodies, primary legal texts, and peer-reviewed journals. Tier 2 sources inform directional analytic judgments but do not independently sustain consequential quantitative claims. Tier 3 sources are cited for context only. The availability of statutory authority does not establish enforceability across jurisdictions lacking U.S. financial nexus, nor does it establish compliance by actors without exposure to U.S. markets, institutions, or legal process.</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SERIES COMPLIANCE CLAUSE</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This document operates within the WP-2026 series governance architecture established in WP-2026-SAM-01 (Series Architecture Memo, Rev 2.0). Analytical claims that fall within the defined ownership domain of other series documents are incorporated by cross-reference rather than independent restatement, in order to preserve internal consistency and reduce analytical contradiction risk across the series.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Specific cross-reference dependencies: Authority rails, standards of proof, neutral designation-selection rule, coalition governance doctrine, and model record artifacts are governed by WP-2026-PERSIST-01 (specifically: authority rails at Section 2; standards of proof at Section 4; neutral selection at Section 5; coalition governance at Section 3; model record artifacts at Appendix B). Evidentiary tiering standards and product layer architecture are governed by WP-2026-SENI-ARCH-01 (specifically: D2 evidence tiers at Section IV; three-layer product architecture at Section II). Cross-domain application of this mechanism across narcotics, proliferation finance, and terrorist financing domains simultaneously is addressed in WP-2026-UNIFIED-01. This paper governs the channel-denial mechanism; UNIFIED-01 governs cross-domain application of that mechanism.</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Series position: This paper operates as a Layer 3 Strategic Model document per WP-2026-SENI-ARCH-01 Section II. It models the strategic logic of the multi-channel financial access disruption mechanism. It does not substitute for Layer 2 enforcement playbook development (target-specific financial pathway analysis to D2=[5-OSINT] standard) or Layer 1 intelligence estimate work (named-entity node profiling). Those analytical products are preconditions for specific deployment actions.</w:t>
            </w:r>
          </w:p>
        </w:tc>
      </w:tr>
    </w:tbl>
    <w:p>
      <w:pPr>
        <w:spacing w:before="0" w:after="80"/>
      </w:pPr>
      <w:r>
        <w:rPr>
          <w:sz w:val="2"/>
          <w:szCs w:val="2"/>
        </w:rPr>
        <w:t xml:space="preserve"/>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Key Judgments</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00"/>
        <w:gridCol w:w="7940"/>
      </w:tblGrid>
      <w:tr>
        <w:tc>
          <w:tcPr>
            <w:tcW w:type="dxa" w:w="70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0" w:after="0"/>
              <w:jc w:val="center"/>
            </w:pPr>
            <w:r>
              <w:rPr>
                <w:rFonts w:ascii="Arial" w:cs="Arial" w:eastAsia="Arial" w:hAnsi="Arial"/>
                <w:b/>
                <w:bCs/>
                <w:color w:val="FFFFFF"/>
                <w:sz w:val="28"/>
                <w:szCs w:val="28"/>
              </w:rPr>
              <w:t xml:space="preserve">1</w:t>
            </w:r>
          </w:p>
        </w:tc>
        <w:tc>
          <w:tcPr>
            <w:tcW w:type="dxa" w:w="7940"/>
            <w:tcBorders>
              <w:top w:val="none" w:color="FFFFFF" w:sz="0"/>
              <w:left w:val="none" w:color="FFFFFF" w:sz="0"/>
              <w:bottom w:val="none" w:color="FFFFFF" w:sz="0"/>
              <w:right w:val="none" w:color="FFFFFF" w:sz="0"/>
            </w:tcBorders>
            <w:shd w:fill="E8EDF5" w:val="clear"/>
            <w:tcMar>
              <w:top w:type="dxa" w:w="60"/>
              <w:left w:type="dxa" w:w="160"/>
              <w:bottom w:type="dxa" w:w="60"/>
              <w:right w:type="dxa" w:w="80"/>
            </w:tcMar>
          </w:tcPr>
          <w:p>
            <w:pPr>
              <w:spacing w:before="0" w:after="40"/>
            </w:pPr>
            <w:r>
              <w:rPr>
                <w:rFonts w:ascii="Arial" w:cs="Arial" w:eastAsia="Arial" w:hAnsi="Arial"/>
                <w:b/>
                <w:bCs/>
                <w:caps/>
                <w:color w:val="8B6914"/>
                <w:sz w:val="18"/>
                <w:szCs w:val="18"/>
              </w:rPr>
              <w:t xml:space="preserve">Moderate Confidence · Analytically Inferred</w:t>
            </w:r>
          </w:p>
          <w:p>
            <w:pPr>
              <w:spacing w:before="0" w:after="0"/>
            </w:pPr>
            <w:r>
              <w:rPr>
                <w:rFonts w:ascii="Arial" w:cs="Arial" w:eastAsia="Arial" w:hAnsi="Arial"/>
                <w:color w:val="000000"/>
                <w:sz w:val="20"/>
                <w:szCs w:val="20"/>
              </w:rPr>
              <w:t xml:space="preserve">Sequential node-designation strategies are assessed with moderate confidence as often structurally insufficient against adaptive illicit-finance networks because such networks retain substitution capacity across multiple financial access channels; removal of one channel is likely to increase utilization of remaining channels, though not necessarily without cost to overall operational capacity. That judgment is a structural assessment, not a universal rule: some networks remain highly dependent on a single dominant channel, and some sequential campaigns may still impose substantial local disruption even when they fail to produce durable network-wide effects.</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00"/>
        <w:gridCol w:w="7940"/>
      </w:tblGrid>
      <w:tr>
        <w:tc>
          <w:tcPr>
            <w:tcW w:type="dxa" w:w="70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0" w:after="0"/>
              <w:jc w:val="center"/>
            </w:pPr>
            <w:r>
              <w:rPr>
                <w:rFonts w:ascii="Arial" w:cs="Arial" w:eastAsia="Arial" w:hAnsi="Arial"/>
                <w:b/>
                <w:bCs/>
                <w:color w:val="FFFFFF"/>
                <w:sz w:val="28"/>
                <w:szCs w:val="28"/>
              </w:rPr>
              <w:t xml:space="preserve">2</w:t>
            </w:r>
          </w:p>
        </w:tc>
        <w:tc>
          <w:tcPr>
            <w:tcW w:type="dxa" w:w="7940"/>
            <w:tcBorders>
              <w:top w:val="none" w:color="FFFFFF" w:sz="0"/>
              <w:left w:val="none" w:color="FFFFFF" w:sz="0"/>
              <w:bottom w:val="none" w:color="FFFFFF" w:sz="0"/>
              <w:right w:val="none" w:color="FFFFFF" w:sz="0"/>
            </w:tcBorders>
            <w:shd w:fill="E8EDF5" w:val="clear"/>
            <w:tcMar>
              <w:top w:type="dxa" w:w="60"/>
              <w:left w:type="dxa" w:w="160"/>
              <w:bottom w:type="dxa" w:w="60"/>
              <w:right w:type="dxa" w:w="80"/>
            </w:tcMar>
          </w:tcPr>
          <w:p>
            <w:pPr>
              <w:spacing w:before="0" w:after="40"/>
            </w:pPr>
            <w:r>
              <w:rPr>
                <w:rFonts w:ascii="Arial" w:cs="Arial" w:eastAsia="Arial" w:hAnsi="Arial"/>
                <w:b/>
                <w:bCs/>
                <w:caps/>
                <w:color w:val="8B6914"/>
                <w:sz w:val="18"/>
                <w:szCs w:val="18"/>
              </w:rPr>
              <w:t xml:space="preserve">Moderate Confidence · Analytically Inferred</w:t>
            </w:r>
          </w:p>
          <w:p>
            <w:pPr>
              <w:spacing w:before="0" w:after="0"/>
            </w:pPr>
            <w:r>
              <w:rPr>
                <w:rFonts w:ascii="Arial" w:cs="Arial" w:eastAsia="Arial" w:hAnsi="Arial"/>
                <w:color w:val="000000"/>
                <w:sz w:val="20"/>
                <w:szCs w:val="20"/>
              </w:rPr>
              <w:t xml:space="preserve">The conditions under which coordinated multi-channel enforcement pressure is assessed as likely to remove low-cost substitution pathways more effectively than sequential enforcement are: sustained simultaneous pressure across operative channels determined by Tier classification; confirmed coalition participation for coalition-dependent channels; pre-positioned administrative records meeting the evidentiary standard in WP-2026-PERSIST-01 Section 4 (Confirmed Attribution) for all operative channels; parallel organizational disruption architecture; and sustained enforcement continuity for the assessed deployment window. Available evidence is consistent with this judgment under those conditions, but the public record does not establish that these conditions have been met simultaneously in any completed enforcement campaign against a Tier-1 target network.</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00"/>
        <w:gridCol w:w="7940"/>
      </w:tblGrid>
      <w:tr>
        <w:tc>
          <w:tcPr>
            <w:tcW w:type="dxa" w:w="70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0" w:after="0"/>
              <w:jc w:val="center"/>
            </w:pPr>
            <w:r>
              <w:rPr>
                <w:rFonts w:ascii="Arial" w:cs="Arial" w:eastAsia="Arial" w:hAnsi="Arial"/>
                <w:b/>
                <w:bCs/>
                <w:color w:val="FFFFFF"/>
                <w:sz w:val="28"/>
                <w:szCs w:val="28"/>
              </w:rPr>
              <w:t xml:space="preserve">3</w:t>
            </w:r>
          </w:p>
        </w:tc>
        <w:tc>
          <w:tcPr>
            <w:tcW w:type="dxa" w:w="7940"/>
            <w:tcBorders>
              <w:top w:val="none" w:color="FFFFFF" w:sz="0"/>
              <w:left w:val="none" w:color="FFFFFF" w:sz="0"/>
              <w:bottom w:val="none" w:color="FFFFFF" w:sz="0"/>
              <w:right w:val="none" w:color="FFFFFF" w:sz="0"/>
            </w:tcBorders>
            <w:shd w:fill="E8EDF5" w:val="clear"/>
            <w:tcMar>
              <w:top w:type="dxa" w:w="60"/>
              <w:left w:type="dxa" w:w="160"/>
              <w:bottom w:type="dxa" w:w="60"/>
              <w:right w:type="dxa" w:w="80"/>
            </w:tcMar>
          </w:tcPr>
          <w:p>
            <w:pPr>
              <w:spacing w:before="0" w:after="40"/>
            </w:pPr>
            <w:r>
              <w:rPr>
                <w:rFonts w:ascii="Arial" w:cs="Arial" w:eastAsia="Arial" w:hAnsi="Arial"/>
                <w:b/>
                <w:bCs/>
                <w:caps/>
                <w:color w:val="8B6914"/>
                <w:sz w:val="18"/>
                <w:szCs w:val="18"/>
              </w:rPr>
              <w:t xml:space="preserve">Low-Moderate Confidence · Scenario-Conditioned</w:t>
            </w:r>
          </w:p>
          <w:p>
            <w:pPr>
              <w:spacing w:before="0" w:after="0"/>
            </w:pPr>
            <w:r>
              <w:rPr>
                <w:rFonts w:ascii="Arial" w:cs="Arial" w:eastAsia="Arial" w:hAnsi="Arial"/>
                <w:color w:val="000000"/>
                <w:sz w:val="20"/>
                <w:szCs w:val="20"/>
              </w:rPr>
              <w:t xml:space="preserve">The cumulative cost-escalation effect of multi-channel pressure is assessed with low-moderate confidence to vary substantially by corridor, continuity, and coalition cohesion. Effects are likely partial, uneven, and reversible absent sustained pressure. Target networks are expected to adapt behavior in response to enforcement pressure; observed shifts in routing, jurisdictional positioning, or asset-class utilization are treated as adaptive responses, not indicators of framework success or failure absent corresponding changes in underlying network throughput or operational reliability.</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00"/>
        <w:gridCol w:w="7940"/>
      </w:tblGrid>
      <w:tr>
        <w:tc>
          <w:tcPr>
            <w:tcW w:type="dxa" w:w="70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0" w:after="0"/>
              <w:jc w:val="center"/>
            </w:pPr>
            <w:r>
              <w:rPr>
                <w:rFonts w:ascii="Arial" w:cs="Arial" w:eastAsia="Arial" w:hAnsi="Arial"/>
                <w:b/>
                <w:bCs/>
                <w:color w:val="FFFFFF"/>
                <w:sz w:val="28"/>
                <w:szCs w:val="28"/>
              </w:rPr>
              <w:t xml:space="preserve">4</w:t>
            </w:r>
          </w:p>
        </w:tc>
        <w:tc>
          <w:tcPr>
            <w:tcW w:type="dxa" w:w="7940"/>
            <w:tcBorders>
              <w:top w:val="none" w:color="FFFFFF" w:sz="0"/>
              <w:left w:val="none" w:color="FFFFFF" w:sz="0"/>
              <w:bottom w:val="none" w:color="FFFFFF" w:sz="0"/>
              <w:right w:val="none" w:color="FFFFFF" w:sz="0"/>
            </w:tcBorders>
            <w:shd w:fill="E8EDF5" w:val="clear"/>
            <w:tcMar>
              <w:top w:type="dxa" w:w="60"/>
              <w:left w:type="dxa" w:w="160"/>
              <w:bottom w:type="dxa" w:w="60"/>
              <w:right w:type="dxa" w:w="80"/>
            </w:tcMar>
          </w:tcPr>
          <w:p>
            <w:pPr>
              <w:spacing w:before="0" w:after="40"/>
            </w:pPr>
            <w:r>
              <w:rPr>
                <w:rFonts w:ascii="Arial" w:cs="Arial" w:eastAsia="Arial" w:hAnsi="Arial"/>
                <w:b/>
                <w:bCs/>
                <w:caps/>
                <w:color w:val="8B6914"/>
                <w:sz w:val="18"/>
                <w:szCs w:val="18"/>
              </w:rPr>
              <w:t xml:space="preserve">Moderate Confidence</w:t>
            </w:r>
          </w:p>
          <w:p>
            <w:pPr>
              <w:spacing w:before="0" w:after="0"/>
            </w:pPr>
            <w:r>
              <w:rPr>
                <w:rFonts w:ascii="Arial" w:cs="Arial" w:eastAsia="Arial" w:hAnsi="Arial"/>
                <w:color w:val="000000"/>
                <w:sz w:val="20"/>
                <w:szCs w:val="20"/>
              </w:rPr>
              <w:t xml:space="preserve">Cryptocurrency platforms represent a meaningful but likely insufficient substitution channel for large-scale network finance. Fiat conversion-point interdiction is assessed with moderate confidence as the more durable enforcement lever. The availability of statutory authority over U.S.-licensed exchange infrastructure does not establish enforceability over non-U.S. exchange infrastructure lacking U.S. market exposure, per WP-2026-PERSIST-01 Section 2.2 (Sanctions Rail hard limits).</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00"/>
        <w:gridCol w:w="7940"/>
      </w:tblGrid>
      <w:tr>
        <w:tc>
          <w:tcPr>
            <w:tcW w:type="dxa" w:w="70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0" w:after="0"/>
              <w:jc w:val="center"/>
            </w:pPr>
            <w:r>
              <w:rPr>
                <w:rFonts w:ascii="Arial" w:cs="Arial" w:eastAsia="Arial" w:hAnsi="Arial"/>
                <w:b/>
                <w:bCs/>
                <w:color w:val="FFFFFF"/>
                <w:sz w:val="28"/>
                <w:szCs w:val="28"/>
              </w:rPr>
              <w:t xml:space="preserve">5</w:t>
            </w:r>
          </w:p>
        </w:tc>
        <w:tc>
          <w:tcPr>
            <w:tcW w:type="dxa" w:w="7940"/>
            <w:tcBorders>
              <w:top w:val="none" w:color="FFFFFF" w:sz="0"/>
              <w:left w:val="none" w:color="FFFFFF" w:sz="0"/>
              <w:bottom w:val="none" w:color="FFFFFF" w:sz="0"/>
              <w:right w:val="none" w:color="FFFFFF" w:sz="0"/>
            </w:tcBorders>
            <w:shd w:fill="E8EDF5" w:val="clear"/>
            <w:tcMar>
              <w:top w:type="dxa" w:w="60"/>
              <w:left w:type="dxa" w:w="160"/>
              <w:bottom w:type="dxa" w:w="60"/>
              <w:right w:type="dxa" w:w="80"/>
            </w:tcMar>
          </w:tcPr>
          <w:p>
            <w:pPr>
              <w:spacing w:before="0" w:after="40"/>
            </w:pPr>
            <w:r>
              <w:rPr>
                <w:rFonts w:ascii="Arial" w:cs="Arial" w:eastAsia="Arial" w:hAnsi="Arial"/>
                <w:b/>
                <w:bCs/>
                <w:caps/>
                <w:color w:val="8B6914"/>
                <w:sz w:val="18"/>
                <w:szCs w:val="18"/>
              </w:rPr>
              <w:t xml:space="preserve">Low Confidence · Analytically Inferred</w:t>
            </w:r>
          </w:p>
          <w:p>
            <w:pPr>
              <w:spacing w:before="0" w:after="0"/>
            </w:pPr>
            <w:r>
              <w:rPr>
                <w:rFonts w:ascii="Arial" w:cs="Arial" w:eastAsia="Arial" w:hAnsi="Arial"/>
                <w:color w:val="000000"/>
                <w:sz w:val="20"/>
                <w:szCs w:val="20"/>
              </w:rPr>
              <w:t xml:space="preserve">Adaptive illicit networks are assessed as likely to respond to comprehensive multi-channel pressure through operational fragmentation. Fragmentation without parallel organizational disruption is treated as a negative or null outcome condition, not a success proxy. It is consistent with redistribution of activity across smaller and less observable units without net output reduction, and may be associated with increased market violence and reduced barriers to entry based on the historical enforcement record. Observed fragmentation triggers reassessment under Gate 4 (Parallel Disruption Architecture) rather than continuation of financial-channel pressure alone.</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00"/>
        <w:gridCol w:w="7940"/>
      </w:tblGrid>
      <w:tr>
        <w:tc>
          <w:tcPr>
            <w:tcW w:type="dxa" w:w="70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0" w:after="0"/>
              <w:jc w:val="center"/>
            </w:pPr>
            <w:r>
              <w:rPr>
                <w:rFonts w:ascii="Arial" w:cs="Arial" w:eastAsia="Arial" w:hAnsi="Arial"/>
                <w:b/>
                <w:bCs/>
                <w:color w:val="FFFFFF"/>
                <w:sz w:val="28"/>
                <w:szCs w:val="28"/>
              </w:rPr>
              <w:t xml:space="preserve">6</w:t>
            </w:r>
          </w:p>
        </w:tc>
        <w:tc>
          <w:tcPr>
            <w:tcW w:type="dxa" w:w="7940"/>
            <w:tcBorders>
              <w:top w:val="none" w:color="FFFFFF" w:sz="0"/>
              <w:left w:val="none" w:color="FFFFFF" w:sz="0"/>
              <w:bottom w:val="none" w:color="FFFFFF" w:sz="0"/>
              <w:right w:val="none" w:color="FFFFFF" w:sz="0"/>
            </w:tcBorders>
            <w:shd w:fill="E8EDF5" w:val="clear"/>
            <w:tcMar>
              <w:top w:type="dxa" w:w="60"/>
              <w:left w:type="dxa" w:w="160"/>
              <w:bottom w:type="dxa" w:w="60"/>
              <w:right w:type="dxa" w:w="80"/>
            </w:tcMar>
          </w:tcPr>
          <w:p>
            <w:pPr>
              <w:spacing w:before="0" w:after="40"/>
            </w:pPr>
            <w:r>
              <w:rPr>
                <w:rFonts w:ascii="Arial" w:cs="Arial" w:eastAsia="Arial" w:hAnsi="Arial"/>
                <w:b/>
                <w:bCs/>
                <w:caps/>
                <w:color w:val="8B6914"/>
                <w:sz w:val="18"/>
                <w:szCs w:val="18"/>
              </w:rPr>
              <w:t xml:space="preserve">High Confidence</w:t>
            </w:r>
          </w:p>
          <w:p>
            <w:pPr>
              <w:spacing w:before="0" w:after="0"/>
            </w:pPr>
            <w:r>
              <w:rPr>
                <w:rFonts w:ascii="Arial" w:cs="Arial" w:eastAsia="Arial" w:hAnsi="Arial"/>
                <w:color w:val="000000"/>
                <w:sz w:val="20"/>
                <w:szCs w:val="20"/>
              </w:rPr>
              <w:t xml:space="preserve">All enforcement mechanisms described in this framework rest on existing, codified U.S. statutory authority. The existence of that authority does not establish operational feasibility, political willingness to use it at scale, enforceability across jurisdictions without U.S. financial nexus, or the interagency coordination capacity required to deploy it simultaneously. Those are independent variables addressed in Parts II through IV.</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00"/>
        <w:gridCol w:w="7940"/>
      </w:tblGrid>
      <w:tr>
        <w:tc>
          <w:tcPr>
            <w:tcW w:type="dxa" w:w="70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0" w:after="0"/>
              <w:jc w:val="center"/>
            </w:pPr>
            <w:r>
              <w:rPr>
                <w:rFonts w:ascii="Arial" w:cs="Arial" w:eastAsia="Arial" w:hAnsi="Arial"/>
                <w:b/>
                <w:bCs/>
                <w:color w:val="FFFFFF"/>
                <w:sz w:val="28"/>
                <w:szCs w:val="28"/>
              </w:rPr>
              <w:t xml:space="preserve">7</w:t>
            </w:r>
          </w:p>
        </w:tc>
        <w:tc>
          <w:tcPr>
            <w:tcW w:type="dxa" w:w="7940"/>
            <w:tcBorders>
              <w:top w:val="none" w:color="FFFFFF" w:sz="0"/>
              <w:left w:val="none" w:color="FFFFFF" w:sz="0"/>
              <w:bottom w:val="none" w:color="FFFFFF" w:sz="0"/>
              <w:right w:val="none" w:color="FFFFFF" w:sz="0"/>
            </w:tcBorders>
            <w:shd w:fill="E8EDF5" w:val="clear"/>
            <w:tcMar>
              <w:top w:type="dxa" w:w="60"/>
              <w:left w:type="dxa" w:w="160"/>
              <w:bottom w:type="dxa" w:w="60"/>
              <w:right w:type="dxa" w:w="80"/>
            </w:tcMar>
          </w:tcPr>
          <w:p>
            <w:pPr>
              <w:spacing w:before="0" w:after="40"/>
            </w:pPr>
            <w:r>
              <w:rPr>
                <w:rFonts w:ascii="Arial" w:cs="Arial" w:eastAsia="Arial" w:hAnsi="Arial"/>
                <w:b/>
                <w:bCs/>
                <w:caps/>
                <w:color w:val="8B6914"/>
                <w:sz w:val="18"/>
                <w:szCs w:val="18"/>
              </w:rPr>
              <w:t xml:space="preserve">Low-Moderate Confidence · Analytically Inferred</w:t>
            </w:r>
          </w:p>
          <w:p>
            <w:pPr>
              <w:spacing w:before="0" w:after="0"/>
            </w:pPr>
            <w:r>
              <w:rPr>
                <w:rFonts w:ascii="Arial" w:cs="Arial" w:eastAsia="Arial" w:hAnsi="Arial"/>
                <w:color w:val="000000"/>
                <w:sz w:val="20"/>
                <w:szCs w:val="20"/>
              </w:rPr>
              <w:t xml:space="preserve">The framework is not analytically applicable — and is assessed as likely to be consistent with outcomes indistinguishable from sequential enforcement — under degraded conditions: fewer than five channels under concurrent pressure, coalition participation absent in key USD-adjacent jurisdictions, or enforcement continuity interrupted for more than 60 days on any operative channel. Under those conditions, partial deployment may accelerate adversary adaptation by providing live enforcement intelligence without the cumulative cost escalation the framework requires.</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00"/>
        <w:gridCol w:w="7940"/>
      </w:tblGrid>
      <w:tr>
        <w:tc>
          <w:tcPr>
            <w:tcW w:type="dxa" w:w="70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0" w:after="0"/>
              <w:jc w:val="center"/>
            </w:pPr>
            <w:r>
              <w:rPr>
                <w:rFonts w:ascii="Arial" w:cs="Arial" w:eastAsia="Arial" w:hAnsi="Arial"/>
                <w:b/>
                <w:bCs/>
                <w:color w:val="FFFFFF"/>
                <w:sz w:val="28"/>
                <w:szCs w:val="28"/>
              </w:rPr>
              <w:t xml:space="preserve">8</w:t>
            </w:r>
          </w:p>
        </w:tc>
        <w:tc>
          <w:tcPr>
            <w:tcW w:type="dxa" w:w="7940"/>
            <w:tcBorders>
              <w:top w:val="none" w:color="FFFFFF" w:sz="0"/>
              <w:left w:val="none" w:color="FFFFFF" w:sz="0"/>
              <w:bottom w:val="none" w:color="FFFFFF" w:sz="0"/>
              <w:right w:val="none" w:color="FFFFFF" w:sz="0"/>
            </w:tcBorders>
            <w:shd w:fill="E8EDF5" w:val="clear"/>
            <w:tcMar>
              <w:top w:type="dxa" w:w="60"/>
              <w:left w:type="dxa" w:w="160"/>
              <w:bottom w:type="dxa" w:w="60"/>
              <w:right w:type="dxa" w:w="80"/>
            </w:tcMar>
          </w:tcPr>
          <w:p>
            <w:pPr>
              <w:spacing w:before="0" w:after="40"/>
            </w:pPr>
            <w:r>
              <w:rPr>
                <w:rFonts w:ascii="Arial" w:cs="Arial" w:eastAsia="Arial" w:hAnsi="Arial"/>
                <w:b/>
                <w:bCs/>
                <w:caps/>
                <w:color w:val="8B6914"/>
                <w:sz w:val="18"/>
                <w:szCs w:val="18"/>
              </w:rPr>
              <w:t xml:space="preserve">High Confidence</w:t>
            </w:r>
          </w:p>
          <w:p>
            <w:pPr>
              <w:spacing w:before="0" w:after="0"/>
            </w:pPr>
            <w:r>
              <w:rPr>
                <w:rFonts w:ascii="Arial" w:cs="Arial" w:eastAsia="Arial" w:hAnsi="Arial"/>
                <w:color w:val="000000"/>
                <w:sz w:val="20"/>
                <w:szCs w:val="20"/>
              </w:rPr>
              <w:t xml:space="preserve">The framework is not analytically applicable to a Tier B or Tier C network absent: completed Tier Classification Assessment establishing the operative channel set; binary coalition status determination at the evidentiary standard specified in Gate 3; pre-positioned administrative records for all operative channels meeting the standard in WP-2026-PERSIST-01 Section 4 and WP-2026-SENI-ARCH-01 Section IV; and a parallel organizational disruption architecture determination under Gate 4. Deployment without these conditions satisfied is sequential enforcement under a different label.</w:t>
            </w:r>
          </w:p>
        </w:tc>
      </w:tr>
    </w:tbl>
    <w:p>
      <w:pPr>
        <w:spacing w:before="0" w:after="80"/>
      </w:pPr>
      <w:r>
        <w:rPr>
          <w:sz w:val="2"/>
          <w:szCs w:val="2"/>
        </w:rPr>
        <w:t xml:space="preserve"/>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I: Problem Definition and Analytic Framework</w:t>
      </w:r>
    </w:p>
    <w:p>
      <w:pPr>
        <w:pStyle w:val="Heading2"/>
        <w:spacing w:before="240" w:after="80"/>
      </w:pPr>
      <w:r>
        <w:rPr>
          <w:rFonts w:ascii="Arial" w:cs="Arial" w:eastAsia="Arial" w:hAnsi="Arial"/>
          <w:b/>
          <w:bCs/>
          <w:color w:val="1B2A4A"/>
          <w:sz w:val="24"/>
          <w:szCs w:val="24"/>
        </w:rPr>
        <w:t xml:space="preserve">1.1 The Structural Failure of Sequential Designation</w:t>
      </w:r>
    </w:p>
    <w:p>
      <w:pPr>
        <w:spacing w:before="60" w:after="120"/>
        <w:jc w:val="both"/>
      </w:pPr>
      <w:r>
        <w:rPr>
          <w:rFonts w:ascii="Arial" w:cs="Arial" w:eastAsia="Arial" w:hAnsi="Arial"/>
          <w:b w:val="false"/>
          <w:bCs w:val="false"/>
          <w:i w:val="false"/>
          <w:iCs w:val="false"/>
          <w:color w:val="000000"/>
          <w:sz w:val="22"/>
          <w:szCs w:val="22"/>
        </w:rPr>
        <w:t xml:space="preserve">Sequential, node-by-node designation strategies have constituted the dominant U.S. enforcement posture against illicit-finance networks for several decades. Available enforcement reporting is consistent with the judgment that this approach has not produced durable network effects against adaptive Tier-1 targets. The structural reason is documented: administrative designation timelines of 30 to 180 days consistently exceed network channel-migration timelines of 30 to 60 days. Each enforcement action is assessed against a target that has already migrated; each cycle completes without removing the substitution capacity that makes the next migration possible.</w:t>
      </w:r>
    </w:p>
    <w:p>
      <w:pPr>
        <w:spacing w:before="60" w:after="120"/>
        <w:jc w:val="both"/>
      </w:pPr>
      <w:r>
        <w:rPr>
          <w:rFonts w:ascii="Arial" w:cs="Arial" w:eastAsia="Arial" w:hAnsi="Arial"/>
          <w:b w:val="false"/>
          <w:bCs w:val="false"/>
          <w:i w:val="false"/>
          <w:iCs w:val="false"/>
          <w:color w:val="000000"/>
          <w:sz w:val="22"/>
          <w:szCs w:val="22"/>
        </w:rPr>
        <w:t xml:space="preserve">The available record further suggests that each failed sequential cycle may provide the target network with operational intelligence about enforcement sequencing, migration timelines, and the specific channels the enforcement architecture will address next. The question of whether sequential enforcement has a net training effect on adversary adaptation is analytically contested; it is raised here as an identified risk, not an established finding.</w:t>
      </w:r>
    </w:p>
    <w:p>
      <w:pPr>
        <w:spacing w:before="60" w:after="120"/>
        <w:jc w:val="both"/>
      </w:pPr>
      <w:r>
        <w:rPr>
          <w:rFonts w:ascii="Arial" w:cs="Arial" w:eastAsia="Arial" w:hAnsi="Arial"/>
          <w:b w:val="false"/>
          <w:bCs w:val="false"/>
          <w:i w:val="false"/>
          <w:iCs w:val="false"/>
          <w:color w:val="000000"/>
          <w:sz w:val="22"/>
          <w:szCs w:val="22"/>
        </w:rPr>
        <w:t xml:space="preserve">The framework's analytic premise is that constraining substitution pathways simultaneously — before the network can migrate to any of them — changes the cost environment more fundamentally than removing them sequentially. Whether that premise holds for any specific target network depends on whether the conditions specified in Part II are satisfied. The simultaneity requirement is analytically derived from the adversary Phase 2 to Phase 3 transition window defined in WP-2026-EVASION-01 Part II: enforcement that arrives after a network has entered Phase 3 institutionalization faces a materially higher evasion cost to close than enforcement that arrives during Phase 1 or Phase 2. Gate 2 preparation timeline arithmetic is therefore calibrated to the Phase 2-3 transition timeline for each channel, not only to the Phase 1-2 migration timeline.</w:t>
      </w:r>
    </w:p>
    <w:p>
      <w:pPr>
        <w:spacing w:before="60" w:after="120"/>
        <w:jc w:val="both"/>
      </w:pPr>
      <w:r>
        <w:rPr>
          <w:rFonts w:ascii="Arial" w:cs="Arial" w:eastAsia="Arial" w:hAnsi="Arial"/>
          <w:b w:val="false"/>
          <w:bCs w:val="false"/>
          <w:i w:val="false"/>
          <w:iCs w:val="false"/>
          <w:color w:val="000000"/>
          <w:sz w:val="22"/>
          <w:szCs w:val="22"/>
        </w:rPr>
        <w:t xml:space="preserve">This framework is not universally applicable. Its analytical support degrades where target networks lack material exposure to U.S.-jurisdictional financial, trade, or infrastructure nodes. The specific conditions under which analytical support degrades are analyzed in Parts III and IV. A deployment that proceeds without assessing those conditions is not an application of this framework.</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7A4000" w:sz="18" w:space="0"/>
              <w:bottom w:val="none" w:color="FFFFFF" w:sz="0"/>
              <w:right w:val="none" w:color="FFFFFF" w:sz="0"/>
            </w:tcBorders>
            <w:shd w:fill="FEF3E2" w:val="clear"/>
            <w:tcMar>
              <w:top w:type="dxa" w:w="60"/>
              <w:left w:type="dxa" w:w="160"/>
              <w:bottom w:type="dxa" w:w="20"/>
              <w:right w:type="dxa" w:w="80"/>
            </w:tcMar>
          </w:tcPr>
          <w:p>
            <w:pPr>
              <w:spacing w:before="0" w:after="0"/>
            </w:pPr>
            <w:r>
              <w:rPr>
                <w:rFonts w:ascii="Arial" w:cs="Arial" w:eastAsia="Arial" w:hAnsi="Arial"/>
                <w:b/>
                <w:bCs/>
                <w:caps/>
                <w:color w:val="7A4000"/>
                <w:sz w:val="18"/>
                <w:szCs w:val="18"/>
              </w:rPr>
              <w:t xml:space="preserve">APPLICABILITY NOTE — The Preparation Paradox</w:t>
            </w:r>
          </w:p>
        </w:tc>
      </w:tr>
      <w:tr>
        <w:tc>
          <w:tcPr>
            <w:tcW w:type="dxa" w:w="8640"/>
            <w:tcBorders>
              <w:top w:val="none" w:color="FFFFFF" w:sz="0"/>
              <w:left w:val="single" w:color="7A4000" w:sz="18" w:space="0"/>
              <w:bottom w:val="single" w:color="FEF3E2" w:sz="4"/>
              <w:right w:val="none" w:color="FFFFFF" w:sz="0"/>
            </w:tcBorders>
            <w:shd w:fill="FEF3E2"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The framework is not analytically applicable unless simultaneous execution can be achieved. Simultaneous execution requires sequential preparation. Administrative records for all operative channels must reach the standard specified in Gate 2 before any Channel 1 action is taken, because once Channel 1 designations are published, the network's documented migration window begins. Any channel not at execution-ready status within 30 to 60 days of Channel 1 publication provides a substitution pathway that the framework's cumulative logic requires to be closed. Preparation sequencing — not execution sequencing — is the binding applicability constraint.</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1.2 The Multi-Channel Access Disruption Framework</w:t>
      </w:r>
    </w:p>
    <w:p>
      <w:pPr>
        <w:spacing w:before="60" w:after="120"/>
        <w:jc w:val="both"/>
      </w:pPr>
      <w:r>
        <w:rPr>
          <w:rFonts w:ascii="Arial" w:cs="Arial" w:eastAsia="Arial" w:hAnsi="Arial"/>
          <w:b w:val="false"/>
          <w:bCs w:val="false"/>
          <w:i w:val="false"/>
          <w:iCs w:val="false"/>
          <w:color w:val="000000"/>
          <w:sz w:val="22"/>
          <w:szCs w:val="22"/>
        </w:rPr>
        <w:t xml:space="preserve">This paper proposes a seven-channel financial access disruption framework as an analytic model for assessing where adaptive illicit networks obtain substitution capacity, and the conditions under which coordinated enforcement pressure across those channels may remove low-cost substitution pathways more effectively than sequential action. The framework does not propose a novel legal theory. It proposes a coordination architecture for existing authorities applied under conditions that the framework specifies precisely.</w:t>
      </w:r>
    </w:p>
    <w:p>
      <w:pPr>
        <w:spacing w:before="60" w:after="120"/>
        <w:jc w:val="both"/>
      </w:pPr>
      <w:r>
        <w:rPr>
          <w:rFonts w:ascii="Arial" w:cs="Arial" w:eastAsia="Arial" w:hAnsi="Arial"/>
          <w:b w:val="false"/>
          <w:bCs w:val="false"/>
          <w:i w:val="false"/>
          <w:iCs w:val="false"/>
          <w:color w:val="000000"/>
          <w:sz w:val="22"/>
          <w:szCs w:val="22"/>
        </w:rPr>
        <w:t xml:space="preserve">The core analytic claim is conditional: under the applicability conditions defined in Part II, simultaneous enforcement pressure across all operative channels may remove the low-cost substitution option that makes sequential enforcement recoverable. Whether that removal is sufficient to contribute to durable operational constraint for any specific target network is a deployment assessment that requires independent evidentiary development; it is not established by the framework's analytic logic alone. This analysis assumes Layer 1 intelligence estimate products and Layer 2 enforcement playbook products have been developed to WP-2026-SENI-ARCH-01 evidentiary standards as prerequisites; the mechanism analysis in this paper does not substitute for those products.</w:t>
      </w:r>
    </w:p>
    <w:p>
      <w:pPr>
        <w:spacing w:before="60" w:after="120"/>
        <w:jc w:val="both"/>
      </w:pPr>
      <w:r>
        <w:rPr>
          <w:rFonts w:ascii="Arial" w:cs="Arial" w:eastAsia="Arial" w:hAnsi="Arial"/>
          <w:b w:val="false"/>
          <w:bCs w:val="false"/>
          <w:i w:val="false"/>
          <w:iCs w:val="false"/>
          <w:color w:val="000000"/>
          <w:sz w:val="22"/>
          <w:szCs w:val="22"/>
        </w:rPr>
        <w:t xml:space="preserve">The framework identifies seven financial access channels as the categories through which illicit finance networks obtain operational liquidity, store value, acquire inputs, and move proceeds: formal banking infrastructure; physical currency movement; cryptocurrency platforms; trade finance mechanisms; real estate markets; informal value transfer systems; and maritime and logistics networks.</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ANALYTIC POSTURE</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This framework is a conditional analytic assessment, not a prediction of outcomes. It specifies the conditions under which coordinated multi-channel pressure may remove substitution pathways; it does not establish that those conditions can be met, that meeting them will produce the assessed effects, or that the assessed effects will contribute to durable reductions in network output. The gap between each of those steps is a source of genuine uncertainty that the framework acknowledges throughout.</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The framework is most useful as a structure for asking precise questions before deployment — specifically, which conditions are satisfied, which are not, and what the deployment may produce under the actual conditions available rather than the ideal conditions assumed.</w:t>
            </w:r>
          </w:p>
        </w:tc>
      </w:tr>
    </w:tbl>
    <w:p>
      <w:pPr>
        <w:spacing w:before="0" w:after="80"/>
      </w:pPr>
      <w:r>
        <w:rPr>
          <w:sz w:val="2"/>
          <w:szCs w:val="2"/>
        </w:rPr>
        <w:t xml:space="preserve"/>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II: Pre-Deployment Applicability Conditions — Five Assessment Gates</w:t>
      </w:r>
    </w:p>
    <w:p>
      <w:pPr>
        <w:spacing w:before="60" w:after="120"/>
        <w:jc w:val="both"/>
      </w:pPr>
      <w:r>
        <w:rPr>
          <w:rFonts w:ascii="Arial" w:cs="Arial" w:eastAsia="Arial" w:hAnsi="Arial"/>
          <w:b w:val="false"/>
          <w:bCs w:val="false"/>
          <w:i w:val="false"/>
          <w:iCs w:val="false"/>
          <w:color w:val="000000"/>
          <w:sz w:val="22"/>
          <w:szCs w:val="22"/>
        </w:rPr>
        <w:t xml:space="preserve">This section defines the five assessment gates that determine whether the framework is analytically applicable to a specific target network. The gates are structured as applicability conditions grounded in a documented administrative record. Each determination must be traceable to a documented record sufficient to withstand review under arbitrary-and-capricious standards. A gate determination that cannot be traced to a specific documented evidentiary basis is not a supported determination under this framework.</w:t>
      </w:r>
    </w:p>
    <w:p>
      <w:pPr>
        <w:spacing w:before="60" w:after="120"/>
        <w:jc w:val="both"/>
      </w:pPr>
      <w:r>
        <w:rPr>
          <w:rFonts w:ascii="Arial" w:cs="Arial" w:eastAsia="Arial" w:hAnsi="Arial"/>
          <w:b w:val="false"/>
          <w:bCs w:val="false"/>
          <w:i w:val="false"/>
          <w:iCs w:val="false"/>
          <w:color w:val="000000"/>
          <w:sz w:val="22"/>
          <w:szCs w:val="22"/>
        </w:rPr>
        <w:t xml:space="preserve">Each gate specifies: the applicability question, the evidentiary standard that constitutes a supported determination based on documented record, the specific evidentiary element whose absence renders the determination not supported, and the consequence for deployment scope. The gates are binary because administrative records either satisfy the legal sufficiency standard or they do not — partial satisfaction is not a legally recognized category in APA administrative review.</w:t>
      </w:r>
    </w:p>
    <w:p>
      <w:pPr>
        <w:pStyle w:val="Heading2"/>
        <w:spacing w:before="240" w:after="80"/>
      </w:pPr>
      <w:r>
        <w:rPr>
          <w:rFonts w:ascii="Arial" w:cs="Arial" w:eastAsia="Arial" w:hAnsi="Arial"/>
          <w:b/>
          <w:bCs/>
          <w:color w:val="1B2A4A"/>
          <w:sz w:val="24"/>
          <w:szCs w:val="24"/>
        </w:rPr>
        <w:t xml:space="preserve">Gate 1: Tier Classification Assessment</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GATE 1 — TIER CLASSIFICATION</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Applicability question: What is the target network's USD-corridor dependency profile, and which channels are analytically supported for this target?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Supported based on documented record demonstrating: Tier classification completed, documented, and agreed by lead agency before administrative record preparation begins; documented assessment of identified target throughput distribution across USD and non-USD corridors drawn from FinCEN SAR analysis, § 314(a) information sharing returns, or published enforcement reporting; classification specifies which channels have direct U.S. enforcement leverage for this target and which are coalition-dependent or analytically inapplicable. For target networks with identified PRC financial institution involvement in their USD-corridor throughput chain, Tier Classification additionally requires a PRC commercial state-nexus attribution assessment determining which authority rail governs that institutional involvement, per WP-2026-SAM-01 Part IX and pending WP-2026-NEXUS/CSE-01 integration.</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Not supported where record lacks: documented throughput distribution analysis at the named-institution or corridor level; lead agency agreement on classification; or, for PRC-corridor targets, a completed state-nexus attribution determination. Evidentiary standard consistent with WP-2026-PERSIST-01 Section 4 (Confirmed Attribution threshold). For named-institution classification claims, record must reach D2=[5-OSINT] standard per WP-2026-SENI-ARCH-01 Section IV.</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Scope consequence if not supported: No record preparation for any channel commences. Framework not applicable until classification resolved at evidentiary standard.</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Gate 2: Administrative Record Pre-Positioning</w:t>
      </w:r>
    </w:p>
    <w:p>
      <w:pPr>
        <w:spacing w:before="60" w:after="120"/>
        <w:jc w:val="both"/>
      </w:pPr>
      <w:r>
        <w:rPr>
          <w:rFonts w:ascii="Arial" w:cs="Arial" w:eastAsia="Arial" w:hAnsi="Arial"/>
          <w:b w:val="false"/>
          <w:bCs w:val="false"/>
          <w:i w:val="false"/>
          <w:iCs w:val="false"/>
          <w:color w:val="000000"/>
          <w:sz w:val="22"/>
          <w:szCs w:val="22"/>
        </w:rPr>
        <w:t xml:space="preserve">This gate operationalizes the Layer 2 enforcement playbook development requirement identified in the Series Compliance Clause. Gate 2 cannot be assessed as supported unless Layer 1 intelligence estimate work (named-entity node profiling at WP-2026-SENI-ARCH-01 Layer 1 standard) and Layer 2 financial pathway analysis (D2=[5-OSINT] per WP-2026-SENI-ARCH-01 Section IV) have been completed for each operative channel's named-institution designation targets. This analysis assumes those Layer 1 and Layer 2 products have been developed to SENI-ARCH-01 evidentiary standards before Gate 2 is assessed.</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GATE 2 — ADMINISTRATIVE RECORD PRE-POSITIONING</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Applicability question: Are administrative records for all operative channels at the APA-sustainability standard before Channel 1 action is taken?</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Supported based on documented record demonstrating: For each operative channel, the lead agency has documented that the evidentiary basis satisfies APA notice-and-comment or emergency action sustainability requirements; the record has been reviewed for anticipated constitutional and procedural challenge categories; and the action can be executed within 30 days of Channel 1 publication. This standard is consistent with the Confirmed Attribution evidentiary threshold in WP-2026-PERSIST-01 Section 4. For named-institution designation actions, records must reach D2=[5-OSINT] (named-bank level) per WP-2026-SENI-ARCH-01 Section IV before this gate is supported.</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Not supported where record lacks: completed evidentiary basis documentation for any operative channel; legal review confirming APA-sustainability; or confirmed ability to execute within 30 days of Channel 1.</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Preparation timeline arithmetic: The slowest operative channel record governs the Channel 1 date. If Channel 4 (Entity List / FDPR) preparation requires 90 days and Channel 1 requires 60 days, Channel 4 preparation must begin 30 days before Channel 1 preparation. Channel 1 is not analytically supported until Channel 4 reaches standard.</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Determinations must be traceable to a documented administrative record sufficient to withstand review under arbitrary-and-capricious standards. A determination based on anticipated rather than completed record development is not a supported determination.</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Gate 3: Coalition Status Determination</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GATE 3 — COALITION STATUS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Applicability question: Do the conditions exist under which coalition-dependent channels are analytically supported for inclusion in the deployment scope?</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Supported based on documented record demonstrating: At least two of the three key jurisdictions relevant to the target network's financial corridor have provided documented operational commitments within 30 days of the intended Channel 1 date, consisting of confirmed active intelligence sharing on identified target flows, confirmed parallel enforcement or regulatory action on a synchronized timeline, or documented compliance by relevant financial institutions with U.S. secondary sanctions notices sustained for at least 30 days. The specific operational commitment standard applied here is consistent with the coalition-risk review requirements in WP-2026-PERSIST-01 Section 3: for Tier 2-equivalent actions, documented non-objection from at least one primary partner; for Tier 3-equivalent systemic risk profiles, affirmative written concurrence from at least two primary partners. The WP-2026-PERSIST-01 Appendix B.2 Coalition-Risk Review Memorandum template should be completed as part of this gate's documentation record.</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Not supported where record lacks: specific operational commitments at the documented-action level from at least two key jurisdictions; distinction between general diplomatic engagement and operational commitment is critical — diplomatic expressions of support do not satisfy this standard.</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Scope consequence if not supported: Coalition-dependent channels removed from analytically supported deployment scope. Determinations must be traceable to a documented administrative record sufficient to withstand review under arbitrary-and-capricious standards.</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Gate 4: Parallel Organizational Disruption Architecture Assessment</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GATE 4 — PARALLEL DISRUPTION ASSESSMENT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Applicability question: Is a parallel organizational disruption architecture ready for execution on a timeline synchronized with the financial access disruption deployment?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Supported based on documented record demonstrating: The responsible prosecutorial authority has confirmed that proceedings targeting identified network organizational leadership are sufficiently advanced to support indictment within the deployment window; civil asset forfeiture actions targeting organizational capital are prepared for execution concurrent with or within 30 days of Channel 1 financial actions; and the organizational disruption timeline is synchronized with the financial access disruption window.</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Not supported where record lacks: confirmed prosecutorial readiness documentation; synchronized organizational and financial disruption timeline; or civil asset forfeiture preparation for organizational capital rather than only financial throughput.</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Scope consequence if not supported: Fragmentation without parallel organizational disruption is treated as a negative or null outcome condition, not a success proxy. Deployment may proceed — if otherwise analytically supported — only with explicit documentation that the probable outcome is fragmentation with redistributed rather than reduced output, that this outcome is accepted as the deployment's likely result, and that deployment objectives are scoped accordingly. This documentation is itself part of the administrative record and must be traceable under the arbitrary-and-capricious standard.</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Gate 5: Enforcement Continuity Assessment</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GATE 5 — CONTINUITY ASSESSMENT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Applicability question: Are the resources, legal authorities, and authorizations required to sustain simultaneous channel pressure for the assessed deployment window confirmed before Channel 1 action?</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Supported based on documented record demonstrating: Each lead agency has confirmed administrative and legal resources sufficient to sustain channel actions through anticipated legal challenges without interruption exceeding 60 days; operational resources for the full assessed deployment duration; and authorization at the level required to maintain deployment through the full window.</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Not supported where record lacks: confirmed resource availability for the full deployment window from any operative channel's lead agency; or authorization documentation at the required level.</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The 60-day interruption threshold is an analytical boundary derived from the documented network migration timeline, not a planning target. An interruption exceeding 60 days on any operative channel triggers the Failure Mode Three reassessment protocol. Determinations must be traceable to a documented administrative record sufficient to withstand review under arbitrary-and-capricious standards.</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2.6 Gate Failure Cascade Model</w:t>
      </w:r>
    </w:p>
    <w:p>
      <w:pPr>
        <w:spacing w:before="60" w:after="120"/>
        <w:jc w:val="both"/>
      </w:pPr>
      <w:r>
        <w:rPr>
          <w:rFonts w:ascii="Arial" w:cs="Arial" w:eastAsia="Arial" w:hAnsi="Arial"/>
          <w:b w:val="false"/>
          <w:bCs w:val="false"/>
          <w:i w:val="false"/>
          <w:iCs w:val="false"/>
          <w:color w:val="000000"/>
          <w:sz w:val="22"/>
          <w:szCs w:val="22"/>
        </w:rPr>
        <w:t xml:space="preserve">The five gates interact as a system. Failure in one gate does not affect only that gate's channel scope; it cascades through dependent gates and channels. The cascade model below defines the specific downstream effects of each gate failure, converting the static gate system into a dynamic description of how the framework's analytical support degrades under real conditions.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3040"/>
      </w:tblGrid>
      <w:tr>
        <w:trPr>
          <w:tblHeader/>
        </w:trPr>
        <w:tc>
          <w:tcPr>
            <w:tcW w:type="dxa" w:w="12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Gate Failure</w:t>
            </w:r>
          </w:p>
        </w:tc>
        <w:tc>
          <w:tcPr>
            <w:tcW w:type="dxa" w:w="20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Immediate Channel Consequence</w:t>
            </w:r>
          </w:p>
        </w:tc>
        <w:tc>
          <w:tcPr>
            <w:tcW w:type="dxa" w:w="24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Cascade Effect on Other Gates</w:t>
            </w:r>
          </w:p>
        </w:tc>
        <w:tc>
          <w:tcPr>
            <w:tcW w:type="dxa" w:w="304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Reversibility Window</w:t>
            </w:r>
          </w:p>
        </w:tc>
      </w:tr>
      <w:tr>
        <w:tc>
          <w:tcPr>
            <w:tcW w:type="dxa" w:w="1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Gate 1 — Tier Classification failure or revision</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All channel scope determinations are unsupported; no preparation commences or continues</w:t>
            </w:r>
          </w:p>
        </w:tc>
        <w:tc>
          <w:tcPr>
            <w:tcW w:type="dxa" w:w="2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Gate 2 cannot be assessed (operative channel set undefined); Gate 3 coalition determination scope undefined; Gate 4 parallel disruption scope undefined</w:t>
            </w:r>
          </w:p>
        </w:tc>
        <w:tc>
          <w:tcPr>
            <w:tcW w:type="dxa" w:w="30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Gate 1 must be resolved before any downstream gate can be assessed; no time bound — resolution governs timeline</w:t>
            </w:r>
          </w:p>
        </w:tc>
      </w:tr>
      <w:tr>
        <w:tc>
          <w:tcPr>
            <w:tcW w:type="dxa" w:w="1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Gate 2 — Record pre-positioning not achieved for one or more channels</w:t>
            </w:r>
          </w:p>
        </w:tc>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Affected channel(s) cannot be executed within the simultaneity window; those channels are removed from analytically supported scope</w:t>
            </w:r>
          </w:p>
        </w:tc>
        <w:tc>
          <w:tcPr>
            <w:tcW w:type="dxa" w:w="2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If removed channels are primary leverage channels (1 or 3), framework may degrade to amplifying-channel-only deployment with limited cumulative logic; if coalition-dependent channels (6 or 7), Gate 3 determination scope narrows</w:t>
            </w:r>
          </w:p>
        </w:tc>
        <w:tc>
          <w:tcPr>
            <w:tcW w:type="dxa" w:w="30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Reversible if record development completed before Channel 1 date; irreversible once Channel 1 is published and migration window begins</w:t>
            </w:r>
          </w:p>
        </w:tc>
      </w:tr>
      <w:tr>
        <w:tc>
          <w:tcPr>
            <w:tcW w:type="dxa" w:w="1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Gate 3 — Coalition status not supported for Tier B Channels 6 and 7</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Channels 6 and 7 removed from analytically supported scope for this deployment</w:t>
            </w:r>
          </w:p>
        </w:tc>
        <w:tc>
          <w:tcPr>
            <w:tcW w:type="dxa" w:w="2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Gate 2 preparation for Channels 6 and 7 becomes wasted resource; Gate 5 continuity commitments for those channels should be rescoped; no cascade to Channels 1-5 if their records are independent</w:t>
            </w:r>
          </w:p>
        </w:tc>
        <w:tc>
          <w:tcPr>
            <w:tcW w:type="dxa" w:w="30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Partially reversible during deployment if coalition confirmation achieved; does not change Channel 1 date or scope determination already made</w:t>
            </w:r>
          </w:p>
        </w:tc>
      </w:tr>
      <w:tr>
        <w:tc>
          <w:tcPr>
            <w:tcW w:type="dxa" w:w="1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Gate 4 — Parallel disruption architecture absent or partial</w:t>
            </w:r>
          </w:p>
        </w:tc>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Financial denial deployment proceeds with fragmentation-with-redistribution as the documented probable outcome; deployment objectives scoped to intelligence and asset recovery</w:t>
            </w:r>
          </w:p>
        </w:tc>
        <w:tc>
          <w:tcPr>
            <w:tcW w:type="dxa" w:w="2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No direct cascade to other gates; but Gate 5 continuity commitment under these conditions carries elevated risk of producing net-negative outcomes (fragmentation-with-maintained-output may persist through continuity window without organizational disruption)</w:t>
            </w:r>
          </w:p>
        </w:tc>
        <w:tc>
          <w:tcPr>
            <w:tcW w:type="dxa" w:w="30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Not reversible once deployment begins without parallel organizational disruption architecture being activated; retroactive Gate 4 certification during deployment does not eliminate fragmentation risk already in progress</w:t>
            </w:r>
          </w:p>
        </w:tc>
      </w:tr>
      <w:tr>
        <w:tc>
          <w:tcPr>
            <w:tcW w:type="dxa" w:w="1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Gate 5 — Continuity not confirmable for full deployment window</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Deployment window must be scoped to confirmed continuity period; if shorter than 12-18 months for Tier B, cumulative escalation logic may not have sufficient time to operate</w:t>
            </w:r>
          </w:p>
        </w:tc>
        <w:tc>
          <w:tcPr>
            <w:tcW w:type="dxa" w:w="2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Cascade to all gates: a shortened deployment window compresses Gate 2 preparation requirements (all records must be ready earlier), reduces Gate 3 coalition commitment window, and changes the Gate 4 parallel disruption synchronization requirement</w:t>
            </w:r>
          </w:p>
        </w:tc>
        <w:tc>
          <w:tcPr>
            <w:tcW w:type="dxa" w:w="30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Reversible by securing additional resource commitments before Channel 1; not reversible once deployment begins under a shortened window without complete redetermination</w:t>
            </w:r>
          </w:p>
        </w:tc>
      </w:tr>
    </w:tbl>
    <w:p>
      <w:pPr>
        <w:spacing w:before="60" w:after="120"/>
      </w:pPr>
      <w:r>
        <w:rPr>
          <w:rFonts w:ascii="Arial" w:cs="Arial" w:eastAsia="Arial" w:hAnsi="Arial"/>
          <w:i/>
          <w:iCs/>
          <w:color w:val="4A5568"/>
          <w:sz w:val="18"/>
          <w:szCs w:val="18"/>
        </w:rPr>
        <w:t xml:space="preserve">Table 2: Gate Failure Cascade Model. Gate failures are not isolated; each propagates through the gate system in defined ways. Cascade effects must be assessed before proceeding with any deployment under partially satisfied gate conditions.</w:t>
      </w:r>
    </w:p>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2.7 System Collapse and Recovery Thresholds</w:t>
      </w:r>
    </w:p>
    <w:p>
      <w:pPr>
        <w:spacing w:before="60" w:after="120"/>
        <w:jc w:val="both"/>
      </w:pPr>
      <w:r>
        <w:rPr>
          <w:rFonts w:ascii="Arial" w:cs="Arial" w:eastAsia="Arial" w:hAnsi="Arial"/>
          <w:b w:val="false"/>
          <w:bCs w:val="false"/>
          <w:i w:val="false"/>
          <w:iCs w:val="false"/>
          <w:color w:val="000000"/>
          <w:sz w:val="22"/>
          <w:szCs w:val="22"/>
        </w:rPr>
        <w:t xml:space="preserve">The gate failure cascade model identifies how individual gate failures propagate through the system. A more fundamental question is: at what aggregate condition does the SIEGE mechanism transition from constraint architecture to cost redistribution? Below a defined set of minimum thresholds, the framework no longer imposes cumulative cost escalation on the target network — it redistributes costs from pressured channels to unpressured ones, which the network absorbs through pre-positioned infrastructure without net operational constraint.</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SYSTEM COLLAPSE THRESHOLDS — CONSTRAINT TO COST REDISTRIBUTION</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Minimum financial denial threshold: At least four of the seven channels must be under concurrent enforcement pressure, including at minimum one primary leverage channel (Channel 1 or Channel 3). Below this threshold, the framework is assessed as likely to produce outcomes consistent with cost redistribution rather than cumulative cost escalation: the network migrates throughput from pressured channels to unpressured ones at marginal cost. The specific threshold of four channels is analytically inferred from the channel dependency hierarchy; the public record does not provide an empirically validated minimum. It represents the point below which the network has viable primary substitution routes not under concurrent pressure.</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Minimum coalition participation threshold for Tier B networks: Active enforcement cooperation from at least one key non-USD jurisdiction directly relevant to the target network's financial corridor. Below this threshold, the framework's effective reach for a Tier B network is bounded by the USD-correspondent perimeter; Channels 6 and 7 are non-operative; and the network retains viable high-capacity substitution routes outside the framework's direct enforcement reach. Under this condition, the deployment scope should be formally restated as a five-channel USD-perimeter operation.</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Minimum enforcement continuity threshold: No operative channel interrupted for more than 60 days. Below this threshold, the cumulative cost escalation logic cannot operate because interruption windows allow channel re-establishment at costs lower than the escalated costs the framework imposes — the network recovers to pre-enforcement cost structure in the interrupted channel before the framework's cumulative logic has operated for a sufficient window.</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Recovery threshold: A deployment that has crossed a collapse threshold can recover if: (a) the collapsed condition is remedied within 30 days (the interruption is shorter than the network's documented Phase 3 institutionalization timeline); (b) no Phase 3 institutionalization has been confirmed in the substitute channel during the collapse window; and (c) the collapsed gate condition can be re-satisfied at the required evidentiary standard. Recovery after Phase 3 institutionalization is analytically equivalent to deploying against a network with a revised Tier classification; a fresh Gate 1 assessment is required rather than resumption of the prior deployment.</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The collapse-to-cost-redistribution transition is not a binary event. It is a spectrum: as each threshold is crossed, the framework's constraining effect diminishes and its cost redistribution effect becomes dominant. A deployment operating below minimum thresholds is not "partially effective" — it is producing a different type of effect (cost redistribution) than the framework specifies (cumulative cost escalation). Accurately characterizing which effect a deployment is producing is required for honest effectiveness assessment.</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2.8 Non-Transferability of Gate Assessments</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NON-TRANSFERABILITY CLAUSE</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Gate assessments completed for one target network are not transferable to another target network without independent evidentiary validation of all five gate conditions for the new target. Structural similarity between networks does not establish equivalence of financial architecture, USD-corridor dependency, coalition participation availability, or enforcement sensitivity.</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The Tier classification of one network does not establish the Tier classification of an affiliated network. The coalition status determination for one corridor does not establish coalition status for an adjacent corridor. Each deployment requires a complete, independent gate assessment with its own documented administrative record.</w:t>
            </w:r>
          </w:p>
        </w:tc>
      </w:tr>
    </w:tbl>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3040"/>
      </w:tblGrid>
      <w:tr>
        <w:trPr>
          <w:tblHeader/>
        </w:trPr>
        <w:tc>
          <w:tcPr>
            <w:tcW w:type="dxa" w:w="12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Gate</w:t>
            </w:r>
          </w:p>
        </w:tc>
        <w:tc>
          <w:tcPr>
            <w:tcW w:type="dxa" w:w="22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Supported Based On</w:t>
            </w:r>
          </w:p>
        </w:tc>
        <w:tc>
          <w:tcPr>
            <w:tcW w:type="dxa" w:w="22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Not Supported Where Record Lacks</w:t>
            </w:r>
          </w:p>
        </w:tc>
        <w:tc>
          <w:tcPr>
            <w:tcW w:type="dxa" w:w="304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Framework Applicable When</w:t>
            </w:r>
          </w:p>
        </w:tc>
      </w:tr>
      <w:tr>
        <w:tc>
          <w:tcPr>
            <w:tcW w:type="dxa" w:w="1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1 — Tier Classification</w:t>
            </w:r>
          </w:p>
        </w:tc>
        <w:tc>
          <w:tcPr>
            <w:tcW w:type="dxa" w:w="2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Documented throughput distribution analysis; lead agency agreement; state-nexus attribution for PRC-corridor targets</w:t>
            </w:r>
          </w:p>
        </w:tc>
        <w:tc>
          <w:tcPr>
            <w:tcW w:type="dxa" w:w="2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Throughput analysis; classification agreement; or PRC attribution determination</w:t>
            </w:r>
          </w:p>
        </w:tc>
        <w:tc>
          <w:tcPr>
            <w:tcW w:type="dxa" w:w="30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Classification resolved at evidentiary standard per PERSIST-01 §4 and SENI D2=[5-OSINT]</w:t>
            </w:r>
          </w:p>
        </w:tc>
      </w:tr>
      <w:tr>
        <w:tc>
          <w:tcPr>
            <w:tcW w:type="dxa" w:w="1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2 — Record Pre-Positioning</w:t>
            </w:r>
          </w:p>
        </w:tc>
        <w:tc>
          <w:tcPr>
            <w:tcW w:type="dxa" w:w="2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Documented evidentiary basis meeting APA-sustainability standard for all operative channels within 30 days of Channel 1</w:t>
            </w:r>
          </w:p>
        </w:tc>
        <w:tc>
          <w:tcPr>
            <w:tcW w:type="dxa" w:w="2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Completed evidentiary basis for any operative channel; legal sustainability review</w:t>
            </w:r>
          </w:p>
        </w:tc>
        <w:tc>
          <w:tcPr>
            <w:tcW w:type="dxa" w:w="30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Slowest operative channel record reaches standard; Channel 1 not supported until then</w:t>
            </w:r>
          </w:p>
        </w:tc>
      </w:tr>
      <w:tr>
        <w:tc>
          <w:tcPr>
            <w:tcW w:type="dxa" w:w="1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3 — Coalition Status</w:t>
            </w:r>
          </w:p>
        </w:tc>
        <w:tc>
          <w:tcPr>
            <w:tcW w:type="dxa" w:w="2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Documented operational commitments from at least 2 key jurisdictions; PERSIST-01 Appendix B.2 memo completed</w:t>
            </w:r>
          </w:p>
        </w:tc>
        <w:tc>
          <w:tcPr>
            <w:tcW w:type="dxa" w:w="2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Specific operational commitments at documented-action level from at least 2 jurisdictions</w:t>
            </w:r>
          </w:p>
        </w:tc>
        <w:tc>
          <w:tcPr>
            <w:tcW w:type="dxa" w:w="30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Coalition confirmation before Channel 1; not reassessable post-deployment</w:t>
            </w:r>
          </w:p>
        </w:tc>
      </w:tr>
      <w:tr>
        <w:tc>
          <w:tcPr>
            <w:tcW w:type="dxa" w:w="1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4 — Parallel Disruption</w:t>
            </w:r>
          </w:p>
        </w:tc>
        <w:tc>
          <w:tcPr>
            <w:tcW w:type="dxa" w:w="2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Confirmed prosecutorial readiness documentation; synchronized timeline; forfeiture preparation for organizational capital</w:t>
            </w:r>
          </w:p>
        </w:tc>
        <w:tc>
          <w:tcPr>
            <w:tcW w:type="dxa" w:w="2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Prosecutorial confirmation; synchronized timeline; or organizational capital forfeiture preparation</w:t>
            </w:r>
          </w:p>
        </w:tc>
        <w:tc>
          <w:tcPr>
            <w:tcW w:type="dxa" w:w="30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Explicit risk acceptance documentation required if proceeding without full support</w:t>
            </w:r>
          </w:p>
        </w:tc>
      </w:tr>
      <w:tr>
        <w:tc>
          <w:tcPr>
            <w:tcW w:type="dxa" w:w="1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5 — Continuity</w:t>
            </w:r>
          </w:p>
        </w:tc>
        <w:tc>
          <w:tcPr>
            <w:tcW w:type="dxa" w:w="2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Confirmed resource and authorization availability for full deployment window from all lead agencies</w:t>
            </w:r>
          </w:p>
        </w:tc>
        <w:tc>
          <w:tcPr>
            <w:tcW w:type="dxa" w:w="2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Resource or authorization confirmation from any lead agency</w:t>
            </w:r>
          </w:p>
        </w:tc>
        <w:tc>
          <w:tcPr>
            <w:tcW w:type="dxa" w:w="30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Window scoped to confirmed continuity period; 60-day interruption is analytical boundary</w:t>
            </w:r>
          </w:p>
        </w:tc>
      </w:tr>
    </w:tbl>
    <w:p>
      <w:pPr>
        <w:spacing w:before="60" w:after="120"/>
      </w:pPr>
      <w:r>
        <w:rPr>
          <w:rFonts w:ascii="Arial" w:cs="Arial" w:eastAsia="Arial" w:hAnsi="Arial"/>
          <w:i/>
          <w:iCs/>
          <w:color w:val="4A5568"/>
          <w:sz w:val="18"/>
          <w:szCs w:val="18"/>
        </w:rPr>
        <w:t xml:space="preserve">Table 1: Pre-Deployment Applicability Conditions. All determinations must be traceable to a documented administrative record sufficient to withstand arbitrary-and-capricious review.</w:t>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III: Jurisdictional Limits, Non-Controlled Variables, and Framework Reassessment Protocols</w:t>
      </w:r>
    </w:p>
    <w:p>
      <w:pPr>
        <w:pStyle w:val="Heading2"/>
        <w:spacing w:before="240" w:after="80"/>
      </w:pPr>
      <w:r>
        <w:rPr>
          <w:rFonts w:ascii="Arial" w:cs="Arial" w:eastAsia="Arial" w:hAnsi="Arial"/>
          <w:b/>
          <w:bCs/>
          <w:color w:val="1B2A4A"/>
          <w:sz w:val="24"/>
          <w:szCs w:val="24"/>
        </w:rPr>
        <w:t xml:space="preserve">3.1 Jurisdictional Limits Layer</w:t>
      </w:r>
    </w:p>
    <w:p>
      <w:pPr>
        <w:spacing w:before="60" w:after="120"/>
        <w:jc w:val="both"/>
      </w:pPr>
      <w:r>
        <w:rPr>
          <w:rFonts w:ascii="Arial" w:cs="Arial" w:eastAsia="Arial" w:hAnsi="Arial"/>
          <w:b w:val="false"/>
          <w:bCs w:val="false"/>
          <w:i w:val="false"/>
          <w:iCs w:val="false"/>
          <w:color w:val="000000"/>
          <w:sz w:val="22"/>
          <w:szCs w:val="22"/>
        </w:rPr>
        <w:t xml:space="preserve">The availability of U.S. statutory authority does not establish enforceability across jurisdictions lacking U.S. financial nexus, nor does it establish compliance by actors without exposure to U.S. markets, institutions, or legal process. This is not a limitation caveat; it is a structural boundary of the framework's analytical reach that must be assessed before deployment. The authority-rail hard limits that define where each channel's jurisdiction ends are governed by WP-2026-PERSIST-01 Sections 2.1 through 2.6; the degradation domain analysis that maps how those limits are actively exploited is in WP-2026-COUNTERINTEL-01 Sections III.1 through III.7. For a complete map of degradation conditions by enforcement domain, see WP-2026-COUNTERINTEL-01.</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JURISDICTIONAL LIMITS — WHERE FRAMEWORK AUTHORITY DEGRADES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Section 311 and secondary sanctions: Authority operates through the U.S. correspondent banking architecture, per WP-2026-PERSIST-01 Section 2.2 (Sanctions Rail). Enforcement leverage degrades proportionally as target network financial throughput shifts away from USD-correspondent channels. For transactions routed entirely through non-USD correspondent chains with no U.S. financial institution involvement, Section 311 designation has no direct enforcement mechanism. Secondary sanctions extend reach but require U.S. market exposure by the third-country institution.</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Export controls and FDPR: Authority extends to products incorporating U.S.-origin technology regardless of where manufactured or traded, per WP-2026-PERSIST-01 Section 2.1 (Export Controls Rail). FDPR reach degrades where target supply chains can be reconstituted using manufacturing infrastructure with no U.S.-origin technology content.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Real estate reporting: Authority operates on U.S.-situs real estate transactions and U.S.-based reporting persons. It has no reach over foreign-situs asset placement or value storage outside the U.S. regulatory perimeter.</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Class-of-transactions designation: Authority operates through U.S. correspondent bank monitoring obligations. It has no direct reach in corridors where the hawala network operates without U.S. bank intermediation at any stage.</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Cryptocurrency enforcement: Authority over U.S.-licensed exchange infrastructure is established. Authority over non-U.S. exchange infrastructure lacking U.S. market exposure is limited to secondary sanctions and is subject to Gate 3 coalition constraints.</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General jurisdictional boundary: The framework's enforcement reach is coextensive with U.S. financial system exposure. The target network's substitution capacity is directly proportional to the degree to which its financial operations can be conducted outside that exposure. Tier C classification is the formal recognition of that boundary for a given target.</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3.2 Non-Controlled Variables</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NON-CONTROLLED VARIABLES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Coalition reliability: Foreign government and financial institution behavior under enforcement pressure is a function of their own domestic political constraints, institutional incentives, and assessment of U.S. enforcement credibility. Gate 3 assesses coalition reliability at the operational commitment level; it does not eliminate the underlying variability.</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Judicial interruption probability: Legal challenges to Section 311 designations, OFAC SDN listings, and GTO implementations are predictable and will occur. Gate 2 APA-sustainability record preparation reduces the probability of a successful TRO or preliminary injunction; it does not eliminate it.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Adversarial adaptation rate: Target networks are expected to adapt behavior in response to enforcement pressure. The 30 to 60 day migration timeline is an estimate from available enforcement reporting; specific networks may have shorter or longer migration windows. Observed routing shifts, jurisdictional migration, and asset-class substitution are treated as adaptive responses, not indicators of framework success or failure absent corresponding changes in underlying network throughput or operational reliability.</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Corruption interference: Law enforcement and regulatory corruption in primary trafficking corridor jurisdictions may neutralize enforcement actions that are legally and administratively sound. This variable is documented in DEA threat assessments, State INCSR reports, and FATF mutual evaluation reports.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Market demand persistence: Financial access disruption operates on the supply side. Demand-side dynamics are outside the framework's scope and may offset supply-side effects on harm outcomes even when the framework may be contributing to its assessed financial access effects.</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Political sustainability: The 12 to 18 month deployment window required for cumulative cost escalation to operate crosses administration changes, budget cycles, and competing enforcement priority shifts. Gate 5 addresses this at the agency level; it does not address the broader political environment.</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3.3 Failure Mode Analysis and Reassessment Protocols</w:t>
      </w:r>
    </w:p>
    <w:p>
      <w:pPr>
        <w:spacing w:before="60" w:after="120"/>
        <w:jc w:val="both"/>
      </w:pPr>
      <w:r>
        <w:rPr>
          <w:rFonts w:ascii="Arial" w:cs="Arial" w:eastAsia="Arial" w:hAnsi="Arial"/>
          <w:b w:val="false"/>
          <w:bCs w:val="false"/>
          <w:i w:val="false"/>
          <w:iCs w:val="false"/>
          <w:color w:val="000000"/>
          <w:sz w:val="22"/>
          <w:szCs w:val="22"/>
        </w:rPr>
        <w:t xml:space="preserve">This section defines the four conditions under which the framework's cumulative logic is assessed as no longer operating and the mandatory analytical response to each. Failure mode identification is a real-time analytical function, not a retrospective assessment. Each failure mode has a specific observable indicator and a specific analytical response. All responses must be traceable to a documented administrative record. This analysis assumes Layer 1 and Layer 2 products per WP-2026-SENI-ARCH-01 have been developed and are available as the evidentiary foundation for failure mode assessments; failure mode identification without those products cannot be conducted at the required evidentiary standard.</w:t>
      </w:r>
    </w:p>
    <w:p>
      <w:pPr>
        <w:pStyle w:val="Heading3"/>
        <w:spacing w:before="160" w:after="60"/>
      </w:pPr>
      <w:r>
        <w:rPr>
          <w:rFonts w:ascii="Arial" w:cs="Arial" w:eastAsia="Arial" w:hAnsi="Arial"/>
          <w:b/>
          <w:bCs/>
          <w:color w:val="4A5568"/>
          <w:sz w:val="22"/>
          <w:szCs w:val="22"/>
        </w:rPr>
        <w:t xml:space="preserve">Failure Mode One: Partial Channel Coverage</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7A4000" w:sz="18" w:space="0"/>
              <w:bottom w:val="none" w:color="FFFFFF" w:sz="0"/>
              <w:right w:val="none" w:color="FFFFFF" w:sz="0"/>
            </w:tcBorders>
            <w:shd w:fill="FEF3E2" w:val="clear"/>
            <w:tcMar>
              <w:top w:type="dxa" w:w="60"/>
              <w:left w:type="dxa" w:w="160"/>
              <w:bottom w:type="dxa" w:w="20"/>
              <w:right w:type="dxa" w:w="80"/>
            </w:tcMar>
          </w:tcPr>
          <w:p>
            <w:pPr>
              <w:spacing w:before="0" w:after="0"/>
            </w:pPr>
            <w:r>
              <w:rPr>
                <w:rFonts w:ascii="Arial" w:cs="Arial" w:eastAsia="Arial" w:hAnsi="Arial"/>
                <w:b/>
                <w:bCs/>
                <w:caps/>
                <w:color w:val="7A4000"/>
                <w:sz w:val="18"/>
                <w:szCs w:val="18"/>
              </w:rPr>
              <w:t xml:space="preserve">FAILURE MODE 1 — ANALYTICAL RESPONSE</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Observable indicator: SAR filing volume in target categories shows no material change within 90 days of Channel 1 action, consistent with channel migration to unpressured pathways having occurred within the network's documented migration window.</w:t>
            </w:r>
          </w:p>
        </w:tc>
      </w:tr>
      <w:tr>
        <w:tc>
          <w:tcPr>
            <w:tcW w:type="dxa" w:w="8640"/>
            <w:tcBorders>
              <w:top w:val="none" w:color="FFFFFF" w:sz="0"/>
              <w:left w:val="single" w:color="7A4000" w:sz="18" w:space="0"/>
              <w:bottom w:val="single" w:color="FEF3E2" w:sz="4"/>
              <w:right w:val="none" w:color="FFFFFF" w:sz="0"/>
            </w:tcBorders>
            <w:shd w:fill="FEF3E2"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Analytical response: (1) Assess which channels are not at operative pressure and the reason — Gate 2 record delay, Gate 3 coalition non-participation, or Gate 5 resource constraint. (2) If remediable within 30 days, execute the missing channel actions and reassess at the next 90-day interval. (3) If not remediable within 30 days, formally assess the deployment as operating under sequential enforcement conditions and adjust stated objectives to intelligence collection and asset recovery. (4) Document that the framework's cumulative logic is not analytically applicable under current conditions. All assessments traceable to documented record.</w:t>
            </w:r>
          </w:p>
        </w:tc>
      </w:tr>
    </w:tbl>
    <w:p>
      <w:pPr>
        <w:spacing w:before="0" w:after="80"/>
      </w:pPr>
      <w:r>
        <w:rPr>
          <w:sz w:val="2"/>
          <w:szCs w:val="2"/>
        </w:rPr>
        <w:t xml:space="preserve"/>
      </w:r>
    </w:p>
    <w:p>
      <w:pPr>
        <w:pStyle w:val="Heading3"/>
        <w:spacing w:before="160" w:after="60"/>
      </w:pPr>
      <w:r>
        <w:rPr>
          <w:rFonts w:ascii="Arial" w:cs="Arial" w:eastAsia="Arial" w:hAnsi="Arial"/>
          <w:b/>
          <w:bCs/>
          <w:color w:val="4A5568"/>
          <w:sz w:val="22"/>
          <w:szCs w:val="22"/>
        </w:rPr>
        <w:t xml:space="preserve">Failure Mode Two: Coalition Non-Participation</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7A4000" w:sz="18" w:space="0"/>
              <w:bottom w:val="none" w:color="FFFFFF" w:sz="0"/>
              <w:right w:val="none" w:color="FFFFFF" w:sz="0"/>
            </w:tcBorders>
            <w:shd w:fill="FEF3E2" w:val="clear"/>
            <w:tcMar>
              <w:top w:type="dxa" w:w="60"/>
              <w:left w:type="dxa" w:w="160"/>
              <w:bottom w:type="dxa" w:w="20"/>
              <w:right w:type="dxa" w:w="80"/>
            </w:tcMar>
          </w:tcPr>
          <w:p>
            <w:pPr>
              <w:spacing w:before="0" w:after="0"/>
            </w:pPr>
            <w:r>
              <w:rPr>
                <w:rFonts w:ascii="Arial" w:cs="Arial" w:eastAsia="Arial" w:hAnsi="Arial"/>
                <w:b/>
                <w:bCs/>
                <w:caps/>
                <w:color w:val="7A4000"/>
                <w:sz w:val="18"/>
                <w:szCs w:val="18"/>
              </w:rPr>
              <w:t xml:space="preserve">FAILURE MODE 2 — ANALYTICAL RESPONSE</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Observable indicator: A coalition partner that provided a Gate 3 supported determination fails to execute its specific operational commitment within 30 days of Channel 1, or post-action financial data shows continued high-volume transactions through the non-participating jurisdiction's correspondent chains without enhanced due diligence filing increases.</w:t>
            </w:r>
          </w:p>
        </w:tc>
      </w:tr>
      <w:tr>
        <w:tc>
          <w:tcPr>
            <w:tcW w:type="dxa" w:w="8640"/>
            <w:tcBorders>
              <w:top w:val="none" w:color="FFFFFF" w:sz="0"/>
              <w:left w:val="single" w:color="7A4000" w:sz="18" w:space="0"/>
              <w:bottom w:val="single" w:color="FEF3E2" w:sz="4"/>
              <w:right w:val="none" w:color="FFFFFF" w:sz="0"/>
            </w:tcBorders>
            <w:shd w:fill="FEF3E2"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Analytical response: (1) Formally remove coalition-dependent channels from the analytically supported channel set. (2) Issue formal secondary sanctions notices under CAATSA § 9241, CISADA § 8513, or NKSPEA § 9214 to identified facilitating financial institutions, per WP-2026-PERSIST-01 Section 2.2 secondary sanctions procedures, establishing a 180-day compliance window. (3) Assess whether the reduced channel set retains analytical support for cumulative cost escalation.</w:t>
            </w:r>
          </w:p>
        </w:tc>
      </w:tr>
    </w:tbl>
    <w:p>
      <w:pPr>
        <w:spacing w:before="0" w:after="80"/>
      </w:pPr>
      <w:r>
        <w:rPr>
          <w:sz w:val="2"/>
          <w:szCs w:val="2"/>
        </w:rPr>
        <w:t xml:space="preserve"/>
      </w:r>
    </w:p>
    <w:p>
      <w:pPr>
        <w:pStyle w:val="Heading3"/>
        <w:spacing w:before="160" w:after="60"/>
      </w:pPr>
      <w:r>
        <w:rPr>
          <w:rFonts w:ascii="Arial" w:cs="Arial" w:eastAsia="Arial" w:hAnsi="Arial"/>
          <w:b/>
          <w:bCs/>
          <w:color w:val="4A5568"/>
          <w:sz w:val="22"/>
          <w:szCs w:val="22"/>
        </w:rPr>
        <w:t xml:space="preserve">Failure Mode Three: Enforcement Continuity Interruption</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7A4000" w:sz="18" w:space="0"/>
              <w:bottom w:val="none" w:color="FFFFFF" w:sz="0"/>
              <w:right w:val="none" w:color="FFFFFF" w:sz="0"/>
            </w:tcBorders>
            <w:shd w:fill="FEF3E2" w:val="clear"/>
            <w:tcMar>
              <w:top w:type="dxa" w:w="60"/>
              <w:left w:type="dxa" w:w="160"/>
              <w:bottom w:type="dxa" w:w="20"/>
              <w:right w:type="dxa" w:w="80"/>
            </w:tcMar>
          </w:tcPr>
          <w:p>
            <w:pPr>
              <w:spacing w:before="0" w:after="0"/>
            </w:pPr>
            <w:r>
              <w:rPr>
                <w:rFonts w:ascii="Arial" w:cs="Arial" w:eastAsia="Arial" w:hAnsi="Arial"/>
                <w:b/>
                <w:bCs/>
                <w:caps/>
                <w:color w:val="7A4000"/>
                <w:sz w:val="18"/>
                <w:szCs w:val="18"/>
              </w:rPr>
              <w:t xml:space="preserve">FAILURE MODE 3 — ANALYTICAL RESPONSE</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Observable indicator: Any operative channel is interrupted for more than 60 days — whether from successful legal challenge (TRO, preliminary injunction), administrative delay, resource constraint, or political decision.</w:t>
            </w:r>
          </w:p>
        </w:tc>
      </w:tr>
      <w:tr>
        <w:tc>
          <w:tcPr>
            <w:tcW w:type="dxa" w:w="8640"/>
            <w:tcBorders>
              <w:top w:val="none" w:color="FFFFFF" w:sz="0"/>
              <w:left w:val="single" w:color="7A4000" w:sz="18" w:space="0"/>
              <w:bottom w:val="single" w:color="FEF3E2" w:sz="4"/>
              <w:right w:val="none" w:color="FFFFFF" w:sz="0"/>
            </w:tcBorders>
            <w:shd w:fill="FEF3E2"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Analytical response: (1) Assess whether the interruption window has exceeded the network's documented migration timeline. If yes, treat the interrupted channel as requiring a new Gate 2 record assessment, not a resumption. (2) If the interruption results from a successful legal challenge, the administrative record must be strengthened to address the identified deficiency before re-filing; a second successful challenge on the same record substantially increases litigation risk across all remaining channel designations. (3) If interruption exceeds 90 days and network re-establishment of the interrupted channel is confirmed, document the net-negative risk assessment — the network has practiced adaptation under live enforcement conditions — before any decision to resume deployment.</w:t>
            </w:r>
          </w:p>
        </w:tc>
      </w:tr>
    </w:tbl>
    <w:p>
      <w:pPr>
        <w:spacing w:before="0" w:after="80"/>
      </w:pPr>
      <w:r>
        <w:rPr>
          <w:sz w:val="2"/>
          <w:szCs w:val="2"/>
        </w:rPr>
        <w:t xml:space="preserve"/>
      </w:r>
    </w:p>
    <w:p>
      <w:pPr>
        <w:pStyle w:val="Heading3"/>
        <w:spacing w:before="160" w:after="60"/>
      </w:pPr>
      <w:r>
        <w:rPr>
          <w:rFonts w:ascii="Arial" w:cs="Arial" w:eastAsia="Arial" w:hAnsi="Arial"/>
          <w:b/>
          <w:bCs/>
          <w:color w:val="4A5568"/>
          <w:sz w:val="22"/>
          <w:szCs w:val="22"/>
        </w:rPr>
        <w:t xml:space="preserve">Failure Mode Four: Interagency Coordination Breakdown</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7A4000" w:sz="18" w:space="0"/>
              <w:bottom w:val="none" w:color="FFFFFF" w:sz="0"/>
              <w:right w:val="none" w:color="FFFFFF" w:sz="0"/>
            </w:tcBorders>
            <w:shd w:fill="FEF3E2" w:val="clear"/>
            <w:tcMar>
              <w:top w:type="dxa" w:w="60"/>
              <w:left w:type="dxa" w:w="160"/>
              <w:bottom w:type="dxa" w:w="20"/>
              <w:right w:type="dxa" w:w="80"/>
            </w:tcMar>
          </w:tcPr>
          <w:p>
            <w:pPr>
              <w:spacing w:before="0" w:after="0"/>
            </w:pPr>
            <w:r>
              <w:rPr>
                <w:rFonts w:ascii="Arial" w:cs="Arial" w:eastAsia="Arial" w:hAnsi="Arial"/>
                <w:b/>
                <w:bCs/>
                <w:caps/>
                <w:color w:val="7A4000"/>
                <w:sz w:val="18"/>
                <w:szCs w:val="18"/>
              </w:rPr>
              <w:t xml:space="preserve">FAILURE MODE 4 — ANALYTICAL RESPONSE</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Observable indicator: Channel actions are separated by more than 30 days between Channel 1 publication and execution of any other operative channel action, confirmed by Federal Register publication dates or operational execution records.</w:t>
            </w:r>
          </w:p>
        </w:tc>
      </w:tr>
      <w:tr>
        <w:tc>
          <w:tcPr>
            <w:tcW w:type="dxa" w:w="8640"/>
            <w:tcBorders>
              <w:top w:val="none" w:color="FFFFFF" w:sz="0"/>
              <w:left w:val="single" w:color="7A4000" w:sz="18" w:space="0"/>
              <w:bottom w:val="single" w:color="FEF3E2" w:sz="4"/>
              <w:right w:val="none" w:color="FFFFFF" w:sz="0"/>
            </w:tcBorders>
            <w:shd w:fill="FEF3E2"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Analytical response: (1) Assess whether the timeline gap has allowed channel migration to not-yet-pressured channels. (2) If migration has occurred, the unexecuted channel actions retain independent legal and deterrent value but should be assessed as addressing channels the network has already migrated from; the cumulative escalation logic is not analytically supported for the portion of the deployment that proceeded sequentially. (3) Review all remaining channel administrative records for potential intelligence compromise: Federal Register notices for completed channel actions may have signaled the enforcement sequence, increasing the likelihood of pre-positioning in not-yet-pressured channels.</w:t>
            </w:r>
          </w:p>
        </w:tc>
      </w:tr>
    </w:tbl>
    <w:p>
      <w:pPr>
        <w:spacing w:before="0" w:after="80"/>
      </w:pPr>
      <w:r>
        <w:rPr>
          <w:sz w:val="2"/>
          <w:szCs w:val="2"/>
        </w:rPr>
        <w:t xml:space="preserve"/>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IV: Tiered Applicability Scope</w:t>
      </w:r>
    </w:p>
    <w:p>
      <w:pPr>
        <w:spacing w:before="60" w:after="120"/>
        <w:jc w:val="both"/>
      </w:pPr>
      <w:r>
        <w:rPr>
          <w:rFonts w:ascii="Arial" w:cs="Arial" w:eastAsia="Arial" w:hAnsi="Arial"/>
          <w:b w:val="false"/>
          <w:bCs w:val="false"/>
          <w:i w:val="false"/>
          <w:iCs w:val="false"/>
          <w:color w:val="000000"/>
          <w:sz w:val="22"/>
          <w:szCs w:val="22"/>
        </w:rPr>
        <w:t xml:space="preserve">The framework's applicable channel set is determined by the target network's USD-corridor dependency profile. Tier classification is Gate 1 and precedes all other preparation and deployment decisions. Tier classifications are not transferable across target networks without independent Gate 1 assessment.</w:t>
      </w:r>
    </w:p>
    <w:p>
      <w:pPr>
        <w:pStyle w:val="Heading2"/>
        <w:spacing w:before="240" w:after="80"/>
      </w:pPr>
      <w:r>
        <w:rPr>
          <w:rFonts w:ascii="Arial" w:cs="Arial" w:eastAsia="Arial" w:hAnsi="Arial"/>
          <w:b/>
          <w:bCs/>
          <w:color w:val="1B2A4A"/>
          <w:sz w:val="24"/>
          <w:szCs w:val="24"/>
        </w:rPr>
        <w:t xml:space="preserve">4.1 Tier A: High USD-Corridor Dependency</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TIER A</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Classification threshold: Greater than 60% of identified financial throughput routed through USD-denominated correspondent banking, documented at the evidentiary standard specified in Gate 1.</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Analytically supported channel set: All seven channels. The framework's full cumulative logic may apply. Coalition failure in non-USD jurisdictions has limited impact because primary leverage points are U.S.-controlled infrastructure.</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Primary constraint: Organizational depth and pre-positioned cash infrastructure. Gate 2 pre-positioning of Channel 2 and 3 records is particularly time-sensitive because cash and cryptocurrency are the primary immediate substitution routes following Channel 1 action.</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BDA analogy boundary: The Banco Delta Asia enforcement experience reflects a target with unusually concentrated USD-correspondent dependency. Tier A networks with greater financial infrastructure diversity may exhibit longer migration timelines; the BDA analogy does not establish a universal migration rate and should not be applied to targets without independent throughput analysis.</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4.2 Tier B: Mixed-Corridor Dependency</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TIER B</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Classification threshold: Documented USD and non-USD corridor utilization; demonstrated prior channel migration following enforcement actions; financial infrastructure distributed across jurisdictions including at least one with limited U.S. secondary sanctions responsiveness.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Analytically supported channel set: Channels 1, 2, 3 (at exchange-interaction level), 4, and 5 have direct U.S. enforcement leverage. Channels 6 and 7 are analytically supported only upon Gate 3 supported determination. Without Gate 3 support: five-channel framework is the analytically appropriate scope.</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Fragmentation risk: Tier B networks have pre-established organizational capacity for distributed multi-corridor operations. Fragmentation under enforcement pressure is assessed as more likely for Tier B than Tier A networks. Gate 4 parallel disruption assessment is correspondingly more consequential for Tier B targets.</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4.3 Tier C: Low USD-Corridor Dependency</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TIER C</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Classification threshold: Less than 30% of identified throughput through USD correspondent infrastructure; minimal U.S. real estate or cryptocurrency exchange exposure; prior enforcement actions have been consistent with rapid channel substitution without documented cost increase.</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Analytically supported channel set: Channel 4 (FDPR, where U.S. technology content is present), Channel 7 (maritime, where P&amp;I insurance and port access provide leverage), and Channel 3 conversion-point enforcement where exchange infrastructure has U.S. correspondent exposure.</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Misapplication risk: Deploying Channels 1, 2, 5, and 6 against a confirmed Tier C network is not analytically supported. These channels lack the jurisdictional reach the framework's logic requires for this target profile. Deploying unsupported channels consumes administrative resources, may reveal the enforcement sequence, and is assessed as likely to be consistent with outcomes indistinguishable from sequential enforcement.</w:t>
            </w:r>
          </w:p>
        </w:tc>
      </w:tr>
    </w:tbl>
    <w:p>
      <w:pPr>
        <w:spacing w:before="0" w:after="80"/>
      </w:pPr>
      <w:r>
        <w:rPr>
          <w:sz w:val="2"/>
          <w:szCs w:val="2"/>
        </w:rPr>
        <w:t xml:space="preserve"/>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V: The Seven-Channel Framework — Legal Architecture and Applicability Assessment</w:t>
      </w:r>
    </w:p>
    <w:p>
      <w:pPr>
        <w:pStyle w:val="Heading2"/>
        <w:spacing w:before="240" w:after="80"/>
      </w:pPr>
      <w:r>
        <w:rPr>
          <w:rFonts w:ascii="Arial" w:cs="Arial" w:eastAsia="Arial" w:hAnsi="Arial"/>
          <w:b/>
          <w:bCs/>
          <w:color w:val="1B2A4A"/>
          <w:sz w:val="24"/>
          <w:szCs w:val="24"/>
        </w:rPr>
        <w:t xml:space="preserve">5.0 Channel Dependency Hierarchy</w:t>
      </w:r>
    </w:p>
    <w:p>
      <w:pPr>
        <w:spacing w:before="60" w:after="120"/>
        <w:jc w:val="both"/>
      </w:pPr>
      <w:r>
        <w:rPr>
          <w:rFonts w:ascii="Arial" w:cs="Arial" w:eastAsia="Arial" w:hAnsi="Arial"/>
          <w:b w:val="false"/>
          <w:bCs w:val="false"/>
          <w:i w:val="false"/>
          <w:iCs w:val="false"/>
          <w:color w:val="000000"/>
          <w:sz w:val="22"/>
          <w:szCs w:val="22"/>
        </w:rPr>
        <w:t xml:space="preserve">The seven channels are not of equal analytical weight. Channel effectiveness is not uniform, and treating weaker channels as equivalent to stronger ones in deployment planning introduces analytical error.</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CHANNEL DEPENDENCY HIERARCHY</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Primary leverage channels (Tier A and B networks with USD exposure): Channel 1 (Formal Banking) and Channel 3 (Cryptocurrency, at exchange-interaction level) are the foundational channels because they address the lowest-cost financial movement options available to networks at scale. USD/correspondent exposure is the primary determinant of how much analytical leverage these channels provide. Their enforcement reach is self-distributing through the correspondent and exchange infrastructure; Treasury does not enforce against each individual actor once designation is published.</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Amplifying channels: Channels 2 (Physical Currency), 4 (Trade Finance), and 5 (Real Estate) impose cost increases on substitution pathways and constrain asset placement and input acquisition. They amplify the effect of Channel 1 and 3 pressure by raising the cost of the primary substitution routes. They are assessed as additive rather than independently sufficient; their analytical contribution to the framework depends on Channel 1 or 3 pressure being active.</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Coalition-dependent channels: Channels 6 (Informal Value Transfer) and 7 (Maritime) depend substantially on coalition participation or U.S. infrastructure-anchor leverage (P&amp;I insurance, port access) to produce meaningful channel pressure. For Tier B networks, these channels are only analytically supported upon Gate 3 confirmed determination. They should not be treated as equivalent to primary leverage channels when assessing deployment scope under coalition non-participation conditions.</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Implication for deployment scope under resource constraints: If resource or coordination constraints require prioritization, primary leverage channels should be deployed first and simultaneously. Amplifying channels deployed without active primary leverage channels produce cost increases on substitution pathways that do not yet exist under enforcement pressure — the sequencing logic that makes amplifying channels effective is activated only by concurrent primary channel pressure.</w:t>
            </w:r>
          </w:p>
        </w:tc>
      </w:tr>
    </w:tbl>
    <w:p>
      <w:pPr>
        <w:spacing w:before="0" w:after="80"/>
      </w:pPr>
      <w:r>
        <w:rPr>
          <w:sz w:val="2"/>
          <w:szCs w:val="2"/>
        </w:rPr>
        <w:t xml:space="preserve"/>
      </w:r>
    </w:p>
    <w:p>
      <w:pPr>
        <w:spacing w:before="60" w:after="120"/>
        <w:jc w:val="both"/>
      </w:pPr>
      <w:r>
        <w:rPr>
          <w:rFonts w:ascii="Arial" w:cs="Arial" w:eastAsia="Arial" w:hAnsi="Arial"/>
          <w:b w:val="false"/>
          <w:bCs w:val="false"/>
          <w:i w:val="false"/>
          <w:iCs w:val="false"/>
          <w:color w:val="000000"/>
          <w:sz w:val="22"/>
          <w:szCs w:val="22"/>
        </w:rPr>
        <w:t xml:space="preserve">Each channel is presented below in a standard format: Documented Legal Authority (per WP-2026-PERSIST-01 Section 2 authority rails); Operative Mechanic; Jurisdictional Boundary; and Analytic Assessment with counterargument and confidence-update conditions. The phrase "may remove the substitution pathway" throughout this section means "removes low-cost access to this channel for networks within the framework's jurisdictional reach under the applicable tier classification" — it does not imply removal of all access under all conditions. Channel-level analysis does not establish named-entity attribution. The evidentiary work required to identify specific institutions, beneficial owners, and transaction flows for designation actions must be developed separately to the D2=[5-OSINT] standard per WP-2026-SENI-ARCH-01 Section IV, independently of the channel applicability analysis this section provides.</w:t>
      </w:r>
    </w:p>
    <w:p>
      <w:pPr>
        <w:pStyle w:val="Heading2"/>
        <w:spacing w:before="240" w:after="80"/>
      </w:pPr>
      <w:r>
        <w:rPr>
          <w:rFonts w:ascii="Arial" w:cs="Arial" w:eastAsia="Arial" w:hAnsi="Arial"/>
          <w:b/>
          <w:bCs/>
          <w:color w:val="1B2A4A"/>
          <w:sz w:val="24"/>
          <w:szCs w:val="24"/>
        </w:rPr>
        <w:t xml:space="preserve">5.1 Channel One: Formal Banking Infrastructure</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DOCUMENTED LEGAL AUTHORITY</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31 U.S.C. § 5318A (Section 311, Fifth Special Measure) — per WP-2026-PERSIST-01 Section 2.2 (Sanctions Rail). Civil penalties: $50,000 per day per violation under § 5321(a)(1). Secondary sanctions: CAATSA § 9241, CISADA § 8513, NKSPEA § 9214 — targeting foreign financial institutions facilitating transactions for designated PMLCs after formal notice and 180-day wind-down, per PERSIST-01 Section 2.2. Asset substitution: 18 U.S.C. § 981(k) — seizure of U.S. correspondent balances held by any foreign bank that is itself a correspondent of the designated PMLC.</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OPERATIVE MECHANIC</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Section 311 designation removes USD clearing capability from the designated institution by making every U.S. financial institution legally prohibited from maintaining a correspondent relationship with it. The enforcement mechanism is self-distributing through the correspondent network upon Federal Register publication.</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Evasion — Non-USD currency routing: Counter-architecture under CAATSA § 9241 targets foreign financial institutions with U.S. market exposure that knowingly facilitate significant transactions for the designated entity after formal notice, per PERSIST-01 Section 2.2 secondary sanctions procedures. Evasion — Nested correspondent relationships: § 5318(i) enhanced due diligence requires U.S. banks to identify beneficial owners of nested correspondent relationships; constructive knowledge standard applies. Evasion — Offshore banking: § 5318(k) subpoena authority; § 981(k) seizure of correspondent balances as substitute assets.</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JURISDICTIONAL BOUNDARY</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Channel One's enforcement reach operates through USD correspondent exposure, per WP-2026-PERSIST-01 Section 2.2 hard limits. For transactions routed entirely through non-USD correspondent chains with no U.S. financial institution involvement, this channel has no direct enforcement mechanism. Secondary sanctions extend reach to institutions with U.S. market exposure; they do not extend reach to institutions operating entirely outside U.S. market participation.</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ANALYTIC ASSESSMENT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We assess with moderate confidence that formal banking denial, under Tier A or Tier B conditions, may contribute to removing low-cost USD-corridor access for the target network within the documented administrative implementation window. The self-distributing enforcement mechanism through the correspondent network is a structural feature that distinguishes this channel.</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Principal counterargument: Networks with identified relationships at the periphery of the U.S. correspondent network may experience less immediate compliance pressure than the mechanism implies. Banking denial may increase the likelihood of migration to non-USD corridors, trade-based settlement, or hybrid informal-transfer structures rather than contributing to the cost-escalation the framework requires.</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What would change confidence: Published post-Section 311 reporting showing persistent correspondent denial across both primary and secondary correspondent chains, sustained at least 12 months post-designation without documented evasion through peripheral relationships, per evidentiary standards in WP-2026-PERSIST-01 Section 4.</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5.2 Channel Two: Physical Currency Movement</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DOCUMENTED LEGAL AUTHORITY</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31 C.F.R. § 1010.370 (Geographic Targeting Orders). 31 U.S.C. §§ 5313, 5316 — CTR and CMIR requirements. 31 U.S.C. § 5318(g)(1) — SAR obligation. 31 U.S.C. § 5324 — structuring prohibition, five-year criminal penalty. 19 U.S.C. § 1595a — CBP forfeiture. 31 C.F.R. § 1010.370 as amended (Real Estate Reporting Rule, effective March 1, 2026).</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ANALYTIC ASSESSMENT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We assess with moderate confidence that currency channel enforcement is additive rather than independently sufficient: it may increase the likelihood of elevated costs on the primary Channel 1 substitution pathway and may increase the likelihood of migration toward higher-cost channels in the interim period. Channel 2 does not independently remove banking-denial substitution capacity; its analytical contribution depends on Channel 1 pressure being active.</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Principal counterargument: Cash interdiction capacity is geographically constrained. Networks with established domestic cash infrastructure may experience Channel 2 pressure as an elevated cost rather than a pathway removal. The public record does not support a claim that physical currency interdiction can independently deny network liquidity at any operationally significant level.</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5.3 Channel Three: Cryptocurrency Platforms</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DOCUMENTED LEGAL AUTHORITY</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31 U.S.C. § 5318A — applicable to cryptocurrency exchanges as "financial institutions" per FinCEN guidance FIN-2013-G001 and FIN-2019-G001. OFAC Digital Currency Address (DCA) identifier authority. 18 U.S.C. § 981(k) — asset substitution for cryptocurrency in U.S. exchange custody, per WP-2026-PERSIST-01 Section 2.2. 18 U.S.C. § 1960 — unlicensed money transmission. Precedent: Tornado Cash designation (OFAC, August 2022); Garantex (OFAC, April 2022); Bitzlato (DOJ, January 2023).</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ANALYTIC ASSESSMENT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We assess with moderate confidence that the fiat conversion-point enforcement architecture may contribute to removing low-cost cryptocurrency pathway access for networks whose operations route through U.S.-licensed or U.S.-market-exposed exchange infrastructure. The public record supports a stronger judgment about exchange-linked enforcement than about protocol-layer persistence; that asymmetry should govern analytic confidence.</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Principal counterargument: DeFi protocol proliferation significantly outpaces designation timelines — a structural enforcement asymmetry. Infrastructure-layer compliance depends on commercial incentives of node providers that may not be stable under adversarial pressure. For a full degradation analysis of this channel, see WP-2026-COUNTERINTEL-01 Section III.2.</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5.4 Channel Four: Trade Finance and Precursor Acquisition</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DOCUMENTED LEGAL AUTHORITY</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50 U.S.C. § 4819 (Export Control Reform Act) — per WP-2026-PERSIST-01 Section 2.1 (Export Controls Rail). Criminal penalties up to 20 years; civil penalties up to greater of $300,000 or twice transaction value per violation. 15 C.F.R. Part 744 (Entity List). FDPR (15 C.F.R. § 744.21). FEND Off Fentanyl Act (2024) — § 2339B criminal liability (up to 20 years) for knowing material support to designated FTOs including precursor supply after formal notice; constitutional basis per Holder v. Humanitarian Law Project, 561 U.S. 1 (2010).</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ANALYTIC ASSESSMENT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We assess with moderate confidence that the layered authority architecture — Entity List, FDPR, and § 2339B notice — may contribute to constraining industrial-scale input acquisition by increasing friction in primary supply chains. The § 2339B mechanism is analytically distinct because liability attaches to knowing supply after formal notice regardless of supplier nationality, operating outside the FDPR jurisdictional predicate requirement.</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Principal counterargument: § 2339B deterrence depends on supplier risk assessment of U.S. enforcement reach. Suppliers with no U.S. market exposure may assess criminal liability as theoretical. FDPR reach degrades where target supply chains can be reconstituted using manufacturing infrastructure with no U.S.-origin technology content, per the FDPR hard limits in WP-2026-PERSIST-01 Section 2.1.</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5.5 Channel Five: Real Estate Markets</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DOCUMENTED LEGAL AUTHORITY</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31 C.F.R. § 1010.370 (Real Estate Reporting Rule, effective March 1, 2026). 18 U.S.C. § 981(a)(1)(C) — civil forfeiture; burden shifts to claimant. FinCEN § 314(a) — 14-day mandatory response. 18 U.S.C. § 1956 — criminal money laundering.</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ANALYTIC ASSESSMENT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We assess with moderate confidence that the March 2026 Reporting Rule may contribute to reducing the availability of domestic real estate as a cash placement mechanism by creating a mandatory disclosure architecture cross-referenceable against SAR and CTR databases. The rule creates a reporting obligation, not automatic pathway removal. Its analytical contribution to the framework depends on FinCEN throughput capacity at nationwide scale, which is not yet established in the public record.</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Principal counterargument: Reporting obligations and enforcement outcomes are separate. Networks with sufficient legal structuring capacity may reduce rule exposure without abandoning real estate as an asset class.</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5.6 Channel Six: Informal Value Transfer Systems</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DOCUMENTED LEGAL AUTHORITY</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31 U.S.C. § 5318A(a)(4)(A) — class of transactions designation authority. 31 U.S.C. § 5318A(c)(4) — jurisdiction of primary money laundering concern designation for non-compliant hawala hub jurisdictions. No direct enforcement precedent exists for class designation in the narcotics context; the authority exists but lacks direct precedent in this application.</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ANALYTIC ASSESSMENT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We assess with moderate confidence that class-of-transactions designation may be analytically more durable than operator designation for corridors with sufficient U.S. correspondent density. The authority is strongest where U.S. dollar correspondent relationships are dense and degrades to zero in corridors with no U.S. financial institution involvement at any stage.</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Principal counterargument: Implementation depends on U.S. correspondent bank monitoring systems at acceptable false-positive rates. The lack of direct enforcement precedent in this application is a structural uncertainty not resolvable from the public record.</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5.7 Channel Seven: Maritime and Logistics Networks</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DOCUMENTED LEGAL AUTHORITY</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Executive Order 14059 (Narcotics Trafficking) — blocking authority applicable to vessels, operators, and flag registries. 46 U.S.C. § 70201 (MTSA) — port access denial. 19 U.S.C. § 1595a — CBP forfeiture. P&amp;I insurance architecture: U.S. persons prohibited from providing maritime insurance to vessels owned or operated by OFAC-designated entities; major P&amp;I clubs operate with substantial U.S. reinsurance market exposure.</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ANALYTIC ASSESSMENT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We assess with moderate confidence that registry-level designation may contribute to removing access to commercially viable flagging and insurance infrastructure for vessels with U.S. port dependency and P&amp;I coverage requirements. The commercial incentive mechanism may be more durable than vessel-by-vessel designation because it operates at the infrastructure level.</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Principal counterargument: The inference from WMD-proliferation registry compliance behavior to narcotics-trafficking enforcement extrapolates across contexts with different diplomatic stakes. Registries in state-directed jurisdictions may not respond to commercial-incentive pressure on the same timeline as commercially oriented open registries. For degradation conditions in the maritime domain, see WP-2026-COUNTERINTEL-01 Section III.5.</w:t>
            </w:r>
          </w:p>
        </w:tc>
      </w:tr>
    </w:tbl>
    <w:p>
      <w:pPr>
        <w:spacing w:before="0" w:after="80"/>
      </w:pPr>
      <w:r>
        <w:rPr>
          <w:sz w:val="2"/>
          <w:szCs w:val="2"/>
        </w:rPr>
        <w:t xml:space="preserve"/>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VI: Cumulative Cost Escalation — Analytic Model</w:t>
      </w:r>
    </w:p>
    <w:p>
      <w:pPr>
        <w:pStyle w:val="Heading2"/>
        <w:spacing w:before="240" w:after="80"/>
      </w:pPr>
      <w:r>
        <w:rPr>
          <w:rFonts w:ascii="Arial" w:cs="Arial" w:eastAsia="Arial" w:hAnsi="Arial"/>
          <w:b/>
          <w:bCs/>
          <w:color w:val="1B2A4A"/>
          <w:sz w:val="24"/>
          <w:szCs w:val="24"/>
        </w:rPr>
        <w:t xml:space="preserve">6.1 Transaction Cost Framework</w:t>
      </w:r>
    </w:p>
    <w:p>
      <w:pPr>
        <w:spacing w:before="60" w:after="120"/>
        <w:jc w:val="both"/>
      </w:pPr>
      <w:r>
        <w:rPr>
          <w:rFonts w:ascii="Arial" w:cs="Arial" w:eastAsia="Arial" w:hAnsi="Arial"/>
          <w:b w:val="false"/>
          <w:bCs w:val="false"/>
          <w:i w:val="false"/>
          <w:iCs w:val="false"/>
          <w:color w:val="000000"/>
          <w:sz w:val="22"/>
          <w:szCs w:val="22"/>
        </w:rPr>
        <w:t xml:space="preserve">The cumulative escalation model rests on documented cost differentials across financial channels and the inference that removing low-cost substitution pathways simultaneously changes the cost floor available to the network more fundamentally than removing them sequentially. The model is directional: it identifies why simultaneous multi-channel pressure may produce different cost conditions than sequential enforcement. It is not a quantitative forecast.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240"/>
      </w:tblGrid>
      <w:tr>
        <w:trPr>
          <w:tblHeader/>
        </w:trPr>
        <w:tc>
          <w:tcPr>
            <w:tcW w:type="dxa" w:w="22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Financial Channel</w:t>
            </w:r>
          </w:p>
        </w:tc>
        <w:tc>
          <w:tcPr>
            <w:tcW w:type="dxa" w:w="22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Illustrative Cost Range per $1M</w:t>
            </w:r>
          </w:p>
        </w:tc>
        <w:tc>
          <w:tcPr>
            <w:tcW w:type="dxa" w:w="20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Capacity Constraint</w:t>
            </w:r>
          </w:p>
        </w:tc>
        <w:tc>
          <w:tcPr>
            <w:tcW w:type="dxa" w:w="224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Primary Source Basis</w:t>
            </w:r>
          </w:p>
        </w:tc>
      </w:tr>
      <w:tr>
        <w:tc>
          <w:tcPr>
            <w:tcW w:type="dxa" w:w="2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Formal banking (wire transfer)</w:t>
            </w:r>
          </w:p>
        </w:tc>
        <w:tc>
          <w:tcPr>
            <w:tcW w:type="dxa" w:w="2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Very low (fractions of a basis point)</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Effectively unlimited at scale</w:t>
            </w:r>
          </w:p>
        </w:tc>
        <w:tc>
          <w:tcPr>
            <w:tcW w:type="dxa" w:w="22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FinCEN transaction reporting data</w:t>
            </w:r>
          </w:p>
        </w:tc>
      </w:tr>
      <w:tr>
        <w:tc>
          <w:tcPr>
            <w:tcW w:type="dxa" w:w="2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Bulk cash courier</w:t>
            </w:r>
          </w:p>
        </w:tc>
        <w:tc>
          <w:tcPr>
            <w:tcW w:type="dxa" w:w="2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Materially higher; risk premium variable by corridor</w:t>
            </w:r>
          </w:p>
        </w:tc>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Volume and velocity constraints</w:t>
            </w:r>
          </w:p>
        </w:tc>
        <w:tc>
          <w:tcPr>
            <w:tcW w:type="dxa" w:w="22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FATF money laundering typologies, 2019</w:t>
            </w:r>
          </w:p>
        </w:tc>
      </w:tr>
      <w:tr>
        <w:tc>
          <w:tcPr>
            <w:tcW w:type="dxa" w:w="2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Cryptocurrency (transparent blockchain)</w:t>
            </w:r>
          </w:p>
        </w:tc>
        <w:tc>
          <w:tcPr>
            <w:tcW w:type="dxa" w:w="2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Intermediate; exchange fees + compliance cost</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Exchange capacity; shifts under enforcement pressure</w:t>
            </w:r>
          </w:p>
        </w:tc>
        <w:tc>
          <w:tcPr>
            <w:tcW w:type="dxa" w:w="22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Chainalysis Crypto Crime Report, 2023</w:t>
            </w:r>
          </w:p>
        </w:tc>
      </w:tr>
      <w:tr>
        <w:tc>
          <w:tcPr>
            <w:tcW w:type="dxa" w:w="2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Hawala / informal transfer</w:t>
            </w:r>
          </w:p>
        </w:tc>
        <w:tc>
          <w:tcPr>
            <w:tcW w:type="dxa" w:w="2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Variable; corridor-dependent; not stable under pressure</w:t>
            </w:r>
          </w:p>
        </w:tc>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Per-transaction limits documented</w:t>
            </w:r>
          </w:p>
        </w:tc>
        <w:tc>
          <w:tcPr>
            <w:tcW w:type="dxa" w:w="22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FATF Hawala typologies guidance</w:t>
            </w:r>
          </w:p>
        </w:tc>
      </w:tr>
      <w:tr>
        <w:tc>
          <w:tcPr>
            <w:tcW w:type="dxa" w:w="2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Trade-based money laundering</w:t>
            </w:r>
          </w:p>
        </w:tc>
        <w:tc>
          <w:tcPr>
            <w:tcW w:type="dxa" w:w="2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Settlement delays as primary cost proxy</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30-90 day settlement cycle; context-dependent</w:t>
            </w:r>
          </w:p>
        </w:tc>
        <w:tc>
          <w:tcPr>
            <w:tcW w:type="dxa" w:w="22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FinCEN TBML advisory, 2010</w:t>
            </w:r>
          </w:p>
        </w:tc>
      </w:tr>
    </w:tbl>
    <w:p>
      <w:pPr>
        <w:spacing w:before="60" w:after="120"/>
      </w:pPr>
      <w:r>
        <w:rPr>
          <w:rFonts w:ascii="Arial" w:cs="Arial" w:eastAsia="Arial" w:hAnsi="Arial"/>
          <w:i/>
          <w:iCs/>
          <w:color w:val="4A5568"/>
          <w:sz w:val="18"/>
          <w:szCs w:val="18"/>
        </w:rPr>
        <w:t xml:space="preserve">Table 2: Illustrative Financial Channel Cost Differential (order of magnitude; not precise estimates). These figures reflect baseline conditions; costs under enforcement pressure are network-specific. Any quantitative figures in this document are illustrative scenario constructs and are not derived from a reproducible model within the public record. This table does not constitute a forecast of enforcement effects.</w:t>
      </w:r>
    </w:p>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6.2 Cumulative Escalation Logic and Its Limits</w:t>
      </w:r>
    </w:p>
    <w:p>
      <w:pPr>
        <w:spacing w:before="60" w:after="120"/>
        <w:jc w:val="both"/>
      </w:pPr>
      <w:r>
        <w:rPr>
          <w:rFonts w:ascii="Arial" w:cs="Arial" w:eastAsia="Arial" w:hAnsi="Arial"/>
          <w:b w:val="false"/>
          <w:bCs w:val="false"/>
          <w:i w:val="false"/>
          <w:iCs w:val="false"/>
          <w:color w:val="000000"/>
          <w:sz w:val="22"/>
          <w:szCs w:val="22"/>
        </w:rPr>
        <w:t xml:space="preserve">When banking denial may contribute to removing the lowest-cost channel, the network's available substitution options all impose higher per-unit costs. When simultaneous cash interdiction is assessed as likely to increase the cost of the primary substitution pathway, the network faces an elevated cost floor. When concurrent cryptocurrency gateway constraints may reduce the available digital alternative, the remaining channels are higher-cost, capacity-constrained, and subject to further pressure. The model identifies why this cumulative structure may differ analytically from sequential enforcement where each channel removal is followed by a cost recovery period.</w:t>
      </w:r>
    </w:p>
    <w:p>
      <w:pPr>
        <w:spacing w:before="60" w:after="120"/>
        <w:jc w:val="both"/>
      </w:pPr>
      <w:r>
        <w:rPr>
          <w:rFonts w:ascii="Arial" w:cs="Arial" w:eastAsia="Arial" w:hAnsi="Arial"/>
          <w:b w:val="false"/>
          <w:bCs w:val="false"/>
          <w:i w:val="false"/>
          <w:iCs w:val="false"/>
          <w:color w:val="000000"/>
          <w:sz w:val="22"/>
          <w:szCs w:val="22"/>
        </w:rPr>
        <w:t xml:space="preserve">The model's limits are as important as its logic. Networks may absorb the elevated cost structure through margin compression without reaching a threshold that constitutes operational constraint. The threshold at which cost elevation may contribute to operational change for a specific Tier-1 network is not established in the public record. Available evidence is consistent with the directional logic; it does not validate the claim that any specific cost elevation level produces any specific operational outcome. For a systematic analysis of conditions under which the cumulative logic degrades, see WP-2026-COUNTERINTEL-01.</w:t>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VII: Adaptation Dynamics, Substitution Pathways, and Fragmentation Assessment</w:t>
      </w:r>
    </w:p>
    <w:p>
      <w:pPr>
        <w:pStyle w:val="Heading2"/>
        <w:spacing w:before="240" w:after="80"/>
      </w:pPr>
      <w:r>
        <w:rPr>
          <w:rFonts w:ascii="Arial" w:cs="Arial" w:eastAsia="Arial" w:hAnsi="Arial"/>
          <w:b/>
          <w:bCs/>
          <w:color w:val="1B2A4A"/>
          <w:sz w:val="24"/>
          <w:szCs w:val="24"/>
        </w:rPr>
        <w:t xml:space="preserve">7.1 Substitution Is Endogenous</w:t>
      </w:r>
    </w:p>
    <w:p>
      <w:pPr>
        <w:spacing w:before="60" w:after="120"/>
        <w:jc w:val="both"/>
      </w:pPr>
      <w:r>
        <w:rPr>
          <w:rFonts w:ascii="Arial" w:cs="Arial" w:eastAsia="Arial" w:hAnsi="Arial"/>
          <w:b w:val="false"/>
          <w:bCs w:val="false"/>
          <w:i w:val="false"/>
          <w:iCs w:val="false"/>
          <w:color w:val="000000"/>
          <w:sz w:val="22"/>
          <w:szCs w:val="22"/>
        </w:rPr>
        <w:t xml:space="preserve">Adaptation and substitution are structural features of illicit finance networks, not enforcement failures. The network economics literature (Reuter, 1983; Bouchard, 2007; RAND documented case analyses) supports a high-confidence assessment that illicit networks substitute available channels under enforcement pressure as a matter of operational survival. Target networks are expected to adapt behavior in response to enforcement pressure. Observed shifts in routing, jurisdictional positioning, or asset-class utilization are treated as adaptive responses, not indicators of framework success or failure absent corresponding changes in underlying network throughput or operational reliability. This framing prevents false positive assessments where apparent disruption may reflect adaptation rather than degradation.</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ADVERSARIAL ADAPTATION CLAUSE</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Target networks are expected to adapt behavior in response to enforcement pressure throughout the deployment window. Observed adaptive responses — routing shifts, jurisdictional migration, asset-class substitution, organizational restructuring — do not independently constitute evidence that the framework is or is not producing its assessed effects. An adaptive response is consistent with both effective enforcement (network is under pressure and seeking relief) and ineffective enforcement (network is migrating at low cost to unpressured channels). Distinguishing between these interpretations requires assessment of whether underlying network throughput or operational reliability has changed, not whether observable routing or organizational patterns have changed.</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Apparent disruption without throughput reduction should be treated as adaptive camouflage, not framework success, absent corroborating throughput evidence. Apparent stability without observable routing change should be treated as a potential indicator of successful pre-positioning in unpressured channels, not framework failure, absent throughput evidence. The falsifiable indicator framework in Part XII specifies the observable conditions that update analytical confidence; observable adaptation patterns are not among them absent throughput correlation.</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7.2 Fragmentation Assessment Protocol</w:t>
      </w:r>
    </w:p>
    <w:p>
      <w:pPr>
        <w:spacing w:before="60" w:after="120"/>
        <w:jc w:val="both"/>
      </w:pPr>
      <w:r>
        <w:rPr>
          <w:rFonts w:ascii="Arial" w:cs="Arial" w:eastAsia="Arial" w:hAnsi="Arial"/>
          <w:b w:val="false"/>
          <w:bCs w:val="false"/>
          <w:i w:val="false"/>
          <w:iCs w:val="false"/>
          <w:color w:val="000000"/>
          <w:sz w:val="22"/>
          <w:szCs w:val="22"/>
        </w:rPr>
        <w:t xml:space="preserve">Fragmentation without parallel organizational disruption is treated as a negative or null outcome condition, not a success proxy. This is the series governing finding on fragmentation, derived from the historical enforcement record and applicable to all WP-2026 series documents. Fragmentation is treated as a diagnostic signal, not a performance indicator: its presence signals that the Gate 4 parallel disruption architecture assessment must be conducted, not that the financial enforcement is producing its intended effect. The historical enforcement record on this point is consistent: the dismantling of the Medellín and Cali cartels was consistent with fragmentation into smaller organizations followed by increased market violence, reduced barriers to market entry, and maintained or increased supply volumes. The post-Arellano Félix Tijuana Cartel fragmentation was consistent with similar dynamics in the border corridor. These outcomes represent the documented modal pattern of organizational disruption without simultaneous supply-side constraint. Observed fragmentation triggers reassessment under Gate 4 (Parallel Disruption Architecture) rather than continuation of financial-channel pressure alone.</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7A4000" w:sz="18" w:space="0"/>
              <w:bottom w:val="none" w:color="FFFFFF" w:sz="0"/>
              <w:right w:val="none" w:color="FFFFFF" w:sz="0"/>
            </w:tcBorders>
            <w:shd w:fill="FEF3E2" w:val="clear"/>
            <w:tcMar>
              <w:top w:type="dxa" w:w="60"/>
              <w:left w:type="dxa" w:w="160"/>
              <w:bottom w:type="dxa" w:w="20"/>
              <w:right w:type="dxa" w:w="80"/>
            </w:tcMar>
          </w:tcPr>
          <w:p>
            <w:pPr>
              <w:spacing w:before="0" w:after="0"/>
            </w:pPr>
            <w:r>
              <w:rPr>
                <w:rFonts w:ascii="Arial" w:cs="Arial" w:eastAsia="Arial" w:hAnsi="Arial"/>
                <w:b/>
                <w:bCs/>
                <w:caps/>
                <w:color w:val="7A4000"/>
                <w:sz w:val="18"/>
                <w:szCs w:val="18"/>
              </w:rPr>
              <w:t xml:space="preserve">FRAGMENTATION STOP CONDITION — NON-NEGOTIABLE</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Fragmentation without parallel organizational disruption is treated as a negative or null outcome condition for this framework. It is not a performance signal, a network degradation indicator, or a success proxy under any WP-2026 series framing. This determination is not subject to reinterpretation in other series documents; WP-2026-UNIFIED-01 and all other series documents must adopt this assessment per WP-2026-SAM-01 Table 3 (Category 3 resolution).</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Observable indicators triggering fragmentation assessment: (1) Emergence of previously unidentified distribution sub-networks in the target market not descended from the primary target network; (2) market violence indicators increasing in the target corridor; (3) maintained or increased retail drug availability in the target market despite documented reduction in the primary target network's identified financial throughput.</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Required response: Immediately assess Gate 4 status — is parallel organizational disruption architecture in place, and is its timeline synchronized with the financial access disruption deployment? If Gate 4 parallel architecture is not in place, assess whether continued financial access disruption under these conditions is consistent with the deployment's stated objectives and document that assessment. The record of that assessment must be traceable under the arbitrary-and-capricious standard.</w:t>
            </w:r>
          </w:p>
        </w:tc>
      </w:tr>
      <w:tr>
        <w:tc>
          <w:tcPr>
            <w:tcW w:type="dxa" w:w="8640"/>
            <w:tcBorders>
              <w:top w:val="none" w:color="FFFFFF" w:sz="0"/>
              <w:left w:val="single" w:color="7A4000" w:sz="18" w:space="0"/>
              <w:bottom w:val="single" w:color="FEF3E2" w:sz="4"/>
              <w:right w:val="none" w:color="FFFFFF" w:sz="0"/>
            </w:tcBorders>
            <w:shd w:fill="FEF3E2"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What does not trigger this assessment: Internal organizational restructuring within the existing target network — division into sub-units remaining part of the identified organizational structure — does not trigger this protocol. The trigger is market entry by new actors not descended from the target, or maintained output despite reduced target throughput.</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7.4 Adversary Adaptation Model — System-Level Behavior</w:t>
      </w:r>
    </w:p>
    <w:p>
      <w:pPr>
        <w:spacing w:before="60" w:after="120"/>
        <w:jc w:val="both"/>
      </w:pPr>
      <w:r>
        <w:rPr>
          <w:rFonts w:ascii="Arial" w:cs="Arial" w:eastAsia="Arial" w:hAnsi="Arial"/>
          <w:b w:val="false"/>
          <w:bCs w:val="false"/>
          <w:i w:val="false"/>
          <w:iCs w:val="false"/>
          <w:color w:val="000000"/>
          <w:sz w:val="22"/>
          <w:szCs w:val="22"/>
        </w:rPr>
        <w:t xml:space="preserve">Channel-by-channel evasion analysis, while necessary, does not capture system-level adversary behavior. Networks do not respond to enforcement pressure one channel at a time; they respond organizationally and strategically across all channels simultaneously. The following model describes adversary adaptation as a four-phase cycle that applies to the framework as a whole, not to any individual channel.</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ADVERSARY ADAPTATION CYCLE — FOUR PHASES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Phase 1 — Probe: The network tests enforcement boundaries by routing small transaction volumes through channels that may be under observation, monitoring for enforcement response latency and detection thresholds. Probe phase indicators include: unusual fragmentation of high-value transactions below reporting thresholds; unusual geographic dispersion of flows across channels not previously utilized; and rapid testing of new correspondent relationships in non-primary jurisdictions. Probe phase typically precedes observable enforcement response; it is often invisible to enforcement monitoring until Phase 2 is underway.</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Phase 2 — Exploit: The network identifies specific gaps in enforcement coverage — unsupported channels, jurisdictions outside the coalition perimeter, enforcement latency windows — and routes primary throughput through those gaps. Exploit phase is the primary period of apparent enforcement disruption that is actually adaptive routing: SAR volumes in pressured channels decline not because throughput is reduced but because throughput has moved to unmonitored channels. Exploit phase indicators include: sustained SAR volume reduction in pressured channels without corroborating retail market availability reduction; emergence of new financial pathway documentation in non-pressured jurisdictions; and rapid increase in transaction volumes through channels not currently under Gate 2 prepared enforcement.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Phase 3 — Institutionalize: The network establishes the exploited gap as a durable operational pathway, building correspondent relationships, compliance infrastructure, and organizational procedures around the alternative channel. Institutionalize phase converts temporary evasion into structural resilience. This is the phase at which the enforcement asymmetry identified in WP-2026-COUNTERINTEL-01 Domain Six (Temporal Adaptation) becomes most acute: once a network has institutionalized an alternative pathway, the enforcement cost of closing it increases substantially because the network no longer needs to maintain relationships in the pressured channel.</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Phase 4 — Normalize: The alternative pathway becomes the primary channel; the enforcement pressure on the original channel loses operational relevance because the network has reorganized around the alternative. Normalize phase is the terminal state of adversary adaptation for a single channel — the pressured channel is no longer a dependency, and enforcement of it produces activity without throughput effect. Observable indicator: retail market availability remains stable or increases despite sustained enforcement action on the original channel.</w:t>
            </w:r>
          </w:p>
        </w:tc>
      </w:tr>
    </w:tbl>
    <w:p>
      <w:pPr>
        <w:spacing w:before="0" w:after="80"/>
      </w:pPr>
      <w:r>
        <w:rPr>
          <w:sz w:val="2"/>
          <w:szCs w:val="2"/>
        </w:rPr>
        <w:t xml:space="preserve"/>
      </w:r>
    </w:p>
    <w:p>
      <w:pPr>
        <w:spacing w:before="60" w:after="120"/>
        <w:jc w:val="both"/>
      </w:pPr>
      <w:r>
        <w:rPr>
          <w:rFonts w:ascii="Arial" w:cs="Arial" w:eastAsia="Arial" w:hAnsi="Arial"/>
          <w:b w:val="false"/>
          <w:bCs w:val="false"/>
          <w:i w:val="false"/>
          <w:iCs w:val="false"/>
          <w:color w:val="000000"/>
          <w:sz w:val="22"/>
          <w:szCs w:val="22"/>
        </w:rPr>
        <w:t xml:space="preserve">Channel structural persistence under this model varies significantly. Channels 1 and 3 (formal banking and cryptocurrency) are assessed as highest-persistence enforcement channels because building institutional alternatives — non-USD correspondent infrastructure, privacy-coin fiat conversion pathways — requires significant capital investment and time, making Phase 3 (Institutionalize) slow and costly for most Tier B networks. Channels 2 (physical currency) and 6 (informal value transfer) are assessed as lowest-persistence enforcement channels because alternative cash courier networks and hawala operator substitution can be accomplished within the network's documented migration timeline with minimal capital investment. Channels 4, 5, and 7 (trade finance, real estate, maritime) are intermediate — alternative supply chains and flag registries require months to establish, but established alternatives are difficult to close without allied coordination that may not be available.</w:t>
      </w:r>
    </w:p>
    <w:p>
      <w:pPr>
        <w:spacing w:before="60" w:after="120"/>
        <w:jc w:val="both"/>
      </w:pPr>
      <w:r>
        <w:rPr>
          <w:rFonts w:ascii="Arial" w:cs="Arial" w:eastAsia="Arial" w:hAnsi="Arial"/>
          <w:b w:val="false"/>
          <w:bCs w:val="false"/>
          <w:i w:val="false"/>
          <w:iCs w:val="false"/>
          <w:color w:val="000000"/>
          <w:sz w:val="22"/>
          <w:szCs w:val="22"/>
        </w:rPr>
        <w:t xml:space="preserve">The adversary adaptation model implies a deployment design principle: enforcement actions that can be completed within the Phase 1-2 window (before the network institutionalizes alternatives) produce materially different outcomes than enforcement actions that arrive after Phase 3 is underway. This is the mechanism-level explanation for why the framework's simultaneity requirement is analytically necessary rather than procedurally convenient. For a complete systematic analysis of adversary adaptation by domain and time horizon, see WP-2026-EVASION-01.</w:t>
      </w:r>
    </w:p>
    <w:p>
      <w:pPr>
        <w:pStyle w:val="Heading2"/>
        <w:spacing w:before="240" w:after="80"/>
      </w:pPr>
      <w:r>
        <w:rPr>
          <w:rFonts w:ascii="Arial" w:cs="Arial" w:eastAsia="Arial" w:hAnsi="Arial"/>
          <w:b/>
          <w:bCs/>
          <w:color w:val="1B2A4A"/>
          <w:sz w:val="24"/>
          <w:szCs w:val="24"/>
        </w:rPr>
        <w:t xml:space="preserve">7.5 Formal Adversary Adaptation Parameters by Channel</w:t>
      </w:r>
    </w:p>
    <w:p>
      <w:pPr>
        <w:spacing w:before="60" w:after="120"/>
        <w:jc w:val="both"/>
      </w:pPr>
      <w:r>
        <w:rPr>
          <w:rFonts w:ascii="Arial" w:cs="Arial" w:eastAsia="Arial" w:hAnsi="Arial"/>
          <w:b w:val="false"/>
          <w:bCs w:val="false"/>
          <w:i w:val="false"/>
          <w:iCs w:val="false"/>
          <w:color w:val="000000"/>
          <w:sz w:val="22"/>
          <w:szCs w:val="22"/>
        </w:rPr>
        <w:t xml:space="preserve">The following table formalizes the adversary adaptation parameters for each channel, providing the repeatable structure needed for deployment planning and effectiveness assessment. Adaptation speed, persistence, and detectability are assessed based on published enforcement case records and documented network behavior patterns. These assessments are illustrative scenario constructs calibrated to Tier B network characteristics; Tier A networks with limited pre-positioned alternative infrastructure will show lower adaptation speeds; Tier C networks with pre-existing non-USD infrastructure may show higher adaptation speeds than indicated.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400"/>
        <w:gridCol w:w="1600"/>
        <w:gridCol w:w="1640"/>
      </w:tblGrid>
      <w:tr>
        <w:trPr>
          <w:tblHeader/>
        </w:trPr>
        <w:tc>
          <w:tcPr>
            <w:tcW w:type="dxa" w:w="12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Channel</w:t>
            </w:r>
          </w:p>
        </w:tc>
        <w:tc>
          <w:tcPr>
            <w:tcW w:type="dxa" w:w="14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Adaptation Speed</w:t>
            </w:r>
          </w:p>
        </w:tc>
        <w:tc>
          <w:tcPr>
            <w:tcW w:type="dxa" w:w="14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Persistence Under Enforcement</w:t>
            </w:r>
          </w:p>
        </w:tc>
        <w:tc>
          <w:tcPr>
            <w:tcW w:type="dxa" w:w="14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Detectability of Adaptation</w:t>
            </w:r>
          </w:p>
        </w:tc>
        <w:tc>
          <w:tcPr>
            <w:tcW w:type="dxa" w:w="16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Phase 3 Window Estimate</w:t>
            </w:r>
          </w:p>
        </w:tc>
        <w:tc>
          <w:tcPr>
            <w:tcW w:type="dxa" w:w="164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Reversibility After Phase 3</w:t>
            </w:r>
          </w:p>
        </w:tc>
      </w:tr>
      <w:tr>
        <w:tc>
          <w:tcPr>
            <w:tcW w:type="dxa" w:w="1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Ch. 1 — Banking</w:t>
            </w:r>
          </w:p>
        </w:tc>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LOW — Non-USD corridor development is capital-intensive and relationship-dependent</w:t>
            </w:r>
          </w:p>
        </w:tc>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LOW — Network cannot easily return to USD correspondent infrastructure once designated</w:t>
            </w:r>
          </w:p>
        </w:tc>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HIGH — SAR filings, CTR patterns, § 314(a) cross-referencing provide strong signals</w:t>
            </w:r>
          </w:p>
        </w:tc>
        <w:tc>
          <w:tcPr>
            <w:tcW w:type="dxa" w:w="16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6–18 months; longer for networks without pre-positioned non-USD infrastructure</w:t>
            </w:r>
          </w:p>
        </w:tc>
        <w:tc>
          <w:tcPr>
            <w:tcW w:type="dxa" w:w="16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DIFFICULT — Phase 3 institutionalization of non-USD primary channel requires fresh Gate 1 reassessment and new channel set</w:t>
            </w:r>
          </w:p>
        </w:tc>
      </w:tr>
      <w:tr>
        <w:tc>
          <w:tcPr>
            <w:tcW w:type="dxa" w:w="1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Ch. 2 — Currency</w:t>
            </w:r>
          </w:p>
        </w:tc>
        <w:tc>
          <w:tcPr>
            <w:tcW w:type="dxa" w:w="1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HIGH — Pre-positioned cash courier infrastructure activates within 30–60 days</w:t>
            </w:r>
          </w:p>
        </w:tc>
        <w:tc>
          <w:tcPr>
            <w:tcW w:type="dxa" w:w="1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LOW — Cash operations impose per-unit costs that escalate with volume; limited capacity ceiling</w:t>
            </w:r>
          </w:p>
        </w:tc>
        <w:tc>
          <w:tcPr>
            <w:tcW w:type="dxa" w:w="1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MEDIUM — GTO reporting and CBP seizure data provide corridor-level signals; specific operators difficult to identify</w:t>
            </w:r>
          </w:p>
        </w:tc>
        <w:tc>
          <w:tcPr>
            <w:tcW w:type="dxa" w:w="16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30–60 days for existing networks; 60–120 days for new construction</w:t>
            </w:r>
          </w:p>
        </w:tc>
        <w:tc>
          <w:tcPr>
            <w:tcW w:type="dxa" w:w="16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MODERATE — Cash infrastructure can be reconstructed; new operators emerge rapidly; geographic redirection achievable</w:t>
            </w:r>
          </w:p>
        </w:tc>
      </w:tr>
      <w:tr>
        <w:tc>
          <w:tcPr>
            <w:tcW w:type="dxa" w:w="1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Ch. 3 — Cryptocurrency (exchange-linked)</w:t>
            </w:r>
          </w:p>
        </w:tc>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MEDIUM — Exchange substitution requires account establishment and compliance navigation; 30–60 days</w:t>
            </w:r>
          </w:p>
        </w:tc>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MEDIUM-HIGH — U.S. exchange enforcement is strong; offshore exchange enforcement is coalition-dependent</w:t>
            </w:r>
          </w:p>
        </w:tc>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MEDIUM — Blockchain forensics detect exchange-linked activity; offshore exchanges reduce detectability</w:t>
            </w:r>
          </w:p>
        </w:tc>
        <w:tc>
          <w:tcPr>
            <w:tcW w:type="dxa" w:w="16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30–60 days at exchange layer; 7–14 days for DeFi/P2P pivot</w:t>
            </w:r>
          </w:p>
        </w:tc>
        <w:tc>
          <w:tcPr>
            <w:tcW w:type="dxa" w:w="16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MODERATE — Exchange-layer recovery possible; DeFi/P2P institutionalization is effectively irreversible without on-chain tracing capability</w:t>
            </w:r>
          </w:p>
        </w:tc>
      </w:tr>
      <w:tr>
        <w:tc>
          <w:tcPr>
            <w:tcW w:type="dxa" w:w="1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Ch. 3 — Cryptocurrency (DeFi/P2P)</w:t>
            </w:r>
          </w:p>
        </w:tc>
        <w:tc>
          <w:tcPr>
            <w:tcW w:type="dxa" w:w="1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VERY HIGH — Protocol deployment and P2P network activation can occur in days</w:t>
            </w:r>
          </w:p>
        </w:tc>
        <w:tc>
          <w:tcPr>
            <w:tcW w:type="dxa" w:w="1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LOW for enforcement; HIGH for adversary — protocol proliferation outpaces designation timelines</w:t>
            </w:r>
          </w:p>
        </w:tc>
        <w:tc>
          <w:tcPr>
            <w:tcW w:type="dxa" w:w="1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LOW — On-chain tracing limited for privacy protocols; P2P settlement invisible at exchange layer</w:t>
            </w:r>
          </w:p>
        </w:tc>
        <w:tc>
          <w:tcPr>
            <w:tcW w:type="dxa" w:w="16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7–14 days</w:t>
            </w:r>
          </w:p>
        </w:tc>
        <w:tc>
          <w:tcPr>
            <w:tcW w:type="dxa" w:w="16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VERY DIFFICULT — P2P settlement does not require recoverable infrastructure; effectively irreversible once institutionalized</w:t>
            </w:r>
          </w:p>
        </w:tc>
      </w:tr>
      <w:tr>
        <w:tc>
          <w:tcPr>
            <w:tcW w:type="dxa" w:w="1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Ch. 4 — Trade Finance</w:t>
            </w:r>
          </w:p>
        </w:tc>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MEDIUM — New supplier development requires relationship investment; 90–180 days for new supply chains</w:t>
            </w:r>
          </w:p>
        </w:tc>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MEDIUM — Component disaggregation and transshipment are documented and persistent evasion architectures</w:t>
            </w:r>
          </w:p>
        </w:tc>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LOW-MEDIUM — BIS enforcement case records document patterns; specific supplier chains difficult to trace in real time</w:t>
            </w:r>
          </w:p>
        </w:tc>
        <w:tc>
          <w:tcPr>
            <w:tcW w:type="dxa" w:w="16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90–180 days for new supplier chains; shorter for pre-positioned alternatives</w:t>
            </w:r>
          </w:p>
        </w:tc>
        <w:tc>
          <w:tcPr>
            <w:tcW w:type="dxa" w:w="16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MODERATE — § 2339B notice letter extends deterrence to new suppliers; Phase 3 completion in new jurisdiction may be outside FDPR reach</w:t>
            </w:r>
          </w:p>
        </w:tc>
      </w:tr>
      <w:tr>
        <w:tc>
          <w:tcPr>
            <w:tcW w:type="dxa" w:w="1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Ch. 5 — Real Estate</w:t>
            </w:r>
          </w:p>
        </w:tc>
        <w:tc>
          <w:tcPr>
            <w:tcW w:type="dxa" w:w="1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MEDIUM — Foreign-situs migration requires legal structuring and property transaction timelines; 60–120 days</w:t>
            </w:r>
          </w:p>
        </w:tc>
        <w:tc>
          <w:tcPr>
            <w:tcW w:type="dxa" w:w="1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MEDIUM — Foreign-situs assets outside domestic Reporting Rule reach; domestic restructuring slows but does not stop utilization</w:t>
            </w:r>
          </w:p>
        </w:tc>
        <w:tc>
          <w:tcPr>
            <w:tcW w:type="dxa" w:w="1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MEDIUM — Reporting Rule creates domestic disclosure; foreign-situs migration not captured</w:t>
            </w:r>
          </w:p>
        </w:tc>
        <w:tc>
          <w:tcPr>
            <w:tcW w:type="dxa" w:w="16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60–120 days for jurisdictional migration</w:t>
            </w:r>
          </w:p>
        </w:tc>
        <w:tc>
          <w:tcPr>
            <w:tcW w:type="dxa" w:w="16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MODERATE — Foreign-situs institutionalization is outside domestic enforcement reach; requires allied cooperation for recovery</w:t>
            </w:r>
          </w:p>
        </w:tc>
      </w:tr>
      <w:tr>
        <w:tc>
          <w:tcPr>
            <w:tcW w:type="dxa" w:w="12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Ch. 6 — Informal Transfer</w:t>
            </w:r>
          </w:p>
        </w:tc>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HIGH — Hawala operator substitution achievable within days to weeks; no capital infrastructure required</w:t>
            </w:r>
          </w:p>
        </w:tc>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LOW — High-volume hawala operations face capacity constraints; operator substitution is rapid but not unlimited in capacity</w:t>
            </w:r>
          </w:p>
        </w:tc>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LOW — Individual operators difficult to identify; class designation addresses corridor but not individual operators</w:t>
            </w:r>
          </w:p>
        </w:tc>
        <w:tc>
          <w:tcPr>
            <w:tcW w:type="dxa" w:w="16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14–30 days</w:t>
            </w:r>
          </w:p>
        </w:tc>
        <w:tc>
          <w:tcPr>
            <w:tcW w:type="dxa" w:w="16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DIFFICULT — Class designation is more durable than operator designation; but corridor migration outside U.S. correspondent reach is effectively irreversible</w:t>
            </w:r>
          </w:p>
        </w:tc>
      </w:tr>
      <w:tr>
        <w:tc>
          <w:tcPr>
            <w:tcW w:type="dxa" w:w="12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Ch. 7 — Maritime (commercial registry)</w:t>
            </w:r>
          </w:p>
        </w:tc>
        <w:tc>
          <w:tcPr>
            <w:tcW w:type="dxa" w:w="1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MEDIUM — Flag-shopping achievable in days; multi-registry distribution requires weeks to months</w:t>
            </w:r>
          </w:p>
        </w:tc>
        <w:tc>
          <w:tcPr>
            <w:tcW w:type="dxa" w:w="1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MEDIUM — Commercial registries respond to P&amp;I and port access pressure; re-flagging disrupts but does not permanently deny maritime logistics</w:t>
            </w:r>
          </w:p>
        </w:tc>
        <w:tc>
          <w:tcPr>
            <w:tcW w:type="dxa" w:w="1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MEDIUM — AIS manipulation reduces vessel-level visibility; registry-level enforcement provides fleet-level signal</w:t>
            </w:r>
          </w:p>
        </w:tc>
        <w:tc>
          <w:tcPr>
            <w:tcW w:type="dxa" w:w="16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1–7 days for flag-shopping; longer for state-fleet integration</w:t>
            </w:r>
          </w:p>
        </w:tc>
        <w:tc>
          <w:tcPr>
            <w:tcW w:type="dxa" w:w="16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MODERATE — New commercial registry relationships can be established; state-fleet integration is outside commercial-incentive enforcement reach</w:t>
            </w:r>
          </w:p>
        </w:tc>
      </w:tr>
    </w:tbl>
    <w:p>
      <w:pPr>
        <w:spacing w:before="60" w:after="120"/>
      </w:pPr>
      <w:r>
        <w:rPr>
          <w:rFonts w:ascii="Arial" w:cs="Arial" w:eastAsia="Arial" w:hAnsi="Arial"/>
          <w:i/>
          <w:iCs/>
          <w:color w:val="4A5568"/>
          <w:sz w:val="18"/>
          <w:szCs w:val="18"/>
        </w:rPr>
        <w:t xml:space="preserve">Table 5: Formal Adversary Adaptation Parameters by Channel. Adaptation speed, persistence, and detectability are assessed for Tier B network characteristics based on published enforcement case records. These are illustrative scenario constructs and are not derived from a reproducible model. Network-specific parameters will vary based on organizational depth, pre-positioned infrastructure, and resource availability.</w:t>
      </w:r>
    </w:p>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7.3 Substitution Pathway Sequence</w:t>
      </w:r>
    </w:p>
    <w:p>
      <w:pPr>
        <w:spacing w:before="60" w:after="120"/>
        <w:jc w:val="both"/>
      </w:pPr>
      <w:r>
        <w:rPr>
          <w:rFonts w:ascii="Arial" w:cs="Arial" w:eastAsia="Arial" w:hAnsi="Arial"/>
          <w:b w:val="false"/>
          <w:bCs w:val="false"/>
          <w:i w:val="false"/>
          <w:iCs w:val="false"/>
          <w:color w:val="000000"/>
          <w:sz w:val="22"/>
          <w:szCs w:val="22"/>
        </w:rPr>
        <w:t xml:space="preserve">Banking denial is consistent with observed patterns of migration to cash operations within 30 to 60 days based on available enforcement reporting. Concurrent cash interdiction may increase the likelihood of elevated costs on that substitution route and may increase the likelihood of migration toward cryptocurrency platforms. Restricted cryptocurrency environments may increase the likelihood of activity shifting toward hawala and trade-based money laundering, both of which have documented capacity constraints limiting their viability as primary large-scale substitutes. Available evidence is consistent with this substitution hierarchy; it does not establish that it operates mechanically or uniformly across all network types. For a systematic analysis of substitution pathway degradation conditions, see WP-2026-COUNTERINTEL-01 Section III.2.</w:t>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VIII: Legal Authority Foundation and Litigation Resilience</w:t>
      </w:r>
    </w:p>
    <w:p>
      <w:pPr>
        <w:spacing w:before="60" w:after="120"/>
        <w:jc w:val="both"/>
      </w:pPr>
      <w:r>
        <w:rPr>
          <w:rFonts w:ascii="Arial" w:cs="Arial" w:eastAsia="Arial" w:hAnsi="Arial"/>
          <w:b w:val="false"/>
          <w:bCs w:val="false"/>
          <w:i w:val="false"/>
          <w:iCs w:val="false"/>
          <w:color w:val="000000"/>
          <w:sz w:val="22"/>
          <w:szCs w:val="22"/>
        </w:rPr>
        <w:t xml:space="preserve">All enforcement mechanisms described in this framework rest on existing, codified U.S. statutory authority. The governing authority-rail analysis and hard limits for each instrument are established in WP-2026-PERSIST-01 (specifically: Export Controls Rail at Section 2.1; Sanctions Rail at Section 2.2; CFIUS Rail at Section 2.3; Defense Cooperation Rail at Section 2.4; Speech and Information Rail at Section 2.5; International Law and Alliance Rail at Section 2.6). The tool-by-tool authority mapping, evidentiary thresholds, and required record artifacts are in WP-2026-PERSIST-01 Appendix A and Appendix B respectively. This section provides the channel-specific application of that governing framework; it does not independently interpret the underlying authorities.</w:t>
      </w:r>
    </w:p>
    <w:p>
      <w:pPr>
        <w:spacing w:before="60" w:after="120"/>
        <w:jc w:val="both"/>
      </w:pPr>
      <w:r>
        <w:rPr>
          <w:rFonts w:ascii="Arial" w:cs="Arial" w:eastAsia="Arial" w:hAnsi="Arial"/>
          <w:b w:val="false"/>
          <w:bCs w:val="false"/>
          <w:i w:val="false"/>
          <w:iCs w:val="false"/>
          <w:color w:val="000000"/>
          <w:sz w:val="22"/>
          <w:szCs w:val="22"/>
        </w:rPr>
        <w:t xml:space="preserve">This section assesses categorical litigation resilience for each channel authority. It does not assess the sufficiency of evidentiary records, procedural compliance, or administrative findings required to sustain any specific designation, rulemaking action, or prosecutorial decision. Those determinations require independent legal and evidentiary assessment for each specific action, and all administrative records must be developed and maintained consistent with the record standards in WP-2026-PERSIST-01 Appendix B.</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640"/>
      </w:tblGrid>
      <w:tr>
        <w:trPr>
          <w:tblHeader/>
        </w:trPr>
        <w:tc>
          <w:tcPr>
            <w:tcW w:type="dxa" w:w="20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Authority</w:t>
            </w:r>
          </w:p>
        </w:tc>
        <w:tc>
          <w:tcPr>
            <w:tcW w:type="dxa" w:w="20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Citation</w:t>
            </w:r>
          </w:p>
        </w:tc>
        <w:tc>
          <w:tcPr>
            <w:tcW w:type="dxa" w:w="464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Categorical Litigation Resilience — Channel-Specific Application</w:t>
            </w:r>
          </w:p>
        </w:tc>
      </w:tr>
      <w:tr>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Section 311 Special Measures</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31 U.S.C. § 5318A</w:t>
            </w:r>
          </w:p>
        </w:tc>
        <w:tc>
          <w:tcPr>
            <w:tcW w:type="dxa" w:w="46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APA notice-and-comment; post-designation reconsideration; BDA judicial review sustained; Mathews v. Eldridge balancing for emergency actions. Gate 2 record pre-positioning reduces TRO/preliminary injunction probability. Governing authority-rail analysis: PERSIST-01 Section 2.2.</w:t>
            </w:r>
          </w:p>
        </w:tc>
      </w:tr>
      <w:tr>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Asset Substitution</w:t>
            </w:r>
          </w:p>
        </w:tc>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18 U.S.C. § 981(k)</w:t>
            </w:r>
          </w:p>
        </w:tc>
        <w:tc>
          <w:tcPr>
            <w:tcW w:type="dxa" w:w="46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Operates on U.S.-held correspondent balances, not overseas assets; avoids extraterritorial enforcement problem; sustained in multiple district court proceedings. Governing analysis: PERSIST-01 Section 2.2.</w:t>
            </w:r>
          </w:p>
        </w:tc>
      </w:tr>
      <w:tr>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Civil Forfeiture</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18 U.S.C. § 981(a)</w:t>
            </w:r>
          </w:p>
        </w:tc>
        <w:tc>
          <w:tcPr>
            <w:tcW w:type="dxa" w:w="46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Burden shifts to claimant upon filing; preponderance standard; all-cash purchase with SAR cross-reference creates rebuttable presumption.</w:t>
            </w:r>
          </w:p>
        </w:tc>
      </w:tr>
      <w:tr>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Structuring Prohibition</w:t>
            </w:r>
          </w:p>
        </w:tc>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31 U.S.C. § 5324</w:t>
            </w:r>
          </w:p>
        </w:tc>
        <w:tc>
          <w:tcPr>
            <w:tcW w:type="dxa" w:w="46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Pattern-based offense; knowledge standard is objective; structuring is the offense regardless of legality of underlying funds.</w:t>
            </w:r>
          </w:p>
        </w:tc>
      </w:tr>
      <w:tr>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Export Controls / FDPR</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50 U.S.C. § 4819; 15 C.F.R. § 744.21</w:t>
            </w:r>
          </w:p>
        </w:tc>
        <w:tc>
          <w:tcPr>
            <w:tcW w:type="dxa" w:w="46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FDPR jurisdiction sustained; product nexus to U.S. technology establishes jurisdiction regardless of manufacturer nationality. Hard limits: unilateral FDPR application beyond allied coordination generates WTO and diplomatic exposure, per PERSIST-01 Section 2.1 drafting rules.</w:t>
            </w:r>
          </w:p>
        </w:tc>
      </w:tr>
      <w:tr>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FTO Material Support</w:t>
            </w:r>
          </w:p>
        </w:tc>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18 U.S.C. § 2339B</w:t>
            </w:r>
          </w:p>
        </w:tc>
        <w:tc>
          <w:tcPr>
            <w:tcW w:type="dxa" w:w="46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Holder v. Humanitarian Law Project, 561 U.S. 1 (2010) — knowledge plus post-designation supply satisfies statute; formal notice letter creates constructive knowledge record.</w:t>
            </w:r>
          </w:p>
        </w:tc>
      </w:tr>
      <w:tr>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SDGT / Narcotics Blocking</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E.O. 13224; E.O. 14059</w:t>
            </w:r>
          </w:p>
        </w:tc>
        <w:tc>
          <w:tcPr>
            <w:tcW w:type="dxa" w:w="46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IEEPA constitutional basis sustained; effects doctrine establishes extraterritorial jurisdiction; national security emergency findings not subject to de novo judicial review on merits. Governing analysis: PERSIST-01 Section 2.2.</w:t>
            </w:r>
          </w:p>
        </w:tc>
      </w:tr>
      <w:tr>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Secondary Sanctions</w:t>
            </w:r>
          </w:p>
        </w:tc>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CAATSA; CISADA; NKSPEA</w:t>
            </w:r>
          </w:p>
        </w:tc>
        <w:tc>
          <w:tcPr>
            <w:tcW w:type="dxa" w:w="46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180-day wind-down satisfies due process notice; binary compliance incentive creates rational basis. Per PERSIST-01 Section 2.2: secondary sanctions on third-country entities without allied concurrence generate coalition fracture. Coalition-Risk Review Memo (PERSIST-01 Appendix B.2) required.</w:t>
            </w:r>
          </w:p>
        </w:tc>
      </w:tr>
      <w:tr>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Real Estate Reporting Rule</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31 C.F.R. § 1010.370</w:t>
            </w:r>
          </w:p>
        </w:tc>
        <w:tc>
          <w:tcPr>
            <w:tcW w:type="dxa" w:w="46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BSA reporting obligation on third-party intermediaries; third-party doctrine applies; nationwide scope removes jurisdictional arbitrage challenge.</w:t>
            </w:r>
          </w:p>
        </w:tc>
      </w:tr>
      <w:tr>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Class of Transactions</w:t>
            </w:r>
          </w:p>
        </w:tc>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31 U.S.C. § 5318A(a)(4)(A)</w:t>
            </w:r>
          </w:p>
        </w:tc>
        <w:tc>
          <w:tcPr>
            <w:tcW w:type="dxa" w:w="46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Facial statutory authority; untested in narcotics context; APA rulemaking basis available. Absence of direct precedent is a litigation risk not resolvable from the public record.</w:t>
            </w:r>
          </w:p>
        </w:tc>
      </w:tr>
    </w:tbl>
    <w:p>
      <w:pPr>
        <w:spacing w:before="60" w:after="120"/>
      </w:pPr>
      <w:r>
        <w:rPr>
          <w:rFonts w:ascii="Arial" w:cs="Arial" w:eastAsia="Arial" w:hAnsi="Arial"/>
          <w:i/>
          <w:iCs/>
          <w:color w:val="4A5568"/>
          <w:sz w:val="18"/>
          <w:szCs w:val="18"/>
        </w:rPr>
        <w:t xml:space="preserve">Table 3: Statutory Authorities — Channel-Specific Categorical Litigation Resilience. Governing authority-rail analysis and required record artifacts in WP-2026-PERSIST-01 Sections 2 and Appendices A-B.</w:t>
      </w:r>
    </w:p>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8.1 Principal Constitutional Challenges</w:t>
      </w:r>
    </w:p>
    <w:p>
      <w:pPr>
        <w:pStyle w:val="Heading3"/>
        <w:spacing w:before="160" w:after="60"/>
      </w:pPr>
      <w:r>
        <w:rPr>
          <w:rFonts w:ascii="Arial" w:cs="Arial" w:eastAsia="Arial" w:hAnsi="Arial"/>
          <w:b/>
          <w:bCs/>
          <w:color w:val="4A5568"/>
          <w:sz w:val="22"/>
          <w:szCs w:val="22"/>
        </w:rPr>
        <w:t xml:space="preserve">Due Process — Fifth Amendment</w:t>
      </w:r>
    </w:p>
    <w:p>
      <w:pPr>
        <w:spacing w:before="60" w:after="120"/>
        <w:jc w:val="both"/>
      </w:pPr>
      <w:r>
        <w:rPr>
          <w:rFonts w:ascii="Arial" w:cs="Arial" w:eastAsia="Arial" w:hAnsi="Arial"/>
          <w:b w:val="false"/>
          <w:bCs w:val="false"/>
          <w:i w:val="false"/>
          <w:iCs w:val="false"/>
          <w:color w:val="000000"/>
          <w:sz w:val="22"/>
          <w:szCs w:val="22"/>
        </w:rPr>
        <w:t xml:space="preserve">Section 311 designations are subject to APA notice-and-comment (31 C.F.R. § 1010.370) and post-designation reconsideration (31 C.F.R. § 501.807). For emergency actions, the national security and flight risk rationale establishes the government interest under Mathews v. Eldridge, 424 U.S. 319 (1976), balancing. Gate 2 APA-sustainability record preparation reduces the probability of a successful pre-deprivation challenge. A successful TRO or preliminary injunction against any channel action triggers Failure Mode Three regardless of the underlying designation strength.</w:t>
      </w:r>
    </w:p>
    <w:p>
      <w:pPr>
        <w:pStyle w:val="Heading3"/>
        <w:spacing w:before="160" w:after="60"/>
      </w:pPr>
      <w:r>
        <w:rPr>
          <w:rFonts w:ascii="Arial" w:cs="Arial" w:eastAsia="Arial" w:hAnsi="Arial"/>
          <w:b/>
          <w:bCs/>
          <w:color w:val="4A5568"/>
          <w:sz w:val="22"/>
          <w:szCs w:val="22"/>
        </w:rPr>
        <w:t xml:space="preserve">Extraterritorial Jurisdiction</w:t>
      </w:r>
    </w:p>
    <w:p>
      <w:pPr>
        <w:spacing w:before="60" w:after="120"/>
        <w:jc w:val="both"/>
      </w:pPr>
      <w:r>
        <w:rPr>
          <w:rFonts w:ascii="Arial" w:cs="Arial" w:eastAsia="Arial" w:hAnsi="Arial"/>
          <w:b w:val="false"/>
          <w:bCs w:val="false"/>
          <w:i w:val="false"/>
          <w:iCs w:val="false"/>
          <w:color w:val="000000"/>
          <w:sz w:val="22"/>
          <w:szCs w:val="22"/>
        </w:rPr>
        <w:t xml:space="preserve">IEEPA (50 U.S.C. § 1702) explicitly authorizes regulation of foreign property and interests with U.S. nexus, per PERSIST-01 Section 2.2. The effects doctrine establishes jurisdiction over foreign conduct producing financial effects in the U.S. financial system. § 981(k) operates on U.S.-held balances, not overseas assets. Secondary sanctions operate through compliance incentives created by U.S. market exposure. Per PERSIST-01 Section 2.6 hard limits: extraterritorial reach is legally and politically sustainable only where allied governments have agreed to coordinate or not actively oppose U.S. measures.</w:t>
      </w:r>
    </w:p>
    <w:p>
      <w:pPr>
        <w:pStyle w:val="Heading3"/>
        <w:spacing w:before="160" w:after="60"/>
      </w:pPr>
      <w:r>
        <w:rPr>
          <w:rFonts w:ascii="Arial" w:cs="Arial" w:eastAsia="Arial" w:hAnsi="Arial"/>
          <w:b/>
          <w:bCs/>
          <w:color w:val="4A5568"/>
          <w:sz w:val="22"/>
          <w:szCs w:val="22"/>
        </w:rPr>
        <w:t xml:space="preserve">First Amendment — Financial Transactions</w:t>
      </w:r>
    </w:p>
    <w:p>
      <w:pPr>
        <w:spacing w:before="60" w:after="120"/>
        <w:jc w:val="both"/>
      </w:pPr>
      <w:r>
        <w:rPr>
          <w:rFonts w:ascii="Arial" w:cs="Arial" w:eastAsia="Arial" w:hAnsi="Arial"/>
          <w:b w:val="false"/>
          <w:bCs w:val="false"/>
          <w:i w:val="false"/>
          <w:iCs w:val="false"/>
          <w:color w:val="000000"/>
          <w:sz w:val="22"/>
          <w:szCs w:val="22"/>
        </w:rPr>
        <w:t xml:space="preserve">Available court decisions treat financial transactions as commercial conduct rather than protected expressive conduct. Holder v. Humanitarian Law Project, 561 U.S. 1 (2010), establishes that the government's interest in preventing material support satisfies demanding scrutiny. The Tornado Cash appellate litigation is ongoing; its outcome affects smart contract designation authority but not the core Section 311, OFAC SDN, or § 981(k) authorities.</w:t>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IX: Illustrative Gate Assessment — Tier B Network Application</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SCENARIO PREMISE AND SCOPE</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This section applies the Part II gate assessment architecture to a hypothetical Tier B fentanyl trafficking network. The scenario demonstrates how gate conditions govern analytically supported deployment scope and preparation timeline. It is not an operational plan, enforcement memorandum, or action document; it does not establish causal outcomes; and it is not transferable to any real-world target without independent gate assessment, per the Non-Transferability Clause above. All financial infrastructure characteristics are drawn from published DEA and FinCEN category-level assessments, not from intelligence reporting about any specific organization.</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9.1 Gate Assessment Results</w:t>
      </w:r>
    </w:p>
    <w:p>
      <w:pPr>
        <w:pStyle w:val="Heading3"/>
        <w:spacing w:before="160" w:after="60"/>
      </w:pPr>
      <w:r>
        <w:rPr>
          <w:rFonts w:ascii="Arial" w:cs="Arial" w:eastAsia="Arial" w:hAnsi="Arial"/>
          <w:b/>
          <w:bCs/>
          <w:color w:val="4A5568"/>
          <w:sz w:val="22"/>
          <w:szCs w:val="22"/>
        </w:rPr>
        <w:t xml:space="preserve">Gate 1: Tier Classification — Supported</w:t>
      </w:r>
    </w:p>
    <w:p>
      <w:pPr>
        <w:spacing w:before="60" w:after="120"/>
        <w:jc w:val="both"/>
      </w:pPr>
      <w:r>
        <w:rPr>
          <w:rFonts w:ascii="Arial" w:cs="Arial" w:eastAsia="Arial" w:hAnsi="Arial"/>
          <w:b w:val="false"/>
          <w:bCs w:val="false"/>
          <w:i w:val="false"/>
          <w:iCs w:val="false"/>
          <w:color w:val="000000"/>
          <w:sz w:val="22"/>
          <w:szCs w:val="22"/>
        </w:rPr>
        <w:t xml:space="preserve">Supported based on documented record demonstrating: Tier B confirmed. Primary USD throughput through documented casa de cambio networks and offshore exchange houses — USD correspondent exposure confirmed above Tier B threshold per FinCEN SAR analysis. Parallel non-USD infrastructure documented through hawala corridor and identified cryptocurrency exchange relationships. Prior enforcement action documented 45-day migration to cryptocurrency before resumption of banking operations, consistent with Tier B classification and establishing 45-day migration window as the operative simultaneity constraint for this network. Gate 1 evidentiary standard consistent with WP-2026-PERSIST-01 Section 4 (Confirmed Attribution) and WP-2026-SENI-ARCH-01 Section IV (D2=[5-OSINT] for named-institution claims). No PRC financial institution involvement identified in this network's documented throughput chain; state-nexus attribution assessment not required for this scenario.</w:t>
      </w:r>
    </w:p>
    <w:p>
      <w:pPr>
        <w:pStyle w:val="Heading3"/>
        <w:spacing w:before="160" w:after="60"/>
      </w:pPr>
      <w:r>
        <w:rPr>
          <w:rFonts w:ascii="Arial" w:cs="Arial" w:eastAsia="Arial" w:hAnsi="Arial"/>
          <w:b/>
          <w:bCs/>
          <w:color w:val="4A5568"/>
          <w:sz w:val="22"/>
          <w:szCs w:val="22"/>
        </w:rPr>
        <w:t xml:space="preserve">Gate 2: Administrative Record Pre-Positioning — Critical Path Analysis</w:t>
      </w:r>
    </w:p>
    <w:p>
      <w:pPr>
        <w:spacing w:before="60" w:after="120"/>
        <w:jc w:val="both"/>
      </w:pPr>
      <w:r>
        <w:rPr>
          <w:rFonts w:ascii="Arial" w:cs="Arial" w:eastAsia="Arial" w:hAnsi="Arial"/>
          <w:b w:val="false"/>
          <w:bCs w:val="false"/>
          <w:i w:val="false"/>
          <w:iCs w:val="false"/>
          <w:color w:val="000000"/>
          <w:sz w:val="22"/>
          <w:szCs w:val="22"/>
        </w:rPr>
        <w:t xml:space="preserve">Supported based on documented record demonstrating preparation timeline consistent with Gate 2 requirements: Network migration window 45 days. Channel 4 (Entity List / FDPR) preparation requires 90 days — governs Channel 1 date. Channel 1 (Section 311) requires 60 days — must begin 30 days after Channel 4 begins. Channel 3 (OFAC wallet designation) requires 30 days — concurrent with Channel 1. Channel 2 (GTO) requires 45 days — concurrent with Channel 1. Channel 1 is not analytically supported until Channel 4 administrative record reaches APA-sustainability standard, consistent with WP-2026-PERSIST-01 Section 4 Confirmed Attribution and Section 2.1 FDPR evidentiary requirements. Total preparation timeline: 90 days minimum.</w:t>
      </w:r>
    </w:p>
    <w:p>
      <w:pPr>
        <w:pStyle w:val="Heading3"/>
        <w:spacing w:before="160" w:after="60"/>
      </w:pPr>
      <w:r>
        <w:rPr>
          <w:rFonts w:ascii="Arial" w:cs="Arial" w:eastAsia="Arial" w:hAnsi="Arial"/>
          <w:b/>
          <w:bCs/>
          <w:color w:val="4A5568"/>
          <w:sz w:val="22"/>
          <w:szCs w:val="22"/>
        </w:rPr>
        <w:t xml:space="preserve">Gate 3: Coalition Status — Not Supported for Channels 6 and 7</w:t>
      </w:r>
    </w:p>
    <w:p>
      <w:pPr>
        <w:spacing w:before="60" w:after="120"/>
        <w:jc w:val="both"/>
      </w:pPr>
      <w:r>
        <w:rPr>
          <w:rFonts w:ascii="Arial" w:cs="Arial" w:eastAsia="Arial" w:hAnsi="Arial"/>
          <w:b w:val="false"/>
          <w:bCs w:val="false"/>
          <w:i w:val="false"/>
          <w:iCs w:val="false"/>
          <w:color w:val="000000"/>
          <w:sz w:val="22"/>
          <w:szCs w:val="22"/>
        </w:rPr>
        <w:t xml:space="preserve">Not supported where record lacks specific operational commitments at the documented-action level from at least two key jurisdictions: Mexican FIU provided general engagement commitment without specific operational commitment meeting Gate 3 standard. UAE has not responded to formal engagement request. Gate 3 determination: not supported for Channels 6 and 7. Analytically supported deployment scope: five-channel framework (Channels 1 through 5). Secondary sanctions notices to identified UAE exchange houses to be issued at Channel 1 publication date under CAATSA § 9241, per WP-2026-PERSIST-01 Section 2.2 procedures, establishing a 180-day compliance window as an independent enforcement track.</w:t>
      </w:r>
    </w:p>
    <w:p>
      <w:pPr>
        <w:pStyle w:val="Heading3"/>
        <w:spacing w:before="160" w:after="60"/>
      </w:pPr>
      <w:r>
        <w:rPr>
          <w:rFonts w:ascii="Arial" w:cs="Arial" w:eastAsia="Arial" w:hAnsi="Arial"/>
          <w:b/>
          <w:bCs/>
          <w:color w:val="4A5568"/>
          <w:sz w:val="22"/>
          <w:szCs w:val="22"/>
        </w:rPr>
        <w:t xml:space="preserve">Gate 4: Parallel Disruption Architecture — Partial</w:t>
      </w:r>
    </w:p>
    <w:p>
      <w:pPr>
        <w:spacing w:before="60" w:after="120"/>
        <w:jc w:val="both"/>
      </w:pPr>
      <w:r>
        <w:rPr>
          <w:rFonts w:ascii="Arial" w:cs="Arial" w:eastAsia="Arial" w:hAnsi="Arial"/>
          <w:b w:val="false"/>
          <w:bCs w:val="false"/>
          <w:i w:val="false"/>
          <w:iCs w:val="false"/>
          <w:color w:val="000000"/>
          <w:sz w:val="22"/>
          <w:szCs w:val="22"/>
        </w:rPr>
        <w:t xml:space="preserve">Supported based on documented record for: civil asset forfeiture preparation for identified U.S. real estate holdings confirmed within 30 days of Channel 1; prosecution preparation confirmed for two of four identified principals. Not fully supported where record lacks: prosecution preparation for two remaining principals with estimated six-month timeline to indictment readiness. Risk documentation required: fragmentation risk is elevated because partial leadership removal may produce internal organizational restructuring consistent with post-disruption market entry by successor organizations. Deploying authority must document acceptance of this risk before Channel 1, with documentation traceable under arbitrary-and-capricious standard. Fragmentation is treated as a negative or null outcome condition; observed fragmentation triggers Gate 4 reassessment, not continuation of financial pressure alone.</w:t>
      </w:r>
    </w:p>
    <w:p>
      <w:pPr>
        <w:pStyle w:val="Heading3"/>
        <w:spacing w:before="160" w:after="60"/>
      </w:pPr>
      <w:r>
        <w:rPr>
          <w:rFonts w:ascii="Arial" w:cs="Arial" w:eastAsia="Arial" w:hAnsi="Arial"/>
          <w:b/>
          <w:bCs/>
          <w:color w:val="4A5568"/>
          <w:sz w:val="22"/>
          <w:szCs w:val="22"/>
        </w:rPr>
        <w:t xml:space="preserve">Gate 5: Continuity Commitment — Supported</w:t>
      </w:r>
    </w:p>
    <w:p>
      <w:pPr>
        <w:spacing w:before="60" w:after="120"/>
        <w:jc w:val="both"/>
      </w:pPr>
      <w:r>
        <w:rPr>
          <w:rFonts w:ascii="Arial" w:cs="Arial" w:eastAsia="Arial" w:hAnsi="Arial"/>
          <w:b w:val="false"/>
          <w:bCs w:val="false"/>
          <w:i w:val="false"/>
          <w:iCs w:val="false"/>
          <w:color w:val="000000"/>
          <w:sz w:val="22"/>
          <w:szCs w:val="22"/>
        </w:rPr>
        <w:t xml:space="preserve">Supported based on documented record demonstrating: all five lead agencies for Channels 1 through 5 confirmed 18-month resource and authorization availability. Section 311 administrative record reviewed for APA sustainability consistent with PERSIST-01 Section 2.2 and Appendix A evidentiary standards. Gate 5 supported for five-channel deployment scope.</w:t>
      </w:r>
    </w:p>
    <w:p>
      <w:pPr>
        <w:pStyle w:val="Heading2"/>
        <w:spacing w:before="240" w:after="80"/>
      </w:pPr>
      <w:r>
        <w:rPr>
          <w:rFonts w:ascii="Arial" w:cs="Arial" w:eastAsia="Arial" w:hAnsi="Arial"/>
          <w:b/>
          <w:bCs/>
          <w:color w:val="1B2A4A"/>
          <w:sz w:val="24"/>
          <w:szCs w:val="24"/>
        </w:rPr>
        <w:t xml:space="preserve">9.2 Deployment Scope Determination</w:t>
      </w:r>
    </w:p>
    <w:p>
      <w:pPr>
        <w:spacing w:before="60" w:after="120"/>
        <w:jc w:val="both"/>
      </w:pPr>
      <w:r>
        <w:rPr>
          <w:rFonts w:ascii="Arial" w:cs="Arial" w:eastAsia="Arial" w:hAnsi="Arial"/>
          <w:b w:val="false"/>
          <w:bCs w:val="false"/>
          <w:i w:val="false"/>
          <w:iCs w:val="false"/>
          <w:color w:val="000000"/>
          <w:sz w:val="22"/>
          <w:szCs w:val="22"/>
        </w:rPr>
        <w:t xml:space="preserve">Based on gate assessment: five-channel framework analytically supported based on documented record. Gate 3 not supported for Channels 6 and 7; those channels removed from analytically supported scope. Gate 4 partial; fragmentation risk documented and accepted in writing for deployment proceeding with limited parallel disruption architecture. Channel 1 date conditioned on Channel 4 administrative record reaching APA-sustainability standard at 90-day mark. The five-channel deployment with full gate support is the analytically correct scope for this target under current conditions — calibrated to the conditions that exist, not to the conditions that would be ideal.</w:t>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X: Cryptocurrency as a Partial Substitution Channel</w:t>
      </w:r>
    </w:p>
    <w:p>
      <w:pPr>
        <w:pStyle w:val="Heading2"/>
        <w:spacing w:before="240" w:after="80"/>
      </w:pPr>
      <w:r>
        <w:rPr>
          <w:rFonts w:ascii="Arial" w:cs="Arial" w:eastAsia="Arial" w:hAnsi="Arial"/>
          <w:b/>
          <w:bCs/>
          <w:color w:val="1B2A4A"/>
          <w:sz w:val="24"/>
          <w:szCs w:val="24"/>
        </w:rPr>
        <w:t xml:space="preserve">10.1 On-Chain Observability</w:t>
      </w:r>
    </w:p>
    <w:p>
      <w:pPr>
        <w:spacing w:before="60" w:after="120"/>
        <w:jc w:val="both"/>
      </w:pPr>
      <w:r>
        <w:rPr>
          <w:rFonts w:ascii="Arial" w:cs="Arial" w:eastAsia="Arial" w:hAnsi="Arial"/>
          <w:b w:val="false"/>
          <w:bCs w:val="false"/>
          <w:i w:val="false"/>
          <w:iCs w:val="false"/>
          <w:color w:val="000000"/>
          <w:sz w:val="22"/>
          <w:szCs w:val="22"/>
        </w:rPr>
        <w:t xml:space="preserve">Blockchain forensics platforms (Chainalysis, Elliptic, TRM Labs) publish annual capability assessments documenting meaningful attribution capability for transparent-blockchain activity at exchange interaction points. The Bitzlato enforcement action (DOJ, January 2023) and Colonial Pipeline recovery (FBI, June 2021) support the inference that transparent-blockchain transactions may leave exploitable forensic traces at exchange interaction points under KYC-obligated infrastructure conditions. These cases do not establish generalizability to all configurations, adversaries, or blockchain architectures. The public record supports a stronger analytical judgment about exchange-linked enforcement than about protocol-layer persistence; that asymmetry should govern analytic confidence throughout.</w:t>
      </w:r>
    </w:p>
    <w:p>
      <w:pPr>
        <w:pStyle w:val="Heading2"/>
        <w:spacing w:before="240" w:after="80"/>
      </w:pPr>
      <w:r>
        <w:rPr>
          <w:rFonts w:ascii="Arial" w:cs="Arial" w:eastAsia="Arial" w:hAnsi="Arial"/>
          <w:b/>
          <w:bCs/>
          <w:color w:val="1B2A4A"/>
          <w:sz w:val="24"/>
          <w:szCs w:val="24"/>
        </w:rPr>
        <w:t xml:space="preserve">10.2 Privacy Coin and DeFi Constraints</w:t>
      </w:r>
    </w:p>
    <w:p>
      <w:pPr>
        <w:spacing w:before="60" w:after="120"/>
        <w:jc w:val="both"/>
      </w:pPr>
      <w:r>
        <w:rPr>
          <w:rFonts w:ascii="Arial" w:cs="Arial" w:eastAsia="Arial" w:hAnsi="Arial"/>
          <w:b w:val="false"/>
          <w:bCs w:val="false"/>
          <w:i w:val="false"/>
          <w:iCs w:val="false"/>
          <w:color w:val="000000"/>
          <w:sz w:val="22"/>
          <w:szCs w:val="22"/>
        </w:rPr>
        <w:t xml:space="preserve">Privacy coins reduce on-chain observability through mechanisms the public record does not establish can be reliably de-anonymized under adversarial conditions. The enforcement approach for privacy coins is fiat conversion-point interdiction: U.S. exchange delisting reduces domestic conversion points; offshore exchange designation under § 5318A creates secondary compliance pressure; and § 981(k) custodial seizure applies where identified funds reach exchange custody regardless of the blockchain architecture. DeFi protocol proliferation outpaces designation timelines — a structural enforcement asymmetry that infrastructure-layer compliance may partially but not fully offset. For a systematic analysis of cryptocurrency channel degradation conditions, see WP-2026-COUNTERINTEL-01 Section III.2 and III.6.</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ANALYTIC SUMMARY — CRYPTOCURRENCY CHANNEL</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HIGH CONFIDENCE (scoped to exchange-interaction conditions): Transparent-blockchain transactions at KYC-obligated exchange interaction points may leave traceable forensic records. Confidence does not extend to non-compliant offshore exchanges, direct peer-to-peer settlement, or self-custodied wallets without exchange interaction.</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MODERATE CONFIDENCE: Fiat conversion-point interdiction is more analytically durable than on-chain tracing as a primary enforcement approach, contingent on exchange compliance posture outside the U.S. regulatory perimeter.</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LOW-MODERATE CONFIDENCE: Infrastructure-layer enforcement is more durable than contract-by-contract designation but depends on commercial incentives not stable as an analytical assumption under adversarial pressure.</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BINDING CONSTRAINT: Enforcement effectiveness outside the U.S. regulatory perimeter cannot be assumed as stable in advance of specific coalition and exchange compliance confirmation under Gate 3. Per WP-2026-PERSIST-01 Section 2.2 hard limits: secondary sanctions effectiveness requires U.S. market exposure by the third-country institution.</w:t>
            </w:r>
          </w:p>
        </w:tc>
      </w:tr>
    </w:tbl>
    <w:p>
      <w:pPr>
        <w:spacing w:before="0" w:after="80"/>
      </w:pPr>
      <w:r>
        <w:rPr>
          <w:sz w:val="2"/>
          <w:szCs w:val="2"/>
        </w:rPr>
        <w:t xml:space="preserve"/>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XI: Structural Constraints and Limitations of the Public Record</w:t>
      </w:r>
    </w:p>
    <w:p>
      <w:pPr>
        <w:pStyle w:val="Heading2"/>
        <w:spacing w:before="240" w:after="80"/>
      </w:pPr>
      <w:r>
        <w:rPr>
          <w:rFonts w:ascii="Arial" w:cs="Arial" w:eastAsia="Arial" w:hAnsi="Arial"/>
          <w:b/>
          <w:bCs/>
          <w:color w:val="1B2A4A"/>
          <w:sz w:val="24"/>
          <w:szCs w:val="24"/>
        </w:rPr>
        <w:t xml:space="preserve">11.1 What This Framework Does Not Establish</w:t>
      </w:r>
    </w:p>
    <w:p>
      <w:pPr>
        <w:spacing w:before="60" w:after="120"/>
        <w:jc w:val="both"/>
      </w:pPr>
      <w:r>
        <w:rPr>
          <w:rFonts w:ascii="Arial" w:cs="Arial" w:eastAsia="Arial" w:hAnsi="Arial"/>
          <w:b w:val="false"/>
          <w:bCs w:val="false"/>
          <w:i w:val="false"/>
          <w:iCs w:val="false"/>
          <w:color w:val="000000"/>
          <w:sz w:val="22"/>
          <w:szCs w:val="22"/>
        </w:rPr>
        <w:t xml:space="preserve">This paper does not establish that coordinated multi-channel enforcement pressure eliminates or reliably reduces illicit network activity. It establishes the legal architecture available for each channel, the conditions under which that architecture is analytically applicable, the jurisdictional limits of each channel's reach, and the non-controlled variables that affect whether the framework's cumulative logic operates under real deployment conditions. For a dedicated analysis of the conditions under which framework analytical support degrades, see WP-2026-COUNTERINTEL-01.</w:t>
      </w:r>
    </w:p>
    <w:p>
      <w:pPr>
        <w:pStyle w:val="Heading2"/>
        <w:spacing w:before="240" w:after="80"/>
      </w:pPr>
      <w:r>
        <w:rPr>
          <w:rFonts w:ascii="Arial" w:cs="Arial" w:eastAsia="Arial" w:hAnsi="Arial"/>
          <w:b/>
          <w:bCs/>
          <w:color w:val="1B2A4A"/>
          <w:sz w:val="24"/>
          <w:szCs w:val="24"/>
        </w:rPr>
        <w:t xml:space="preserve">11.2 Cost Absorption</w:t>
      </w:r>
    </w:p>
    <w:p>
      <w:pPr>
        <w:spacing w:before="60" w:after="120"/>
        <w:jc w:val="both"/>
      </w:pPr>
      <w:r>
        <w:rPr>
          <w:rFonts w:ascii="Arial" w:cs="Arial" w:eastAsia="Arial" w:hAnsi="Arial"/>
          <w:b w:val="false"/>
          <w:bCs w:val="false"/>
          <w:i w:val="false"/>
          <w:iCs w:val="false"/>
          <w:color w:val="000000"/>
          <w:sz w:val="22"/>
          <w:szCs w:val="22"/>
        </w:rPr>
        <w:t xml:space="preserve">Major trafficking organizations operate with gross margin structures that may absorb substantial transaction cost increases without becoming operationally non-viable. RAND and academic published research (Caulkins et al., 2006; Reuter, 2009) documents that retail price markups in prohibition markets are already extremely high relative to production costs, providing significant margin buffer against supply-chain cost increases. The core analytical question — whether cost changes achievable through multi-channel pressure may cross an operational threshold for a Tier-1 network — remains unresolved. That uncertainty is load-bearing for any assessment of framework effectiveness.</w:t>
      </w:r>
    </w:p>
    <w:p>
      <w:pPr>
        <w:pStyle w:val="Heading2"/>
        <w:spacing w:before="240" w:after="80"/>
      </w:pPr>
      <w:r>
        <w:rPr>
          <w:rFonts w:ascii="Arial" w:cs="Arial" w:eastAsia="Arial" w:hAnsi="Arial"/>
          <w:b/>
          <w:bCs/>
          <w:color w:val="1B2A4A"/>
          <w:sz w:val="24"/>
          <w:szCs w:val="24"/>
        </w:rPr>
        <w:t xml:space="preserve">11.3 Political Corruption and Structural Enforcement Gaps</w:t>
      </w:r>
    </w:p>
    <w:p>
      <w:pPr>
        <w:spacing w:before="60" w:after="120"/>
        <w:jc w:val="both"/>
      </w:pPr>
      <w:r>
        <w:rPr>
          <w:rFonts w:ascii="Arial" w:cs="Arial" w:eastAsia="Arial" w:hAnsi="Arial"/>
          <w:b w:val="false"/>
          <w:bCs w:val="false"/>
          <w:i w:val="false"/>
          <w:iCs w:val="false"/>
          <w:color w:val="000000"/>
          <w:sz w:val="22"/>
          <w:szCs w:val="22"/>
        </w:rPr>
        <w:t xml:space="preserve">Available U.S. government reporting documents significant law enforcement and regulatory corruption in primary trafficking corridor jurisdictions. Formal legal authority and operational enforcement capacity are not equivalent. This gap is a persistent structural constraint that multi-channel financial enforcement must operate within; it is not remediable through legal authority analysis or administrative record improvement. Where corruption reduces the operational effectiveness of formal enforcement channels, the framework's gate assessments — particularly Gate 3 coalition status and the observable indicators in Part XII — will produce less reliable signals than in low-corruption environments.</w:t>
      </w:r>
    </w:p>
    <w:p>
      <w:pPr>
        <w:pStyle w:val="Heading2"/>
        <w:spacing w:before="240" w:after="80"/>
      </w:pPr>
      <w:r>
        <w:rPr>
          <w:rFonts w:ascii="Arial" w:cs="Arial" w:eastAsia="Arial" w:hAnsi="Arial"/>
          <w:b/>
          <w:bCs/>
          <w:color w:val="1B2A4A"/>
          <w:sz w:val="24"/>
          <w:szCs w:val="24"/>
        </w:rPr>
        <w:t xml:space="preserve">11.4 Non-Capabilities of the SIEGE-01 Framework</w:t>
      </w:r>
    </w:p>
    <w:p>
      <w:pPr>
        <w:spacing w:before="60" w:after="120"/>
        <w:jc w:val="both"/>
      </w:pPr>
      <w:r>
        <w:rPr>
          <w:rFonts w:ascii="Arial" w:cs="Arial" w:eastAsia="Arial" w:hAnsi="Arial"/>
          <w:b w:val="false"/>
          <w:bCs w:val="false"/>
          <w:i w:val="false"/>
          <w:iCs w:val="false"/>
          <w:color w:val="000000"/>
          <w:sz w:val="22"/>
          <w:szCs w:val="22"/>
        </w:rPr>
        <w:t xml:space="preserve">The following statements define what this framework cannot do, regardless of implementation quality, resource commitment, or enforcement intensity. These are structural non-capabilities — they are not remediable through improved administrative records, stronger coalition coordination, or increased enforcement resources. They define the outer boundary of what the framework is analytically capable of claiming.</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STRUCTURAL NON-CAPABILITIES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Cannot eliminate illicit finance. The framework is designed to be consistent with transaction cost increases and to constrain low-cost substitution pathways under the conditions it specifies. It is not designed to and cannot eliminate illicit finance as an activity. Illicit finance networks have operated under various forms of enforcement pressure for decades; the available record does not support a claim that financial enforcement has eliminated or could eliminate illicit finance. The framework's analytical goal is operational constraint under defined conditions, not elimination.</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Cannot prevent adversary adaptation. Adaptive responses by target networks are structural features of the enforcement environment, not failures of framework design. The framework is designed to make adaptation more costly; it cannot prevent it. Any assessment that treats the absence of observed adaptation as framework success, or treats observed adaptation as framework failure, is applying an analytically unsupported standard.</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Cannot ensure attribution from channel-level analysis. Channel-level analysis identifies which financial channels are analytically applicable for a given target tier. It does not establish the named-entity attribution required for administrative designation actions. That attribution requires independent development to the D2=[5-OSINT] standard per WP-2026-SENI-ARCH-01 Section IV. Using channel-level applicability analysis as a substitute for named-entity attribution is analytically unsupported and legally insufficient for designation action.</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Cannot function under coalition fracture. For Tier B and C networks, Channels 6 and 7 require coalition participation to produce meaningful enforcement pressure. The framework's cumulative escalation logic for these channels is conditioned on coalition participation that is a non-controlled variable. Where coalition fracture is confirmed, the analytically supported channel set narrows to the USD-perimeter channels, and the framework's cumulative logic operates within that reduced perimeter only.</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Cannot operate without enforcement continuity. The cumulative cost escalation logic requires sustained concurrent pressure across all operative channels for the deployment window. Enforcement pressure that is interrupted — whether by legal challenge, resource constraint, or political decision — for more than 60 days on any operative channel removes the cumulative logic from the deployment for that channel. Resumed enforcement after a 60-day interruption does not restart the cumulative clock; it faces a network that has used the interruption window to advance its adaptation cycle.</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Cannot reach networks operating entirely outside U.S. financial system exposure. The framework's jurisdictional reach is coextensive with U.S. financial system exposure. Networks that have completed institutional migration to non-USD financial architecture, operate through state-directed financial infrastructure, or conduct financial operations entirely through peer-to-peer settlement without exchange infrastructure are structurally outside the framework's primary enforcement reach. Tier C classification formalizes this structural boundary; it cannot be addressed through enforcement design improvements.</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11.5 Open-Source Attribution Constraints</w:t>
      </w:r>
    </w:p>
    <w:p>
      <w:pPr>
        <w:spacing w:before="60" w:after="120"/>
        <w:jc w:val="both"/>
      </w:pPr>
      <w:r>
        <w:rPr>
          <w:rFonts w:ascii="Arial" w:cs="Arial" w:eastAsia="Arial" w:hAnsi="Arial"/>
          <w:b w:val="false"/>
          <w:bCs w:val="false"/>
          <w:i w:val="false"/>
          <w:iCs w:val="false"/>
          <w:color w:val="000000"/>
          <w:sz w:val="22"/>
          <w:szCs w:val="22"/>
        </w:rPr>
        <w:t xml:space="preserve">This paper rests entirely on open-source analysis. The enforcement record most directly relevant to validating the framework — classified post-action financial intelligence assessments of specific enforcement campaigns — is not available in the public record. Open-source analysis is structurally better at documenting known corridors and patterns than emergent or concealed ones; that asymmetry is a persistent limitation.</w:t>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XII: Falsifiable Observable Indicators and Analytical Response Protocols</w:t>
      </w:r>
    </w:p>
    <w:p>
      <w:pPr>
        <w:spacing w:before="60" w:after="120"/>
        <w:jc w:val="both"/>
      </w:pPr>
      <w:r>
        <w:rPr>
          <w:rFonts w:ascii="Arial" w:cs="Arial" w:eastAsia="Arial" w:hAnsi="Arial"/>
          <w:b w:val="false"/>
          <w:bCs w:val="false"/>
          <w:i w:val="false"/>
          <w:iCs w:val="false"/>
          <w:color w:val="000000"/>
          <w:sz w:val="22"/>
          <w:szCs w:val="22"/>
        </w:rPr>
        <w:t xml:space="preserve">Each indicator below specifies the observable value consistent with framework conditions being met, the observable value consistent with framework conditions not being met, the assessment timeframe, and the required analytical response when the unsupported condition is confirmed. These are not monitoring targets; they are the specific observations that update analytical confidence in the framework's stated conditions. All analytical responses must be traceable to a documented administrative record.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440"/>
        <w:gridCol w:w="2600"/>
      </w:tblGrid>
      <w:tr>
        <w:trPr>
          <w:tblHeader/>
        </w:trPr>
        <w:tc>
          <w:tcPr>
            <w:tcW w:type="dxa" w:w="14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Indicator</w:t>
            </w:r>
          </w:p>
        </w:tc>
        <w:tc>
          <w:tcPr>
            <w:tcW w:type="dxa" w:w="16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Consistent with Conditions Met</w:t>
            </w:r>
          </w:p>
        </w:tc>
        <w:tc>
          <w:tcPr>
            <w:tcW w:type="dxa" w:w="16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Consistent with Conditions Not Met</w:t>
            </w:r>
          </w:p>
        </w:tc>
        <w:tc>
          <w:tcPr>
            <w:tcW w:type="dxa" w:w="144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Assessment Window</w:t>
            </w:r>
          </w:p>
        </w:tc>
        <w:tc>
          <w:tcPr>
            <w:tcW w:type="dxa" w:w="26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Required Analytical Response</w:t>
            </w:r>
          </w:p>
        </w:tc>
      </w:tr>
      <w:tr>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SAR filing volume — banking sector</w:t>
            </w:r>
          </w:p>
        </w:tc>
        <w:tc>
          <w:tcPr>
            <w:tcW w:type="dxa" w:w="16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Sustained &gt;40% increase above baseline in target categories for 2+ consecutive 90-day cycles</w:t>
            </w:r>
          </w:p>
        </w:tc>
        <w:tc>
          <w:tcPr>
            <w:tcW w:type="dxa" w:w="16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No material change within 90 days of Channel 1</w:t>
            </w:r>
          </w:p>
        </w:tc>
        <w:tc>
          <w:tcPr>
            <w:tcW w:type="dxa" w:w="14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90-day intervals from Channel 1</w:t>
            </w:r>
          </w:p>
        </w:tc>
        <w:tc>
          <w:tcPr>
            <w:tcW w:type="dxa" w:w="26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Failure Mode 1 assessment per Part III; identify unsupported channel; remedy within 30 days or formally reclassify as sequential enforcement with adjusted objectives; document per Gate 2 record standard</w:t>
            </w:r>
          </w:p>
        </w:tc>
      </w:tr>
      <w:tr>
        <w:tc>
          <w:tcPr>
            <w:tcW w:type="dxa" w:w="1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CBP bulk cash seizure — target corridors</w:t>
            </w:r>
          </w:p>
        </w:tc>
        <w:tc>
          <w:tcPr>
            <w:tcW w:type="dxa" w:w="16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Sustained seizure volume increase correlated temporally with banking denial action in target corridors</w:t>
            </w:r>
          </w:p>
        </w:tc>
        <w:tc>
          <w:tcPr>
            <w:tcW w:type="dxa" w:w="16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No change in target corridors; or increases in non-target corridors only (adaptive routing indicator)</w:t>
            </w:r>
          </w:p>
        </w:tc>
        <w:tc>
          <w:tcPr>
            <w:tcW w:type="dxa" w:w="14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90-day intervals</w:t>
            </w:r>
          </w:p>
        </w:tc>
        <w:tc>
          <w:tcPr>
            <w:tcW w:type="dxa" w:w="26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Assess whether Channel 2 GTO coverage is geographically matched to identified network corridors; redeploy or document displacement as the deployment outcome</w:t>
            </w:r>
          </w:p>
        </w:tc>
      </w:tr>
      <w:tr>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OFAC wallet designation compliance</w:t>
            </w:r>
          </w:p>
        </w:tc>
        <w:tc>
          <w:tcPr>
            <w:tcW w:type="dxa" w:w="16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Designated addresses blocked by U.S. and at least 2 non-U.S. major exchanges within 30 days</w:t>
            </w:r>
          </w:p>
        </w:tc>
        <w:tc>
          <w:tcPr>
            <w:tcW w:type="dxa" w:w="16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Designated addresses accessible through non-U.S. infrastructure without blocking</w:t>
            </w:r>
          </w:p>
        </w:tc>
        <w:tc>
          <w:tcPr>
            <w:tcW w:type="dxa" w:w="14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30-day post-designation; 90-day reassessment</w:t>
            </w:r>
          </w:p>
        </w:tc>
        <w:tc>
          <w:tcPr>
            <w:tcW w:type="dxa" w:w="26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Issue secondary sanctions notices to identified non-compliant offshore exchanges per PERSIST-01 Section 2.2; assess Gate 3 Failure Mode 2 conditions per Part III</w:t>
            </w:r>
          </w:p>
        </w:tc>
      </w:tr>
      <w:tr>
        <w:tc>
          <w:tcPr>
            <w:tcW w:type="dxa" w:w="1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Precursor availability — DEA reporting</w:t>
            </w:r>
          </w:p>
        </w:tc>
        <w:tc>
          <w:tcPr>
            <w:tcW w:type="dxa" w:w="16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Published DEA reporting indicates reduced precursor availability or increased price in target production corridors</w:t>
            </w:r>
          </w:p>
        </w:tc>
        <w:tc>
          <w:tcPr>
            <w:tcW w:type="dxa" w:w="16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No change in precursor availability within 180 days; identification of new-source suppliers</w:t>
            </w:r>
          </w:p>
        </w:tc>
        <w:tc>
          <w:tcPr>
            <w:tcW w:type="dxa" w:w="14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180-day intervals from Entity List designation</w:t>
            </w:r>
          </w:p>
        </w:tc>
        <w:tc>
          <w:tcPr>
            <w:tcW w:type="dxa" w:w="26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Issue § 2339B formal notice to new-source suppliers; assess FDPR applicability to new-source technology base per PERSIST-01 Section 2.1; document as Channel 4 partial substitution</w:t>
            </w:r>
          </w:p>
        </w:tc>
      </w:tr>
      <w:tr>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Fragmentation indicators — STOP CONDITION</w:t>
            </w:r>
          </w:p>
        </w:tc>
        <w:tc>
          <w:tcPr>
            <w:tcW w:type="dxa" w:w="16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Absence of new market entrants and violence increase within 12 months</w:t>
            </w:r>
          </w:p>
        </w:tc>
        <w:tc>
          <w:tcPr>
            <w:tcW w:type="dxa" w:w="16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New distribution sub-networks; market violence increase; maintained retail availability despite target throughput reduction</w:t>
            </w:r>
          </w:p>
        </w:tc>
        <w:tc>
          <w:tcPr>
            <w:tcW w:type="dxa" w:w="14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Monthly; formal assessment triggered at 90 days</w:t>
            </w:r>
          </w:p>
        </w:tc>
        <w:tc>
          <w:tcPr>
            <w:tcW w:type="dxa" w:w="26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Gate 4 parallel disruption status assessment per Part II and Part VII; if parallel architecture absent, document whether continued deployment is consistent with stated objectives given fragmentation as negative/null outcome; traceable administrative record required</w:t>
            </w:r>
          </w:p>
        </w:tc>
      </w:tr>
      <w:tr>
        <w:tc>
          <w:tcPr>
            <w:tcW w:type="dxa" w:w="1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Network throughput proxy — retail availability</w:t>
            </w:r>
          </w:p>
        </w:tc>
        <w:tc>
          <w:tcPr>
            <w:tcW w:type="dxa" w:w="16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Published DEA or ONDCP assessment indicating reduced supply availability with supply-side attribution</w:t>
            </w:r>
          </w:p>
        </w:tc>
        <w:tc>
          <w:tcPr>
            <w:tcW w:type="dxa" w:w="16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No change in retail availability or price within 12 months</w:t>
            </w:r>
          </w:p>
        </w:tc>
        <w:tc>
          <w:tcPr>
            <w:tcW w:type="dxa" w:w="14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12-month primary assessment</w:t>
            </w:r>
          </w:p>
        </w:tc>
        <w:tc>
          <w:tcPr>
            <w:tcW w:type="dxa" w:w="26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Full framework applicability reassessment per Parts II-IV; assess whether Tier classification, coalition status, continuity interruption, or adversarial adaptation accounts for absence of documented effect; adjust deployment scope to reflect actual conditions</w:t>
            </w:r>
          </w:p>
        </w:tc>
      </w:tr>
      <w:tr>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Coalition participation — continuous</w:t>
            </w:r>
          </w:p>
        </w:tc>
        <w:tc>
          <w:tcPr>
            <w:tcW w:type="dxa" w:w="16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Specific operational action by confirmed coalition partners within 30 days of Channel 1</w:t>
            </w:r>
          </w:p>
        </w:tc>
        <w:tc>
          <w:tcPr>
            <w:tcW w:type="dxa" w:w="16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No operational action by 30 days; or withdrawal of cooperation</w:t>
            </w:r>
          </w:p>
        </w:tc>
        <w:tc>
          <w:tcPr>
            <w:tcW w:type="dxa" w:w="14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Continuous; 30-day confirmation window</w:t>
            </w:r>
          </w:p>
        </w:tc>
        <w:tc>
          <w:tcPr>
            <w:tcW w:type="dxa" w:w="26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Failure Mode 2 protocol per Part III; remove coalition-dependent channels from analytically supported scope; issue secondary sanctions notices per PERSIST-01 Section 2.2 procedures; reassess deployment scope</w:t>
            </w:r>
          </w:p>
        </w:tc>
      </w:tr>
    </w:tbl>
    <w:p>
      <w:pPr>
        <w:spacing w:before="60" w:after="120"/>
      </w:pPr>
      <w:r>
        <w:rPr>
          <w:rFonts w:ascii="Arial" w:cs="Arial" w:eastAsia="Arial" w:hAnsi="Arial"/>
          <w:i/>
          <w:iCs/>
          <w:color w:val="4A5568"/>
          <w:sz w:val="18"/>
          <w:szCs w:val="18"/>
        </w:rPr>
        <w:t xml:space="preserve">Table 4: Falsifiable Observable Indicators. All analytical responses traceable to documented administrative record. Attribution uncertainty applies throughout; no single indicator is dispositive. Fragmentation indicators trigger Part VII assessment, not continuation of financial pressure.</w:t>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XIII: Deployment Implications</w:t>
      </w:r>
    </w:p>
    <w:p>
      <w:pPr>
        <w:spacing w:before="60" w:after="120"/>
        <w:jc w:val="both"/>
      </w:pPr>
      <w:r>
        <w:rPr>
          <w:rFonts w:ascii="Arial" w:cs="Arial" w:eastAsia="Arial" w:hAnsi="Arial"/>
          <w:b w:val="false"/>
          <w:bCs w:val="false"/>
          <w:i w:val="false"/>
          <w:iCs w:val="false"/>
          <w:color w:val="000000"/>
          <w:sz w:val="22"/>
          <w:szCs w:val="22"/>
        </w:rPr>
        <w:t xml:space="preserve">These implications should be read as analytical consequences of the framework's applicability conditions, not as implementation directives.</w:t>
      </w:r>
    </w:p>
    <w:p>
      <w:pPr>
        <w:pStyle w:val="Heading2"/>
        <w:spacing w:before="240" w:after="80"/>
      </w:pPr>
      <w:r>
        <w:rPr>
          <w:rFonts w:ascii="Arial" w:cs="Arial" w:eastAsia="Arial" w:hAnsi="Arial"/>
          <w:b/>
          <w:bCs/>
          <w:color w:val="1B2A4A"/>
          <w:sz w:val="24"/>
          <w:szCs w:val="24"/>
        </w:rPr>
        <w:t xml:space="preserve">13.1 Preparation Governs the Channel 1 Date</w:t>
      </w:r>
    </w:p>
    <w:p>
      <w:pPr>
        <w:spacing w:before="60" w:after="120"/>
        <w:jc w:val="both"/>
      </w:pPr>
      <w:r>
        <w:rPr>
          <w:rFonts w:ascii="Arial" w:cs="Arial" w:eastAsia="Arial" w:hAnsi="Arial"/>
          <w:b w:val="false"/>
          <w:bCs w:val="false"/>
          <w:i w:val="false"/>
          <w:iCs w:val="false"/>
          <w:color w:val="000000"/>
          <w:sz w:val="22"/>
          <w:szCs w:val="22"/>
        </w:rPr>
        <w:t xml:space="preserve">The analytically supported Channel 1 date is determined by the slowest operative channel's administrative record reaching the standard specified in Gate 2. It is not determined by the readiness of Channel 1 alone. The administrative record that governs is the one that must satisfy APA arbitrary-and-capricious review; that standard applies independently of how quickly any individual channel action can be executed.</w:t>
      </w:r>
    </w:p>
    <w:p>
      <w:pPr>
        <w:pStyle w:val="Heading2"/>
        <w:spacing w:before="240" w:after="80"/>
      </w:pPr>
      <w:r>
        <w:rPr>
          <w:rFonts w:ascii="Arial" w:cs="Arial" w:eastAsia="Arial" w:hAnsi="Arial"/>
          <w:b/>
          <w:bCs/>
          <w:color w:val="1B2A4A"/>
          <w:sz w:val="24"/>
          <w:szCs w:val="24"/>
        </w:rPr>
        <w:t xml:space="preserve">13.2 Deployment Scope Is Determined at Channel 1</w:t>
      </w:r>
    </w:p>
    <w:p>
      <w:pPr>
        <w:spacing w:before="60" w:after="120"/>
        <w:jc w:val="both"/>
      </w:pPr>
      <w:r>
        <w:rPr>
          <w:rFonts w:ascii="Arial" w:cs="Arial" w:eastAsia="Arial" w:hAnsi="Arial"/>
          <w:b w:val="false"/>
          <w:bCs w:val="false"/>
          <w:i w:val="false"/>
          <w:iCs w:val="false"/>
          <w:color w:val="000000"/>
          <w:sz w:val="22"/>
          <w:szCs w:val="22"/>
        </w:rPr>
        <w:t xml:space="preserve">The analytically supported deployment scope — determined by the five gate assessments and traceable to documented administrative record — is set before Channel 1 action. A coalition partner that confirms participation after Channel 1 may add independent enforcement value; it does not change the analytically supported scope that was determined at Channel 1.</w:t>
      </w:r>
    </w:p>
    <w:p>
      <w:pPr>
        <w:pStyle w:val="Heading2"/>
        <w:spacing w:before="240" w:after="80"/>
      </w:pPr>
      <w:r>
        <w:rPr>
          <w:rFonts w:ascii="Arial" w:cs="Arial" w:eastAsia="Arial" w:hAnsi="Arial"/>
          <w:b/>
          <w:bCs/>
          <w:color w:val="1B2A4A"/>
          <w:sz w:val="24"/>
          <w:szCs w:val="24"/>
        </w:rPr>
        <w:t xml:space="preserve">13.3 Fragmentation Is an Assessment Trigger, Not a Monitoring Note</w:t>
      </w:r>
    </w:p>
    <w:p>
      <w:pPr>
        <w:spacing w:before="60" w:after="120"/>
        <w:jc w:val="both"/>
      </w:pPr>
      <w:r>
        <w:rPr>
          <w:rFonts w:ascii="Arial" w:cs="Arial" w:eastAsia="Arial" w:hAnsi="Arial"/>
          <w:b w:val="false"/>
          <w:bCs w:val="false"/>
          <w:i w:val="false"/>
          <w:iCs w:val="false"/>
          <w:color w:val="000000"/>
          <w:sz w:val="22"/>
          <w:szCs w:val="22"/>
        </w:rPr>
        <w:t xml:space="preserve">Gate 4 parallel disruption assessment must be completed before Channel 1 action. The probability that financial access disruption without parallel organizational disruption may contribute to fragmentation with redistributed rather than reduced output is assessed as high based on the historical enforcement record. A deployment decision without Gate 4 completion is a decision made without assessing this probable outcome. The fragmentation assessment trigger in Part VII converts a monitoring note into a required analytical determination; it is more useful as a pre-deployment design constraint than a post-deployment corrective.</w:t>
      </w:r>
    </w:p>
    <w:p>
      <w:pPr>
        <w:pStyle w:val="Heading2"/>
        <w:spacing w:before="240" w:after="80"/>
      </w:pPr>
      <w:r>
        <w:rPr>
          <w:rFonts w:ascii="Arial" w:cs="Arial" w:eastAsia="Arial" w:hAnsi="Arial"/>
          <w:b/>
          <w:bCs/>
          <w:color w:val="1B2A4A"/>
          <w:sz w:val="24"/>
          <w:szCs w:val="24"/>
        </w:rPr>
        <w:t xml:space="preserve">13.4 The 60-Day Interruption Threshold Is an Analytical Boundary</w:t>
      </w:r>
    </w:p>
    <w:p>
      <w:pPr>
        <w:spacing w:before="60" w:after="120"/>
        <w:jc w:val="both"/>
      </w:pPr>
      <w:r>
        <w:rPr>
          <w:rFonts w:ascii="Arial" w:cs="Arial" w:eastAsia="Arial" w:hAnsi="Arial"/>
          <w:b w:val="false"/>
          <w:bCs w:val="false"/>
          <w:i w:val="false"/>
          <w:iCs w:val="false"/>
          <w:color w:val="000000"/>
          <w:sz w:val="22"/>
          <w:szCs w:val="22"/>
        </w:rPr>
        <w:t xml:space="preserve">The 60-day threshold is derived from the documented network migration timeline. Exceeding it does not make subsequent enforcement impossible; it changes what subsequent enforcement is analytically supported as achieving. An interruption exceeding that boundary may increase the likelihood that the network has re-established the interrupted channel and practiced the adaptation cycle under live enforcement conditions. Any continuation of deployment following such an interruption requires a fresh Gate 2 administrative record assessment for the interrupted channel.</w:t>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Sources and Reference Basis</w:t>
      </w:r>
    </w:p>
    <w:p>
      <w:pPr>
        <w:pStyle w:val="Heading2"/>
        <w:spacing w:before="240" w:after="80"/>
      </w:pPr>
      <w:r>
        <w:rPr>
          <w:rFonts w:ascii="Arial" w:cs="Arial" w:eastAsia="Arial" w:hAnsi="Arial"/>
          <w:b/>
          <w:bCs/>
          <w:color w:val="1B2A4A"/>
          <w:sz w:val="24"/>
          <w:szCs w:val="24"/>
        </w:rPr>
        <w:t xml:space="preserve">Tier 1 — U.S. Government and Official Sources</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FinCEN. National Money Laundering Risk Assessment. 2022.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FinCEN. Geographic Targeting Order filings. 2016–2024.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FinCEN. Final Rule on Real Estate Reporting. RIN 1506-AB54. Federal Register, 2024.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FinCEN Guidance FIN-2013-G001; FIN-2019-G001.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FinCEN. Trade-Based Money Laundering Advisory. 2010.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OFAC. Banco Delta Asia Section 311 Designation. Federal Register Vol. 70, No. 201, 2005.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OFAC. Tornado Cash SDN Designation Notice. August 2022.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OFAC. Garantex SDN Designation Notice. April 2022.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DOJ. Bitzlato Enforcement Press Release. January 2023.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DOJ. Colonial Pipeline Ransom Recovery Press Release. June 2021.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DEA. National Drug Threat Assessment. 2024; 2025.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ODNI. Annual Threat Assessment of the U.S. Intelligence Community. 2025.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BIS. Export Control Reform Act Enforcement Guidance.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FATF. Guidance on Money Laundering from Drug Trafficking. 2019.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FATF. Hawala and Other Similar Service Providers Typologies. 2013.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Holder v. Humanitarian Law Project, 561 U.S. 1 (2010).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Mathews v. Eldridge, 424 U.S. 319 (1976). [TIER 1]</w:t>
      </w:r>
    </w:p>
    <w:p>
      <w:pPr>
        <w:pStyle w:val="Heading2"/>
        <w:spacing w:before="240" w:after="80"/>
      </w:pPr>
      <w:r>
        <w:rPr>
          <w:rFonts w:ascii="Arial" w:cs="Arial" w:eastAsia="Arial" w:hAnsi="Arial"/>
          <w:b/>
          <w:bCs/>
          <w:color w:val="1B2A4A"/>
          <w:sz w:val="24"/>
          <w:szCs w:val="24"/>
        </w:rPr>
        <w:t xml:space="preserve">WP-2026 Series Cross-References</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WP-2026-PERSIST-01 — Authority rails (Section 2); standards of proof (Section 4); neutral designation-selection rule (Section 5); coalition governance (Section 3); model record artifacts (Appendix B).</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WP-2026-SENI-ARCH-01 — D2 evidence tiering (Section IV); three-layer product architecture (Section II).</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WP-2026-UNIFIED-01 — Cross-domain application of this mechanism to narcotics, proliferation finance, and terrorist financing domains simultaneously.</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WP-2026-SAM-01 Rev 2.0 — Series architecture governance; document ownership; overlap resolution.</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WP-2026-COUNTERINTEL-01 — Framework degradation conditions (Sections III.1-III.7); jurisdictional boundary analysis (Section III.1); financial channel substitution degradation (Section III.2); attribution degradation (Section III.3); coalition fracture (Section III.4); temporal adaptation (Section III.6); false signal analysis (Section III.7); analytical safeguards (Section V).</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WP-2026-EVASION-01 — Adversary adaptation architecture (Part II); channel evasion by domain (Part III); evasion by condition (Part IV); evasion by time horizon (Part V); probe-exploit-institutionalize-normalize cycle (Part II); channel structural persistence analysis (Part VI).</w:t>
      </w:r>
    </w:p>
    <w:p>
      <w:pPr>
        <w:pStyle w:val="Heading2"/>
        <w:spacing w:before="240" w:after="80"/>
      </w:pPr>
      <w:r>
        <w:rPr>
          <w:rFonts w:ascii="Arial" w:cs="Arial" w:eastAsia="Arial" w:hAnsi="Arial"/>
          <w:b/>
          <w:bCs/>
          <w:color w:val="1B2A4A"/>
          <w:sz w:val="24"/>
          <w:szCs w:val="24"/>
        </w:rPr>
        <w:t xml:space="preserve">Tier 2 — Policy Research and Commercial Data</w:t>
      </w:r>
    </w:p>
    <w:p>
      <w:pPr>
        <w:spacing w:before="60" w:after="120"/>
        <w:jc w:val="both"/>
      </w:pPr>
      <w:r>
        <w:rPr>
          <w:rFonts w:ascii="Arial" w:cs="Arial" w:eastAsia="Arial" w:hAnsi="Arial"/>
          <w:b w:val="false"/>
          <w:bCs w:val="false"/>
          <w:i w:val="false"/>
          <w:iCs w:val="false"/>
          <w:color w:val="000000"/>
          <w:sz w:val="22"/>
          <w:szCs w:val="22"/>
        </w:rPr>
        <w:t xml:space="preserve">Tier 2 sources inform directional analytic judgments and context. They do not independently sustain consequential quantitative claims in this paper.</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Chainalysis. Crypto Crime Report. 2023. [TIER 2]</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RAND Corporation. MG-742: Assessing Drug Problems and Policies. [TIER 2]</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Reuter, P. and Truman, E.M. Chasing Dirty Money. Institute for International Economics, 2004. [TIER 2]</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Caulkins, J.P. et al. Mandatory Minimum Drug Sentences. RAND, 2006. [TIER 2]</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Reuter, P. Assessing Changes in Global Drug Problems. RAND, 2009. [TIER 2]</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Bouchard, M. On the Resilience of Illegal Drug Markets. Global Crime. 2007. [TIER 2]</w:t>
      </w:r>
    </w:p>
    <w:p>
      <w:pPr>
        <w:spacing w:before="0" w:after="160"/>
      </w:pPr>
      <w:r>
        <w:rPr>
          <w:sz w:val="2"/>
          <w:szCs w:val="2"/>
        </w:rPr>
        <w:t xml:space="preserve"/>
      </w:r>
    </w:p>
    <w:p>
      <w:pPr>
        <w:pBdr>
          <w:bottom w:val="single" w:color="1B2A4A" w:sz="6" w:space="1"/>
        </w:pBdr>
        <w:spacing w:before="0" w:after="0"/>
      </w:pPr>
      <w:r>
        <w:rPr>
          <w:rFonts w:ascii="Arial" w:cs="Arial" w:eastAsia="Arial" w:hAnsi="Arial"/>
          <w:sz w:val="2"/>
          <w:szCs w:val="2"/>
        </w:rPr>
        <w:t xml:space="preserve"/>
      </w:r>
    </w:p>
    <w:p>
      <w:pPr>
        <w:spacing w:before="0" w:after="80"/>
      </w:pPr>
      <w:r>
        <w:rPr>
          <w:sz w:val="2"/>
          <w:szCs w:val="2"/>
        </w:rPr>
        <w:t xml:space="preserve"/>
      </w:r>
    </w:p>
    <w:p>
      <w:pPr>
        <w:spacing w:before="0" w:after="0"/>
        <w:jc w:val="center"/>
      </w:pPr>
      <w:r>
        <w:rPr>
          <w:rFonts w:ascii="Arial" w:cs="Arial" w:eastAsia="Arial" w:hAnsi="Arial"/>
          <w:b/>
          <w:bCs/>
          <w:caps/>
          <w:color w:val="4A5568"/>
          <w:sz w:val="18"/>
          <w:szCs w:val="18"/>
        </w:rPr>
        <w:t xml:space="preserve">END OF DOCUMENT — WP-2026-SIEGE-01 FINAL — MARCH 2026 — UNCLASSIFIED // OPEN SOURCE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4"/>
      </w:pBdr>
    </w:pPr>
    <w:r>
      <w:rPr>
        <w:rFonts w:ascii="Arial" w:cs="Arial" w:eastAsia="Arial" w:hAnsi="Arial"/>
        <w:caps/>
        <w:color w:val="4A5568"/>
        <w:sz w:val="16"/>
        <w:szCs w:val="16"/>
      </w:rPr>
      <w:t xml:space="preserve">UNCLASSIFIED // OPEN SOURCE  |  Multi-Channel Financial Denial and Adaptive Illicit Networks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pPr>
    <w:r>
      <w:rPr>
        <w:rFonts w:ascii="Arial" w:cs="Arial" w:eastAsia="Arial" w:hAnsi="Arial"/>
        <w:caps/>
        <w:color w:val="4A5568"/>
        <w:sz w:val="16"/>
        <w:szCs w:val="16"/>
      </w:rPr>
      <w:t xml:space="preserve">WP-2026-SIEGE-01 REV 4.0  |  UNCLASSIFIED // OPEN SOURCE  |  CENTER FOR COMPETITIVE STATECRAFT AND STRATEGIC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0"/>
      <w:szCs w:val="30"/>
    </w:rPr>
  </w:style>
  <w:style w:type="paragraph" w:styleId="Heading2">
    <w:name w:val="Heading 2"/>
    <w:basedOn w:val="Normal"/>
    <w:next w:val="Normal"/>
    <w:qFormat/>
    <w:pPr>
      <w:spacing w:before="240" w:after="80"/>
      <w:outlineLvl w:val="1"/>
    </w:pPr>
    <w:rPr>
      <w:rFonts w:ascii="Arial" w:cs="Arial" w:eastAsia="Arial" w:hAnsi="Arial"/>
      <w:b/>
      <w:bCs/>
      <w:color w:val="1B2A4A"/>
      <w:sz w:val="24"/>
      <w:szCs w:val="24"/>
    </w:rPr>
  </w:style>
  <w:style w:type="paragraph" w:styleId="Heading3">
    <w:name w:val="Heading 3"/>
    <w:basedOn w:val="Normal"/>
    <w:next w:val="Normal"/>
    <w:qFormat/>
    <w:pPr>
      <w:spacing w:before="160" w:after="6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2026-03-27T12:41:35.583Z</dcterms:created>
  <dcterms:modified xsi:type="dcterms:W3CDTF">2026-03-27T12:41:35.583Z</dcterms:modified>
</cp:coreProperties>
</file>

<file path=docProps/custom.xml><?xml version="1.0" encoding="utf-8"?>
<Properties xmlns="http://schemas.openxmlformats.org/officeDocument/2006/custom-properties" xmlns:vt="http://schemas.openxmlformats.org/officeDocument/2006/docPropsVTypes"/>
</file>