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120"/>
        <w:jc w:val="center"/>
      </w:pPr>
      <w:r>
        <w:rPr>
          <w:rFonts w:ascii="Arial" w:cs="Arial" w:eastAsia="Arial" w:hAnsi="Arial"/>
          <w:b/>
          <w:bCs/>
          <w:caps/>
          <w:color w:val="1B2A4A"/>
          <w:sz w:val="20"/>
          <w:szCs w:val="20"/>
        </w:rPr>
        <w:t xml:space="preserve">CENTER FOR COMPETITIVE STATECRAFT AND STRATEGIC POLICY</w:t>
      </w:r>
    </w:p>
    <w:p>
      <w:pPr>
        <w:spacing w:before="0" w:after="80"/>
        <w:jc w:val="center"/>
      </w:pPr>
      <w:r>
        <w:rPr>
          <w:rFonts w:ascii="Arial" w:cs="Arial" w:eastAsia="Arial" w:hAnsi="Arial"/>
          <w:b/>
          <w:bCs/>
          <w:color w:val="4A5568"/>
          <w:sz w:val="20"/>
          <w:szCs w:val="20"/>
        </w:rPr>
        <w:t xml:space="preserve">WP-2026 SERIES</w:t>
      </w:r>
    </w:p>
    <w:p>
      <w:pPr>
        <w:pBdr>
          <w:bottom w:val="single" w:color="1B2A4A" w:sz="6" w:space="1"/>
        </w:pBdr>
        <w:spacing w:before="0" w:after="0"/>
      </w:pPr>
      <w:r>
        <w:rPr>
          <w:rFonts w:ascii="Arial" w:cs="Arial" w:eastAsia="Arial" w:hAnsi="Arial"/>
          <w:sz w:val="2"/>
          <w:szCs w:val="2"/>
        </w:rPr>
        <w:t xml:space="preserve"/>
      </w:r>
    </w:p>
    <w:p>
      <w:pPr>
        <w:spacing w:before="0" w:after="160"/>
      </w:pPr>
      <w:r>
        <w:rPr>
          <w:sz w:val="2"/>
          <w:szCs w:val="2"/>
        </w:rPr>
        <w:t xml:space="preserve"/>
      </w:r>
    </w:p>
    <w:p>
      <w:pPr>
        <w:spacing w:before="0" w:after="120"/>
        <w:jc w:val="center"/>
      </w:pPr>
      <w:r>
        <w:rPr>
          <w:rFonts w:ascii="Arial" w:cs="Arial" w:eastAsia="Arial" w:hAnsi="Arial"/>
          <w:b/>
          <w:bCs/>
          <w:caps/>
          <w:color w:val="8B6914"/>
          <w:sz w:val="22"/>
          <w:szCs w:val="22"/>
        </w:rPr>
        <w:t xml:space="preserve">WP-2026-UNIFIED-01 (REVISED)</w:t>
      </w:r>
    </w:p>
    <w:p>
      <w:pPr>
        <w:spacing w:before="0" w:after="80"/>
        <w:jc w:val="center"/>
      </w:pPr>
      <w:r>
        <w:rPr>
          <w:rFonts w:ascii="Arial" w:cs="Arial" w:eastAsia="Arial" w:hAnsi="Arial"/>
          <w:b/>
          <w:bCs/>
          <w:color w:val="1B2A4A"/>
          <w:sz w:val="28"/>
          <w:szCs w:val="28"/>
        </w:rPr>
        <w:t xml:space="preserve">Cross-Domain Financial Enforcement Synthesis</w:t>
      </w:r>
    </w:p>
    <w:p>
      <w:pPr>
        <w:spacing w:before="0" w:after="240"/>
        <w:jc w:val="center"/>
      </w:pPr>
      <w:r>
        <w:rPr>
          <w:rFonts w:ascii="Arial" w:cs="Arial" w:eastAsia="Arial" w:hAnsi="Arial"/>
          <w:i/>
          <w:iCs/>
          <w:color w:val="4A5568"/>
          <w:sz w:val="22"/>
          <w:szCs w:val="22"/>
        </w:rPr>
        <w:t xml:space="preserve">Why Shared Shadow Financial Infrastructure Enables Cross-Domain Enforcement Efficiency, and How the Seven-Channel Mechanism Applies Simultaneously Across Narcotics, Proliferation Finance, and Terrorist Financing Domains</w:t>
      </w:r>
    </w:p>
    <w:p>
      <w:pPr>
        <w:spacing w:before="0" w:after="160"/>
      </w:pPr>
      <w:r>
        <w:rPr>
          <w:sz w:val="2"/>
          <w:szCs w:val="2"/>
        </w:rPr>
        <w:t xml:space="preserve"/>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000"/>
        <w:gridCol w:w="6640"/>
      </w:tblGrid>
      <w:tr>
        <w:tc>
          <w:tcPr>
            <w:tcW w:type="dxa" w:w="20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Series</w:t>
            </w:r>
          </w:p>
        </w:tc>
        <w:tc>
          <w:tcPr>
            <w:tcW w:type="dxa" w:w="6640"/>
            <w:tcBorders>
              <w:top w:val="single" w:color="CCCCCC" w:sz="1"/>
              <w:left w:val="single" w:color="CCCCCC" w:sz="1"/>
              <w:bottom w:val="single" w:color="CCCCCC" w:sz="1"/>
              <w:right w:val="single" w:color="CCCCCC" w:sz="1"/>
            </w:tcBorders>
            <w:shd w:fill="FAFAFA" w:val="clear"/>
            <w:tcMar>
              <w:top w:type="dxa" w:w="60"/>
              <w:left w:type="dxa" w:w="100"/>
              <w:bottom w:type="dxa" w:w="60"/>
              <w:right w:type="dxa" w:w="100"/>
            </w:tcMar>
          </w:tcPr>
          <w:p>
            <w:pPr>
              <w:spacing w:before="0" w:after="0"/>
            </w:pPr>
            <w:r>
              <w:rPr>
                <w:rFonts w:ascii="Arial" w:cs="Arial" w:eastAsia="Arial" w:hAnsi="Arial"/>
                <w:color w:val="000000"/>
                <w:sz w:val="20"/>
                <w:szCs w:val="20"/>
              </w:rPr>
              <w:t xml:space="preserve">WP-2026 — Center for Competitive Statecraft and Strategic Policy</w:t>
            </w:r>
          </w:p>
        </w:tc>
      </w:tr>
      <w:tr>
        <w:tc>
          <w:tcPr>
            <w:tcW w:type="dxa" w:w="20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Paper</w:t>
            </w:r>
          </w:p>
        </w:tc>
        <w:tc>
          <w:tcPr>
            <w:tcW w:type="dxa" w:w="6640"/>
            <w:tcBorders>
              <w:top w:val="single" w:color="CCCCCC" w:sz="1"/>
              <w:left w:val="single" w:color="CCCCCC" w:sz="1"/>
              <w:bottom w:val="single" w:color="CCCCCC" w:sz="1"/>
              <w:right w:val="single" w:color="CCCCCC" w:sz="1"/>
            </w:tcBorders>
            <w:shd w:fill="E8EDF5" w:val="clear"/>
            <w:tcMar>
              <w:top w:type="dxa" w:w="60"/>
              <w:left w:type="dxa" w:w="100"/>
              <w:bottom w:type="dxa" w:w="60"/>
              <w:right w:type="dxa" w:w="100"/>
            </w:tcMar>
          </w:tcPr>
          <w:p>
            <w:pPr>
              <w:spacing w:before="0" w:after="0"/>
            </w:pPr>
            <w:r>
              <w:rPr>
                <w:rFonts w:ascii="Arial" w:cs="Arial" w:eastAsia="Arial" w:hAnsi="Arial"/>
                <w:color w:val="000000"/>
                <w:sz w:val="20"/>
                <w:szCs w:val="20"/>
              </w:rPr>
              <w:t xml:space="preserve">WP-2026-UNIFIED-01 (Revised)</w:t>
            </w:r>
          </w:p>
        </w:tc>
      </w:tr>
      <w:tr>
        <w:tc>
          <w:tcPr>
            <w:tcW w:type="dxa" w:w="20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Title</w:t>
            </w:r>
          </w:p>
        </w:tc>
        <w:tc>
          <w:tcPr>
            <w:tcW w:type="dxa" w:w="6640"/>
            <w:tcBorders>
              <w:top w:val="single" w:color="CCCCCC" w:sz="1"/>
              <w:left w:val="single" w:color="CCCCCC" w:sz="1"/>
              <w:bottom w:val="single" w:color="CCCCCC" w:sz="1"/>
              <w:right w:val="single" w:color="CCCCCC" w:sz="1"/>
            </w:tcBorders>
            <w:shd w:fill="FAFAFA" w:val="clear"/>
            <w:tcMar>
              <w:top w:type="dxa" w:w="60"/>
              <w:left w:type="dxa" w:w="100"/>
              <w:bottom w:type="dxa" w:w="60"/>
              <w:right w:type="dxa" w:w="100"/>
            </w:tcMar>
          </w:tcPr>
          <w:p>
            <w:pPr>
              <w:spacing w:before="0" w:after="0"/>
            </w:pPr>
            <w:r>
              <w:rPr>
                <w:rFonts w:ascii="Arial" w:cs="Arial" w:eastAsia="Arial" w:hAnsi="Arial"/>
                <w:color w:val="000000"/>
                <w:sz w:val="20"/>
                <w:szCs w:val="20"/>
              </w:rPr>
              <w:t xml:space="preserve">Cross-Domain Financial Enforcement Synthesis: Why Shared Shadow Financial Infrastructure Enables Cross-Domain Enforcement Efficiency</w:t>
            </w:r>
          </w:p>
        </w:tc>
      </w:tr>
      <w:tr>
        <w:tc>
          <w:tcPr>
            <w:tcW w:type="dxa" w:w="20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Date</w:t>
            </w:r>
          </w:p>
        </w:tc>
        <w:tc>
          <w:tcPr>
            <w:tcW w:type="dxa" w:w="6640"/>
            <w:tcBorders>
              <w:top w:val="single" w:color="CCCCCC" w:sz="1"/>
              <w:left w:val="single" w:color="CCCCCC" w:sz="1"/>
              <w:bottom w:val="single" w:color="CCCCCC" w:sz="1"/>
              <w:right w:val="single" w:color="CCCCCC" w:sz="1"/>
            </w:tcBorders>
            <w:shd w:fill="E8EDF5" w:val="clear"/>
            <w:tcMar>
              <w:top w:type="dxa" w:w="60"/>
              <w:left w:type="dxa" w:w="100"/>
              <w:bottom w:type="dxa" w:w="60"/>
              <w:right w:type="dxa" w:w="100"/>
            </w:tcMar>
          </w:tcPr>
          <w:p>
            <w:pPr>
              <w:spacing w:before="0" w:after="0"/>
            </w:pPr>
            <w:r>
              <w:rPr>
                <w:rFonts w:ascii="Arial" w:cs="Arial" w:eastAsia="Arial" w:hAnsi="Arial"/>
                <w:color w:val="000000"/>
                <w:sz w:val="20"/>
                <w:szCs w:val="20"/>
              </w:rPr>
              <w:t xml:space="preserve">March 2026</w:t>
            </w:r>
          </w:p>
        </w:tc>
      </w:tr>
      <w:tr>
        <w:tc>
          <w:tcPr>
            <w:tcW w:type="dxa" w:w="20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Prepared by</w:t>
            </w:r>
          </w:p>
        </w:tc>
        <w:tc>
          <w:tcPr>
            <w:tcW w:type="dxa" w:w="6640"/>
            <w:tcBorders>
              <w:top w:val="single" w:color="CCCCCC" w:sz="1"/>
              <w:left w:val="single" w:color="CCCCCC" w:sz="1"/>
              <w:bottom w:val="single" w:color="CCCCCC" w:sz="1"/>
              <w:right w:val="single" w:color="CCCCCC" w:sz="1"/>
            </w:tcBorders>
            <w:shd w:fill="FAFAFA" w:val="clear"/>
            <w:tcMar>
              <w:top w:type="dxa" w:w="60"/>
              <w:left w:type="dxa" w:w="100"/>
              <w:bottom w:type="dxa" w:w="60"/>
              <w:right w:type="dxa" w:w="100"/>
            </w:tcMar>
          </w:tcPr>
          <w:p>
            <w:pPr>
              <w:spacing w:before="0" w:after="0"/>
            </w:pPr>
            <w:r>
              <w:rPr>
                <w:rFonts w:ascii="Arial" w:cs="Arial" w:eastAsia="Arial" w:hAnsi="Arial"/>
                <w:color w:val="000000"/>
                <w:sz w:val="20"/>
                <w:szCs w:val="20"/>
              </w:rPr>
              <w:t xml:space="preserve">Independent Policy Research Group</w:t>
            </w:r>
          </w:p>
        </w:tc>
      </w:tr>
      <w:tr>
        <w:tc>
          <w:tcPr>
            <w:tcW w:type="dxa" w:w="20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Classification</w:t>
            </w:r>
          </w:p>
        </w:tc>
        <w:tc>
          <w:tcPr>
            <w:tcW w:type="dxa" w:w="6640"/>
            <w:tcBorders>
              <w:top w:val="single" w:color="CCCCCC" w:sz="1"/>
              <w:left w:val="single" w:color="CCCCCC" w:sz="1"/>
              <w:bottom w:val="single" w:color="CCCCCC" w:sz="1"/>
              <w:right w:val="single" w:color="CCCCCC" w:sz="1"/>
            </w:tcBorders>
            <w:shd w:fill="E8EDF5" w:val="clear"/>
            <w:tcMar>
              <w:top w:type="dxa" w:w="60"/>
              <w:left w:type="dxa" w:w="100"/>
              <w:bottom w:type="dxa" w:w="60"/>
              <w:right w:type="dxa" w:w="100"/>
            </w:tcMar>
          </w:tcPr>
          <w:p>
            <w:pPr>
              <w:spacing w:before="0" w:after="0"/>
            </w:pPr>
            <w:r>
              <w:rPr>
                <w:rFonts w:ascii="Arial" w:cs="Arial" w:eastAsia="Arial" w:hAnsi="Arial"/>
                <w:color w:val="000000"/>
                <w:sz w:val="20"/>
                <w:szCs w:val="20"/>
              </w:rPr>
              <w:t xml:space="preserve">UNCLASSIFIED // OPEN SOURCE</w:t>
            </w:r>
          </w:p>
        </w:tc>
      </w:tr>
      <w:tr>
        <w:tc>
          <w:tcPr>
            <w:tcW w:type="dxa" w:w="20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Distribution</w:t>
            </w:r>
          </w:p>
        </w:tc>
        <w:tc>
          <w:tcPr>
            <w:tcW w:type="dxa" w:w="6640"/>
            <w:tcBorders>
              <w:top w:val="single" w:color="CCCCCC" w:sz="1"/>
              <w:left w:val="single" w:color="CCCCCC" w:sz="1"/>
              <w:bottom w:val="single" w:color="CCCCCC" w:sz="1"/>
              <w:right w:val="single" w:color="CCCCCC" w:sz="1"/>
            </w:tcBorders>
            <w:shd w:fill="FAFAFA" w:val="clear"/>
            <w:tcMar>
              <w:top w:type="dxa" w:w="60"/>
              <w:left w:type="dxa" w:w="100"/>
              <w:bottom w:type="dxa" w:w="60"/>
              <w:right w:type="dxa" w:w="100"/>
            </w:tcMar>
          </w:tcPr>
          <w:p>
            <w:pPr>
              <w:spacing w:before="0" w:after="0"/>
            </w:pPr>
            <w:r>
              <w:rPr>
                <w:rFonts w:ascii="Arial" w:cs="Arial" w:eastAsia="Arial" w:hAnsi="Arial"/>
                <w:color w:val="000000"/>
                <w:sz w:val="20"/>
                <w:szCs w:val="20"/>
              </w:rPr>
              <w:t xml:space="preserve">Academic Policy Analysis — Open Source</w:t>
            </w:r>
          </w:p>
        </w:tc>
      </w:tr>
      <w:tr>
        <w:tc>
          <w:tcPr>
            <w:tcW w:type="dxa" w:w="20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Status</w:t>
            </w:r>
          </w:p>
        </w:tc>
        <w:tc>
          <w:tcPr>
            <w:tcW w:type="dxa" w:w="6640"/>
            <w:tcBorders>
              <w:top w:val="single" w:color="CCCCCC" w:sz="1"/>
              <w:left w:val="single" w:color="CCCCCC" w:sz="1"/>
              <w:bottom w:val="single" w:color="CCCCCC" w:sz="1"/>
              <w:right w:val="single" w:color="CCCCCC" w:sz="1"/>
            </w:tcBorders>
            <w:shd w:fill="E8EDF5" w:val="clear"/>
            <w:tcMar>
              <w:top w:type="dxa" w:w="60"/>
              <w:left w:type="dxa" w:w="100"/>
              <w:bottom w:type="dxa" w:w="60"/>
              <w:right w:type="dxa" w:w="100"/>
            </w:tcMar>
          </w:tcPr>
          <w:p>
            <w:pPr>
              <w:spacing w:before="0" w:after="0"/>
            </w:pPr>
            <w:r>
              <w:rPr>
                <w:rFonts w:ascii="Arial" w:cs="Arial" w:eastAsia="Arial" w:hAnsi="Arial"/>
                <w:color w:val="000000"/>
                <w:sz w:val="20"/>
                <w:szCs w:val="20"/>
              </w:rPr>
              <w:t xml:space="preserve">Pre-decisional analytic framework for open-source policy analysis. Not a government product. Not operational guidance. Not a policy directive or implementation instruction.</w:t>
            </w:r>
          </w:p>
        </w:tc>
      </w:tr>
      <w:tr>
        <w:tc>
          <w:tcPr>
            <w:tcW w:type="dxa" w:w="20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Series Position</w:t>
            </w:r>
          </w:p>
        </w:tc>
        <w:tc>
          <w:tcPr>
            <w:tcW w:type="dxa" w:w="6640"/>
            <w:tcBorders>
              <w:top w:val="single" w:color="CCCCCC" w:sz="1"/>
              <w:left w:val="single" w:color="CCCCCC" w:sz="1"/>
              <w:bottom w:val="single" w:color="CCCCCC" w:sz="1"/>
              <w:right w:val="single" w:color="CCCCCC" w:sz="1"/>
            </w:tcBorders>
            <w:shd w:fill="FAFAFA" w:val="clear"/>
            <w:tcMar>
              <w:top w:type="dxa" w:w="60"/>
              <w:left w:type="dxa" w:w="100"/>
              <w:bottom w:type="dxa" w:w="60"/>
              <w:right w:type="dxa" w:w="100"/>
            </w:tcMar>
          </w:tcPr>
          <w:p>
            <w:pPr>
              <w:spacing w:before="0" w:after="0"/>
            </w:pPr>
            <w:r>
              <w:rPr>
                <w:rFonts w:ascii="Arial" w:cs="Arial" w:eastAsia="Arial" w:hAnsi="Arial"/>
                <w:color w:val="000000"/>
                <w:sz w:val="20"/>
                <w:szCs w:val="20"/>
              </w:rPr>
              <w:t xml:space="preserve">Cross-domain application memo. Applies WP-2026-SIEGE-01 channel-denial mechanism across narcotics, proliferation finance, and terrorist financing domains simultaneously. Read in conjunction with WP-2026-SIEGE-01 (mechanism), WP-2026-PERSIST-01 (governance), and WP-2026-SAM-01 (series architecture).</w:t>
            </w:r>
          </w:p>
        </w:tc>
      </w:tr>
    </w:tbl>
    <w:p>
      <w:pPr>
        <w:spacing w:before="0" w:after="240"/>
      </w:pPr>
      <w:r>
        <w:rPr>
          <w:sz w:val="2"/>
          <w:szCs w:val="2"/>
        </w:rPr>
        <w:t xml:space="preserve"/>
      </w:r>
    </w:p>
    <w:p>
      <w:pPr>
        <w:spacing w:before="0" w:after="80"/>
      </w:pPr>
      <w:r>
        <w:rPr>
          <w:sz w:val="2"/>
          <w:szCs w:val="2"/>
        </w:rPr>
        <w:t xml:space="preserve"/>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640"/>
      </w:tblGrid>
      <w:tr>
        <w:tc>
          <w:tcPr>
            <w:tcW w:type="dxa" w:w="8640"/>
            <w:tcBorders>
              <w:top w:val="none" w:color="FFFFFF" w:sz="0"/>
              <w:left w:val="single" w:color="7A4000" w:sz="18" w:space="0"/>
              <w:bottom w:val="none" w:color="FFFFFF" w:sz="0"/>
              <w:right w:val="none" w:color="FFFFFF" w:sz="0"/>
            </w:tcBorders>
            <w:shd w:fill="FEF3E2" w:val="clear"/>
            <w:tcMar>
              <w:top w:type="dxa" w:w="60"/>
              <w:left w:type="dxa" w:w="160"/>
              <w:bottom w:type="dxa" w:w="20"/>
              <w:right w:type="dxa" w:w="80"/>
            </w:tcMar>
          </w:tcPr>
          <w:p>
            <w:pPr>
              <w:spacing w:before="0" w:after="0"/>
            </w:pPr>
            <w:r>
              <w:rPr>
                <w:rFonts w:ascii="Arial" w:cs="Arial" w:eastAsia="Arial" w:hAnsi="Arial"/>
                <w:b/>
                <w:bCs/>
                <w:caps/>
                <w:color w:val="7A4000"/>
                <w:sz w:val="18"/>
                <w:szCs w:val="18"/>
              </w:rPr>
              <w:t xml:space="preserve">NOTICE AND SCOPE</w:t>
            </w:r>
          </w:p>
        </w:tc>
      </w:tr>
      <w:tr>
        <w:tc>
          <w:tcPr>
            <w:tcW w:type="dxa" w:w="8640"/>
            <w:tcBorders>
              <w:top w:val="none" w:color="FFFFFF" w:sz="0"/>
              <w:left w:val="single" w:color="7A4000" w:sz="18" w:space="0"/>
              <w:bottom w:val="none" w:color="FFFFFF" w:sz="0"/>
              <w:right w:val="none" w:color="FFFFFF" w:sz="0"/>
            </w:tcBorders>
            <w:shd w:fill="FEF3E2" w:val="clear"/>
            <w:tcMar>
              <w:top w:type="dxa" w:w="20"/>
              <w:left w:type="dxa" w:w="160"/>
              <w:bottom w:type="dxa" w:w="20"/>
              <w:right w:type="dxa" w:w="80"/>
            </w:tcMar>
          </w:tcPr>
          <w:p>
            <w:pPr>
              <w:spacing w:before="0" w:after="0"/>
            </w:pPr>
            <w:r>
              <w:rPr>
                <w:rFonts w:ascii="Arial" w:cs="Arial" w:eastAsia="Arial" w:hAnsi="Arial"/>
                <w:b w:val="false"/>
                <w:bCs w:val="false"/>
                <w:i w:val="false"/>
                <w:iCs w:val="false"/>
                <w:color w:val="000000"/>
                <w:sz w:val="20"/>
                <w:szCs w:val="20"/>
              </w:rPr>
              <w:t xml:space="preserve">UNCLASSIFIED // OPEN SOURCE. This paper constitutes academic open-source policy analysis based entirely on publicly codified law, officially published government reporting, and peer-reviewed or institutional research. It does not represent the position of any government entity. It does not constitute operational guidance, enforcement instruction, policy direction, or a recommendation to any government authority.</w:t>
            </w:r>
          </w:p>
        </w:tc>
      </w:tr>
      <w:tr>
        <w:tc>
          <w:tcPr>
            <w:tcW w:type="dxa" w:w="8640"/>
            <w:tcBorders>
              <w:top w:val="none" w:color="FFFFFF" w:sz="0"/>
              <w:left w:val="single" w:color="7A4000" w:sz="18" w:space="0"/>
              <w:bottom w:val="none" w:color="FFFFFF" w:sz="0"/>
              <w:right w:val="none" w:color="FFFFFF" w:sz="0"/>
            </w:tcBorders>
            <w:shd w:fill="FEF3E2" w:val="clear"/>
            <w:tcMar>
              <w:top w:type="dxa" w:w="20"/>
              <w:left w:type="dxa" w:w="160"/>
              <w:bottom w:type="dxa" w:w="20"/>
              <w:right w:type="dxa" w:w="80"/>
            </w:tcMar>
          </w:tcPr>
          <w:p>
            <w:pPr>
              <w:spacing w:before="0" w:after="0"/>
            </w:pPr>
            <w:r>
              <w:rPr>
                <w:rFonts w:ascii="Arial" w:cs="Arial" w:eastAsia="Arial" w:hAnsi="Arial"/>
                <w:b w:val="false"/>
                <w:bCs w:val="false"/>
                <w:i w:val="false"/>
                <w:iCs w:val="false"/>
                <w:color w:val="000000"/>
                <w:sz w:val="20"/>
                <w:szCs w:val="20"/>
              </w:rPr>
              <w:t xml:space="preserve">SERIES COMPLIANCE: This document has been revised to comply with the series architecture established in WP-2026-SAM-01 (Rev 2.0). The channel-denial mechanism, cumulative cost-escalation logic, Tier classification system, failure mode analysis, fragmentation governing finding, and falsifiable indicator framework are owned by WP-2026-SIEGE-01 and are incorporated here by cross-reference rather than restatement. Authority rails, standards of proof, coalition governance doctrine, and model record artifacts are owned by WP-2026-PERSIST-01. This document owns exclusively: the cross-domain shared infrastructure doctrine; the analytical basis for why single designation actions may produce cascading effects across multiple threat domains; the threat-based decision framework mapping domain-specific indicator types to applicable frameworks; and the interagency coordination structure across narcotics, proliferation finance, and terrorist financing domains simultaneously.</w:t>
            </w:r>
          </w:p>
        </w:tc>
      </w:tr>
      <w:tr>
        <w:tc>
          <w:tcPr>
            <w:tcW w:type="dxa" w:w="8640"/>
            <w:tcBorders>
              <w:top w:val="none" w:color="FFFFFF" w:sz="0"/>
              <w:left w:val="single" w:color="7A4000" w:sz="18" w:space="0"/>
              <w:bottom w:val="single" w:color="FEF3E2" w:sz="4"/>
              <w:right w:val="none" w:color="FFFFFF" w:sz="0"/>
            </w:tcBorders>
            <w:shd w:fill="FEF3E2" w:val="clear"/>
            <w:tcMar>
              <w:top w:type="dxa" w:w="20"/>
              <w:left w:type="dxa" w:w="160"/>
              <w:bottom w:type="dxa" w:w="80"/>
              <w:right w:type="dxa" w:w="80"/>
            </w:tcMar>
          </w:tcPr>
          <w:p>
            <w:pPr>
              <w:spacing w:before="0" w:after="0"/>
            </w:pPr>
            <w:r>
              <w:rPr>
                <w:rFonts w:ascii="Arial" w:cs="Arial" w:eastAsia="Arial" w:hAnsi="Arial"/>
                <w:b w:val="false"/>
                <w:bCs w:val="false"/>
                <w:i w:val="false"/>
                <w:iCs w:val="false"/>
                <w:color w:val="000000"/>
                <w:sz w:val="20"/>
                <w:szCs w:val="20"/>
              </w:rPr>
              <w:t xml:space="preserve">SCOPE BOUNDARY: This document does not describe how enforcement authorities operate mechanically. It does not provide implementation sequencing, calendar-based phased rollouts, quantitative outcome projections, or resource estimates. Those products are either outside the scope of open-source academic analysis or belong to other series documents. For mechanism theory, see WP-2026-SIEGE-01. For authority rails, see WP-2026-PERSIST-01. For adversary behavior, see WP-2026-EVASION-01.</w:t>
            </w:r>
          </w:p>
        </w:tc>
      </w:tr>
    </w:tbl>
    <w:p>
      <w:pPr>
        <w:spacing w:before="0" w:after="80"/>
      </w:pPr>
      <w:r>
        <w:rPr>
          <w:sz w:val="2"/>
          <w:szCs w:val="2"/>
        </w:rPr>
        <w:t xml:space="preserve"/>
      </w:r>
    </w:p>
    <w:p>
      <w:pPr>
        <w:spacing w:before="0" w:after="160"/>
      </w:pPr>
      <w:r>
        <w:rPr>
          <w:sz w:val="2"/>
          <w:szCs w:val="2"/>
        </w:rPr>
        <w:t xml:space="preserve"/>
      </w:r>
    </w:p>
    <w:p>
      <w:pPr>
        <w:pStyle w:val="Heading1"/>
        <w:spacing w:before="360" w:after="120"/>
      </w:pPr>
      <w:r>
        <w:rPr>
          <w:rFonts w:ascii="Arial" w:cs="Arial" w:eastAsia="Arial" w:hAnsi="Arial"/>
          <w:b/>
          <w:bCs/>
          <w:color w:val="1B2A4A"/>
          <w:sz w:val="30"/>
          <w:szCs w:val="30"/>
        </w:rPr>
        <w:t xml:space="preserve">Methodological Note</w:t>
      </w:r>
    </w:p>
    <w:p>
      <w:pPr>
        <w:spacing w:before="60" w:after="120"/>
        <w:jc w:val="both"/>
      </w:pPr>
      <w:r>
        <w:rPr>
          <w:rFonts w:ascii="Arial" w:cs="Arial" w:eastAsia="Arial" w:hAnsi="Arial"/>
          <w:b w:val="false"/>
          <w:bCs w:val="false"/>
          <w:i w:val="false"/>
          <w:iCs w:val="false"/>
          <w:color w:val="000000"/>
          <w:sz w:val="22"/>
          <w:szCs w:val="22"/>
        </w:rPr>
        <w:t xml:space="preserve">This paper operates entirely within the open-source public record. All claims about legal authority rest on codified statute or published regulatory guidance. All claims about enforcement patterns rest on official published reporting.</w:t>
      </w:r>
    </w:p>
    <w:p>
      <w:pPr>
        <w:spacing w:before="60" w:after="120"/>
        <w:jc w:val="both"/>
      </w:pPr>
      <w:r>
        <w:rPr>
          <w:rFonts w:ascii="Arial" w:cs="Arial" w:eastAsia="Arial" w:hAnsi="Arial"/>
          <w:b w:val="false"/>
          <w:bCs w:val="false"/>
          <w:i w:val="false"/>
          <w:iCs w:val="false"/>
          <w:color w:val="000000"/>
          <w:sz w:val="22"/>
          <w:szCs w:val="22"/>
        </w:rPr>
        <w:t xml:space="preserve">This document is the cross-domain application memo for the WP-2026 series. Where WP-2026-SIEGE-01 defines the conditions under which coordinated multi-channel financial enforcement pressure may remove substitution pathways for a single target network, this document addresses the analytical basis for applying that mechanism simultaneously across three distinct threat domains: narcotics trafficking, proliferation finance, and terrorist financing. The analytical contribution of this document is the shared infrastructure doctrine — the finding that these three domains utilize overlapping financial infrastructure in ways that make cross-domain enforcement analytical claims supportable — not mechanism restatement or implementation guidance.</w:t>
      </w:r>
    </w:p>
    <w:p>
      <w:pPr>
        <w:spacing w:before="60" w:after="120"/>
        <w:jc w:val="both"/>
      </w:pPr>
      <w:r>
        <w:rPr>
          <w:rFonts w:ascii="Arial" w:cs="Arial" w:eastAsia="Arial" w:hAnsi="Arial"/>
          <w:b w:val="false"/>
          <w:bCs w:val="false"/>
          <w:i w:val="false"/>
          <w:iCs w:val="false"/>
          <w:color w:val="000000"/>
          <w:sz w:val="22"/>
          <w:szCs w:val="22"/>
        </w:rPr>
        <w:t xml:space="preserve">The governing standard for this revision is SAM-01 Rev 2.0 series architecture compliance. Content that belongs to SIEGE-01 is incorporated by cross-reference. Content that is not analytically supportable from the public record is removed. The document has been restructured from operational memorandum format to academic analytic framework format.</w:t>
      </w:r>
    </w:p>
    <w:p>
      <w:pPr>
        <w:spacing w:before="0" w:after="80"/>
      </w:pPr>
      <w:r>
        <w:rPr>
          <w:sz w:val="2"/>
          <w:szCs w:val="2"/>
        </w:rPr>
        <w:t xml:space="preserve"/>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640"/>
      </w:tblGrid>
      <w:tr>
        <w:tc>
          <w:tcPr>
            <w:tcW w:type="dxa" w:w="8640"/>
            <w:tcBorders>
              <w:top w:val="none" w:color="FFFFFF" w:sz="0"/>
              <w:left w:val="single" w:color="1B2A4A" w:sz="18" w:space="0"/>
              <w:bottom w:val="none" w:color="FFFFFF" w:sz="0"/>
              <w:right w:val="none" w:color="FFFFFF" w:sz="0"/>
            </w:tcBorders>
            <w:shd w:fill="E8EDF5" w:val="clear"/>
            <w:tcMar>
              <w:top w:type="dxa" w:w="60"/>
              <w:left w:type="dxa" w:w="160"/>
              <w:bottom w:type="dxa" w:w="20"/>
              <w:right w:type="dxa" w:w="80"/>
            </w:tcMar>
          </w:tcPr>
          <w:p>
            <w:pPr>
              <w:spacing w:before="0" w:after="0"/>
            </w:pPr>
            <w:r>
              <w:rPr>
                <w:rFonts w:ascii="Arial" w:cs="Arial" w:eastAsia="Arial" w:hAnsi="Arial"/>
                <w:b/>
                <w:bCs/>
                <w:caps/>
                <w:color w:val="1B2A4A"/>
                <w:sz w:val="18"/>
                <w:szCs w:val="18"/>
              </w:rPr>
              <w:t xml:space="preserve">SERIES COMPLIANCE CLAUSE</w:t>
            </w:r>
          </w:p>
        </w:tc>
      </w:tr>
      <w:tr>
        <w:tc>
          <w:tcPr>
            <w:tcW w:type="dxa" w:w="8640"/>
            <w:tcBorders>
              <w:top w:val="none" w:color="FFFFFF" w:sz="0"/>
              <w:left w:val="single" w:color="1B2A4A" w:sz="18" w:space="0"/>
              <w:bottom w:val="none" w:color="FFFFFF" w:sz="0"/>
              <w:right w:val="none" w:color="FFFFFF" w:sz="0"/>
            </w:tcBorders>
            <w:shd w:fill="E8EDF5" w:val="clear"/>
            <w:tcMar>
              <w:top w:type="dxa" w:w="20"/>
              <w:left w:type="dxa" w:w="160"/>
              <w:bottom w:type="dxa" w:w="20"/>
              <w:right w:type="dxa" w:w="80"/>
            </w:tcMar>
          </w:tcPr>
          <w:p>
            <w:pPr>
              <w:spacing w:before="0" w:after="0"/>
            </w:pPr>
            <w:r>
              <w:rPr>
                <w:rFonts w:ascii="Arial" w:cs="Arial" w:eastAsia="Arial" w:hAnsi="Arial"/>
                <w:b w:val="false"/>
                <w:bCs w:val="false"/>
                <w:i w:val="false"/>
                <w:iCs w:val="false"/>
                <w:color w:val="000000"/>
                <w:sz w:val="20"/>
                <w:szCs w:val="20"/>
              </w:rPr>
              <w:t xml:space="preserve">This document operates within the WP-2026 series governance architecture established in WP-2026-SAM-01 (Rev 2.0). Governance framework: WP-2026-PERSIST-01 (authority rails at Section 2; standards of proof at Section 4; coalition governance at Section 3; neutral designation-selection rule at Section 5). Mechanism framework: WP-2026-SIEGE-01 Final (seven-channel mechanism; Tier classification; gate structure; failure modes; fragmentation governing finding; falsifiable indicators). Adversary model: WP-2026-EVASION-01 (adversary adaptation cycle; evasion by domain; channel structural persistence). Degradation analysis: WP-2026-COUNTERINTEL-01 (framework degradation conditions). Evidentiary standards: WP-2026-SENI-ARCH-01 (D2 tiering at Section IV; product layer architecture at Section II).</w:t>
            </w:r>
          </w:p>
        </w:tc>
      </w:tr>
      <w:tr>
        <w:tc>
          <w:tcPr>
            <w:tcW w:type="dxa" w:w="8640"/>
            <w:tcBorders>
              <w:top w:val="none" w:color="FFFFFF" w:sz="0"/>
              <w:left w:val="single" w:color="1B2A4A" w:sz="18" w:space="0"/>
              <w:bottom w:val="single" w:color="E8EDF5" w:sz="4" w:space="0"/>
              <w:right w:val="none" w:color="FFFFFF" w:sz="0"/>
            </w:tcBorders>
            <w:shd w:fill="E8EDF5" w:val="clear"/>
            <w:tcMar>
              <w:top w:type="dxa" w:w="20"/>
              <w:left w:type="dxa" w:w="160"/>
              <w:bottom w:type="dxa" w:w="80"/>
              <w:right w:type="dxa" w:w="80"/>
            </w:tcMar>
          </w:tcPr>
          <w:p>
            <w:pPr>
              <w:spacing w:before="0" w:after="0"/>
            </w:pPr>
            <w:r>
              <w:rPr>
                <w:rFonts w:ascii="Arial" w:cs="Arial" w:eastAsia="Arial" w:hAnsi="Arial"/>
                <w:b w:val="false"/>
                <w:bCs w:val="false"/>
                <w:i w:val="false"/>
                <w:iCs w:val="false"/>
                <w:color w:val="000000"/>
                <w:sz w:val="20"/>
                <w:szCs w:val="20"/>
              </w:rPr>
              <w:t xml:space="preserve">Fragmentation governing finding (series-wide): Network fragmentation without parallel organizational disruption is treated as a negative or null outcome condition, not a success proxy, throughout this document and all WP-2026 series documents. This determination is consistent with WP-2026-SIEGE-01 Part VII.2 and Part XI.4 (Non-Capabilities). Observable fragmentation is a diagnostic signal triggering Gate 4 reassessment, not a performance indicator.</w:t>
            </w:r>
          </w:p>
        </w:tc>
      </w:tr>
    </w:tbl>
    <w:p>
      <w:pPr>
        <w:spacing w:before="0" w:after="80"/>
      </w:pPr>
      <w:r>
        <w:rPr>
          <w:sz w:val="2"/>
          <w:szCs w:val="2"/>
        </w:rPr>
        <w:t xml:space="preserve"/>
      </w:r>
    </w:p>
    <w:p>
      <w:pPr>
        <w:spacing w:before="0" w:after="160"/>
      </w:pPr>
      <w:r>
        <w:rPr>
          <w:sz w:val="2"/>
          <w:szCs w:val="2"/>
        </w:rPr>
        <w:t xml:space="preserve"/>
      </w:r>
    </w:p>
    <w:p>
      <w:pPr>
        <w:pStyle w:val="Heading1"/>
        <w:spacing w:before="360" w:after="120"/>
      </w:pPr>
      <w:r>
        <w:rPr>
          <w:rFonts w:ascii="Arial" w:cs="Arial" w:eastAsia="Arial" w:hAnsi="Arial"/>
          <w:b/>
          <w:bCs/>
          <w:color w:val="1B2A4A"/>
          <w:sz w:val="30"/>
          <w:szCs w:val="30"/>
        </w:rPr>
        <w:t xml:space="preserve">Key Judgments</w:t>
      </w:r>
    </w:p>
    <w:p>
      <w:pPr>
        <w:spacing w:before="0" w:after="80"/>
      </w:pPr>
      <w:r>
        <w:rPr>
          <w:sz w:val="2"/>
          <w:szCs w:val="2"/>
        </w:rPr>
        <w:t xml:space="preserve"/>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700"/>
        <w:gridCol w:w="7940"/>
      </w:tblGrid>
      <w:tr>
        <w:tc>
          <w:tcPr>
            <w:tcW w:type="dxa" w:w="700"/>
            <w:tcBorders>
              <w:top w:val="none" w:color="FFFFFF" w:sz="0"/>
              <w:left w:val="none" w:color="FFFFFF" w:sz="0"/>
              <w:bottom w:val="none" w:color="FFFFFF" w:sz="0"/>
              <w:right w:val="none" w:color="FFFFFF" w:sz="0"/>
            </w:tcBorders>
            <w:shd w:fill="1B2A4A" w:val="clear"/>
            <w:tcMar>
              <w:top w:type="dxa" w:w="80"/>
              <w:left w:type="dxa" w:w="80"/>
              <w:bottom w:type="dxa" w:w="80"/>
              <w:right w:type="dxa" w:w="80"/>
            </w:tcMar>
            <w:vAlign w:val="center"/>
          </w:tcPr>
          <w:p>
            <w:pPr>
              <w:spacing w:before="0" w:after="0"/>
              <w:jc w:val="center"/>
            </w:pPr>
            <w:r>
              <w:rPr>
                <w:rFonts w:ascii="Arial" w:cs="Arial" w:eastAsia="Arial" w:hAnsi="Arial"/>
                <w:b/>
                <w:bCs/>
                <w:color w:val="FFFFFF"/>
                <w:sz w:val="28"/>
                <w:szCs w:val="28"/>
              </w:rPr>
              <w:t xml:space="preserve">1</w:t>
            </w:r>
          </w:p>
        </w:tc>
        <w:tc>
          <w:tcPr>
            <w:tcW w:type="dxa" w:w="7940"/>
            <w:tcBorders>
              <w:top w:val="none" w:color="FFFFFF" w:sz="0"/>
              <w:left w:val="none" w:color="FFFFFF" w:sz="0"/>
              <w:bottom w:val="none" w:color="FFFFFF" w:sz="0"/>
              <w:right w:val="none" w:color="FFFFFF" w:sz="0"/>
            </w:tcBorders>
            <w:shd w:fill="E8EDF5" w:val="clear"/>
            <w:tcMar>
              <w:top w:type="dxa" w:w="60"/>
              <w:left w:type="dxa" w:w="160"/>
              <w:bottom w:type="dxa" w:w="60"/>
              <w:right w:type="dxa" w:w="80"/>
            </w:tcMar>
          </w:tcPr>
          <w:p>
            <w:pPr>
              <w:spacing w:before="0" w:after="40"/>
            </w:pPr>
            <w:r>
              <w:rPr>
                <w:rFonts w:ascii="Arial" w:cs="Arial" w:eastAsia="Arial" w:hAnsi="Arial"/>
                <w:b/>
                <w:bCs/>
                <w:caps/>
                <w:color w:val="8B6914"/>
                <w:sz w:val="18"/>
                <w:szCs w:val="18"/>
              </w:rPr>
              <w:t xml:space="preserve">High Confidence</w:t>
            </w:r>
          </w:p>
          <w:p>
            <w:pPr>
              <w:spacing w:before="0" w:after="0"/>
            </w:pPr>
            <w:r>
              <w:rPr>
                <w:rFonts w:ascii="Arial" w:cs="Arial" w:eastAsia="Arial" w:hAnsi="Arial"/>
                <w:color w:val="000000"/>
                <w:sz w:val="20"/>
                <w:szCs w:val="20"/>
              </w:rPr>
              <w:t xml:space="preserve">Narcotics trafficking organizations, proliferation finance networks, and terrorist financing facilitators utilize overlapping financial infrastructure — specifically, shadow banking institutions, hawala and informal value transfer operators, shell company incorporation jurisdictions, and cryptocurrency exchange platforms in limited-oversight jurisdictions — that serve all three threat categories simultaneously. This structural commonality is documented in published FinCEN, DEA, FATF, and UN Security Council Panel of Experts reporting. It is not an analytic inference; it is an observed pattern in the public enforcement record.</w:t>
            </w:r>
          </w:p>
        </w:tc>
      </w:tr>
    </w:tbl>
    <w:p>
      <w:pPr>
        <w:spacing w:before="0" w:after="80"/>
      </w:pPr>
      <w:r>
        <w:rPr>
          <w:sz w:val="2"/>
          <w:szCs w:val="2"/>
        </w:rPr>
        <w:t xml:space="preserve"/>
      </w:r>
    </w:p>
    <w:p>
      <w:pPr>
        <w:spacing w:before="0" w:after="80"/>
      </w:pPr>
      <w:r>
        <w:rPr>
          <w:sz w:val="2"/>
          <w:szCs w:val="2"/>
        </w:rPr>
        <w:t xml:space="preserve"/>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700"/>
        <w:gridCol w:w="7940"/>
      </w:tblGrid>
      <w:tr>
        <w:tc>
          <w:tcPr>
            <w:tcW w:type="dxa" w:w="700"/>
            <w:tcBorders>
              <w:top w:val="none" w:color="FFFFFF" w:sz="0"/>
              <w:left w:val="none" w:color="FFFFFF" w:sz="0"/>
              <w:bottom w:val="none" w:color="FFFFFF" w:sz="0"/>
              <w:right w:val="none" w:color="FFFFFF" w:sz="0"/>
            </w:tcBorders>
            <w:shd w:fill="1B2A4A" w:val="clear"/>
            <w:tcMar>
              <w:top w:type="dxa" w:w="80"/>
              <w:left w:type="dxa" w:w="80"/>
              <w:bottom w:type="dxa" w:w="80"/>
              <w:right w:type="dxa" w:w="80"/>
            </w:tcMar>
            <w:vAlign w:val="center"/>
          </w:tcPr>
          <w:p>
            <w:pPr>
              <w:spacing w:before="0" w:after="0"/>
              <w:jc w:val="center"/>
            </w:pPr>
            <w:r>
              <w:rPr>
                <w:rFonts w:ascii="Arial" w:cs="Arial" w:eastAsia="Arial" w:hAnsi="Arial"/>
                <w:b/>
                <w:bCs/>
                <w:color w:val="FFFFFF"/>
                <w:sz w:val="28"/>
                <w:szCs w:val="28"/>
              </w:rPr>
              <w:t xml:space="preserve">2</w:t>
            </w:r>
          </w:p>
        </w:tc>
        <w:tc>
          <w:tcPr>
            <w:tcW w:type="dxa" w:w="7940"/>
            <w:tcBorders>
              <w:top w:val="none" w:color="FFFFFF" w:sz="0"/>
              <w:left w:val="none" w:color="FFFFFF" w:sz="0"/>
              <w:bottom w:val="none" w:color="FFFFFF" w:sz="0"/>
              <w:right w:val="none" w:color="FFFFFF" w:sz="0"/>
            </w:tcBorders>
            <w:shd w:fill="E8EDF5" w:val="clear"/>
            <w:tcMar>
              <w:top w:type="dxa" w:w="60"/>
              <w:left w:type="dxa" w:w="160"/>
              <w:bottom w:type="dxa" w:w="60"/>
              <w:right w:type="dxa" w:w="80"/>
            </w:tcMar>
          </w:tcPr>
          <w:p>
            <w:pPr>
              <w:spacing w:before="0" w:after="40"/>
            </w:pPr>
            <w:r>
              <w:rPr>
                <w:rFonts w:ascii="Arial" w:cs="Arial" w:eastAsia="Arial" w:hAnsi="Arial"/>
                <w:b/>
                <w:bCs/>
                <w:caps/>
                <w:color w:val="8B6914"/>
                <w:sz w:val="18"/>
                <w:szCs w:val="18"/>
              </w:rPr>
              <w:t xml:space="preserve">Moderate Confidence · Analytically Inferred</w:t>
            </w:r>
          </w:p>
          <w:p>
            <w:pPr>
              <w:spacing w:before="0" w:after="0"/>
            </w:pPr>
            <w:r>
              <w:rPr>
                <w:rFonts w:ascii="Arial" w:cs="Arial" w:eastAsia="Arial" w:hAnsi="Arial"/>
                <w:color w:val="000000"/>
                <w:sz w:val="20"/>
                <w:szCs w:val="20"/>
              </w:rPr>
              <w:t xml:space="preserve">The analytical implication of shared infrastructure is that a single enforcement action against an identified shared-infrastructure node — a Section 311 designation of a shadow banking institution documented as serving all three threat domains — may be consistent with partial enforcement pressure across all three domains simultaneously, at a lower administrative resource cost than three independent single-domain actions against separate nodes. This is the cross-domain enforcement efficiency claim. It is assessed with moderate confidence because the public record documents shared infrastructure but does not establish uniform operational effectiveness of single-action cross-domain designation at the scale this claim implies, and because "partial" is load-bearing here: a shared node designation removes the shared node; it does not remove domain-specific infrastructure that each network also uses.</w:t>
            </w:r>
          </w:p>
        </w:tc>
      </w:tr>
    </w:tbl>
    <w:p>
      <w:pPr>
        <w:spacing w:before="0" w:after="80"/>
      </w:pPr>
      <w:r>
        <w:rPr>
          <w:sz w:val="2"/>
          <w:szCs w:val="2"/>
        </w:rPr>
        <w:t xml:space="preserve"/>
      </w:r>
    </w:p>
    <w:p>
      <w:pPr>
        <w:spacing w:before="0" w:after="80"/>
      </w:pPr>
      <w:r>
        <w:rPr>
          <w:sz w:val="2"/>
          <w:szCs w:val="2"/>
        </w:rPr>
        <w:t xml:space="preserve"/>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700"/>
        <w:gridCol w:w="7940"/>
      </w:tblGrid>
      <w:tr>
        <w:tc>
          <w:tcPr>
            <w:tcW w:type="dxa" w:w="700"/>
            <w:tcBorders>
              <w:top w:val="none" w:color="FFFFFF" w:sz="0"/>
              <w:left w:val="none" w:color="FFFFFF" w:sz="0"/>
              <w:bottom w:val="none" w:color="FFFFFF" w:sz="0"/>
              <w:right w:val="none" w:color="FFFFFF" w:sz="0"/>
            </w:tcBorders>
            <w:shd w:fill="1B2A4A" w:val="clear"/>
            <w:tcMar>
              <w:top w:type="dxa" w:w="80"/>
              <w:left w:type="dxa" w:w="80"/>
              <w:bottom w:type="dxa" w:w="80"/>
              <w:right w:type="dxa" w:w="80"/>
            </w:tcMar>
            <w:vAlign w:val="center"/>
          </w:tcPr>
          <w:p>
            <w:pPr>
              <w:spacing w:before="0" w:after="0"/>
              <w:jc w:val="center"/>
            </w:pPr>
            <w:r>
              <w:rPr>
                <w:rFonts w:ascii="Arial" w:cs="Arial" w:eastAsia="Arial" w:hAnsi="Arial"/>
                <w:b/>
                <w:bCs/>
                <w:color w:val="FFFFFF"/>
                <w:sz w:val="28"/>
                <w:szCs w:val="28"/>
              </w:rPr>
              <w:t xml:space="preserve">3</w:t>
            </w:r>
          </w:p>
        </w:tc>
        <w:tc>
          <w:tcPr>
            <w:tcW w:type="dxa" w:w="7940"/>
            <w:tcBorders>
              <w:top w:val="none" w:color="FFFFFF" w:sz="0"/>
              <w:left w:val="none" w:color="FFFFFF" w:sz="0"/>
              <w:bottom w:val="none" w:color="FFFFFF" w:sz="0"/>
              <w:right w:val="none" w:color="FFFFFF" w:sz="0"/>
            </w:tcBorders>
            <w:shd w:fill="E8EDF5" w:val="clear"/>
            <w:tcMar>
              <w:top w:type="dxa" w:w="60"/>
              <w:left w:type="dxa" w:w="160"/>
              <w:bottom w:type="dxa" w:w="60"/>
              <w:right w:type="dxa" w:w="80"/>
            </w:tcMar>
          </w:tcPr>
          <w:p>
            <w:pPr>
              <w:spacing w:before="0" w:after="40"/>
            </w:pPr>
            <w:r>
              <w:rPr>
                <w:rFonts w:ascii="Arial" w:cs="Arial" w:eastAsia="Arial" w:hAnsi="Arial"/>
                <w:b/>
                <w:bCs/>
                <w:caps/>
                <w:color w:val="8B6914"/>
                <w:sz w:val="18"/>
                <w:szCs w:val="18"/>
              </w:rPr>
              <w:t xml:space="preserve">Moderate Confidence · Analytically Inferred</w:t>
            </w:r>
          </w:p>
          <w:p>
            <w:pPr>
              <w:spacing w:before="0" w:after="0"/>
            </w:pPr>
            <w:r>
              <w:rPr>
                <w:rFonts w:ascii="Arial" w:cs="Arial" w:eastAsia="Arial" w:hAnsi="Arial"/>
                <w:color w:val="000000"/>
                <w:sz w:val="20"/>
                <w:szCs w:val="20"/>
              </w:rPr>
              <w:t xml:space="preserve">The cross-domain enforcement efficiency claim depends on the same applicability conditions that govern WP-2026-SIEGE-01 single-domain deployments: Tier classification of each domain's target network, administrative record pre-positioning meeting the standard in WP-2026-PERSIST-01 Section 4, coalition status confirmation for coalition-dependent channels, parallel organizational disruption architecture, and enforcement continuity commitment. These conditions must be satisfied independently for each domain's target networks. Shared infrastructure does not reduce the evidentiary or gate requirements that apply to each domain separately. Cross-domain efficiency is additive at the enforcement resource level; it is not a substitute for the gate requirements at the deployment level.</w:t>
            </w:r>
          </w:p>
        </w:tc>
      </w:tr>
    </w:tbl>
    <w:p>
      <w:pPr>
        <w:spacing w:before="0" w:after="80"/>
      </w:pPr>
      <w:r>
        <w:rPr>
          <w:sz w:val="2"/>
          <w:szCs w:val="2"/>
        </w:rPr>
        <w:t xml:space="preserve"/>
      </w:r>
    </w:p>
    <w:p>
      <w:pPr>
        <w:spacing w:before="0" w:after="80"/>
      </w:pPr>
      <w:r>
        <w:rPr>
          <w:sz w:val="2"/>
          <w:szCs w:val="2"/>
        </w:rPr>
        <w:t xml:space="preserve"/>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700"/>
        <w:gridCol w:w="7940"/>
      </w:tblGrid>
      <w:tr>
        <w:tc>
          <w:tcPr>
            <w:tcW w:type="dxa" w:w="700"/>
            <w:tcBorders>
              <w:top w:val="none" w:color="FFFFFF" w:sz="0"/>
              <w:left w:val="none" w:color="FFFFFF" w:sz="0"/>
              <w:bottom w:val="none" w:color="FFFFFF" w:sz="0"/>
              <w:right w:val="none" w:color="FFFFFF" w:sz="0"/>
            </w:tcBorders>
            <w:shd w:fill="1B2A4A" w:val="clear"/>
            <w:tcMar>
              <w:top w:type="dxa" w:w="80"/>
              <w:left w:type="dxa" w:w="80"/>
              <w:bottom w:type="dxa" w:w="80"/>
              <w:right w:type="dxa" w:w="80"/>
            </w:tcMar>
            <w:vAlign w:val="center"/>
          </w:tcPr>
          <w:p>
            <w:pPr>
              <w:spacing w:before="0" w:after="0"/>
              <w:jc w:val="center"/>
            </w:pPr>
            <w:r>
              <w:rPr>
                <w:rFonts w:ascii="Arial" w:cs="Arial" w:eastAsia="Arial" w:hAnsi="Arial"/>
                <w:b/>
                <w:bCs/>
                <w:color w:val="FFFFFF"/>
                <w:sz w:val="28"/>
                <w:szCs w:val="28"/>
              </w:rPr>
              <w:t xml:space="preserve">4</w:t>
            </w:r>
          </w:p>
        </w:tc>
        <w:tc>
          <w:tcPr>
            <w:tcW w:type="dxa" w:w="7940"/>
            <w:tcBorders>
              <w:top w:val="none" w:color="FFFFFF" w:sz="0"/>
              <w:left w:val="none" w:color="FFFFFF" w:sz="0"/>
              <w:bottom w:val="none" w:color="FFFFFF" w:sz="0"/>
              <w:right w:val="none" w:color="FFFFFF" w:sz="0"/>
            </w:tcBorders>
            <w:shd w:fill="E8EDF5" w:val="clear"/>
            <w:tcMar>
              <w:top w:type="dxa" w:w="60"/>
              <w:left w:type="dxa" w:w="160"/>
              <w:bottom w:type="dxa" w:w="60"/>
              <w:right w:type="dxa" w:w="80"/>
            </w:tcMar>
          </w:tcPr>
          <w:p>
            <w:pPr>
              <w:spacing w:before="0" w:after="40"/>
            </w:pPr>
            <w:r>
              <w:rPr>
                <w:rFonts w:ascii="Arial" w:cs="Arial" w:eastAsia="Arial" w:hAnsi="Arial"/>
                <w:b/>
                <w:bCs/>
                <w:caps/>
                <w:color w:val="8B6914"/>
                <w:sz w:val="18"/>
                <w:szCs w:val="18"/>
              </w:rPr>
              <w:t xml:space="preserve">Low-Moderate Confidence · Analytically Inferred</w:t>
            </w:r>
          </w:p>
          <w:p>
            <w:pPr>
              <w:spacing w:before="0" w:after="0"/>
            </w:pPr>
            <w:r>
              <w:rPr>
                <w:rFonts w:ascii="Arial" w:cs="Arial" w:eastAsia="Arial" w:hAnsi="Arial"/>
                <w:color w:val="000000"/>
                <w:sz w:val="20"/>
                <w:szCs w:val="20"/>
              </w:rPr>
              <w:t xml:space="preserve">The whistleblower incentive mechanism under 31 U.S.C. § 5323, applied in conjunction with cross-domain enforcement pressure, may be consistent with increased compliance officer cooperation at shared infrastructure nodes under certain conditions, relative to single-domain enforcement. The mechanism functions because cross-domain designation increases the legal exposure of the target institution simultaneously across multiple enforcement frameworks, which may alter the internal compliance officer's risk calculus regarding cooperation. This assessment is analytically inferred; the public record does not establish that cross-domain designation produces higher whistleblower cooperation rates than single-domain designation, and behavioral responses are not predictable from the available public record.</w:t>
            </w:r>
          </w:p>
        </w:tc>
      </w:tr>
    </w:tbl>
    <w:p>
      <w:pPr>
        <w:spacing w:before="0" w:after="80"/>
      </w:pPr>
      <w:r>
        <w:rPr>
          <w:sz w:val="2"/>
          <w:szCs w:val="2"/>
        </w:rPr>
        <w:t xml:space="preserve"/>
      </w:r>
    </w:p>
    <w:p>
      <w:pPr>
        <w:spacing w:before="0" w:after="80"/>
      </w:pPr>
      <w:r>
        <w:rPr>
          <w:sz w:val="2"/>
          <w:szCs w:val="2"/>
        </w:rPr>
        <w:t xml:space="preserve"/>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700"/>
        <w:gridCol w:w="7940"/>
      </w:tblGrid>
      <w:tr>
        <w:tc>
          <w:tcPr>
            <w:tcW w:type="dxa" w:w="700"/>
            <w:tcBorders>
              <w:top w:val="none" w:color="FFFFFF" w:sz="0"/>
              <w:left w:val="none" w:color="FFFFFF" w:sz="0"/>
              <w:bottom w:val="none" w:color="FFFFFF" w:sz="0"/>
              <w:right w:val="none" w:color="FFFFFF" w:sz="0"/>
            </w:tcBorders>
            <w:shd w:fill="1B2A4A" w:val="clear"/>
            <w:tcMar>
              <w:top w:type="dxa" w:w="80"/>
              <w:left w:type="dxa" w:w="80"/>
              <w:bottom w:type="dxa" w:w="80"/>
              <w:right w:type="dxa" w:w="80"/>
            </w:tcMar>
            <w:vAlign w:val="center"/>
          </w:tcPr>
          <w:p>
            <w:pPr>
              <w:spacing w:before="0" w:after="0"/>
              <w:jc w:val="center"/>
            </w:pPr>
            <w:r>
              <w:rPr>
                <w:rFonts w:ascii="Arial" w:cs="Arial" w:eastAsia="Arial" w:hAnsi="Arial"/>
                <w:b/>
                <w:bCs/>
                <w:color w:val="FFFFFF"/>
                <w:sz w:val="28"/>
                <w:szCs w:val="28"/>
              </w:rPr>
              <w:t xml:space="preserve">5</w:t>
            </w:r>
          </w:p>
        </w:tc>
        <w:tc>
          <w:tcPr>
            <w:tcW w:type="dxa" w:w="7940"/>
            <w:tcBorders>
              <w:top w:val="none" w:color="FFFFFF" w:sz="0"/>
              <w:left w:val="none" w:color="FFFFFF" w:sz="0"/>
              <w:bottom w:val="none" w:color="FFFFFF" w:sz="0"/>
              <w:right w:val="none" w:color="FFFFFF" w:sz="0"/>
            </w:tcBorders>
            <w:shd w:fill="E8EDF5" w:val="clear"/>
            <w:tcMar>
              <w:top w:type="dxa" w:w="60"/>
              <w:left w:type="dxa" w:w="160"/>
              <w:bottom w:type="dxa" w:w="60"/>
              <w:right w:type="dxa" w:w="80"/>
            </w:tcMar>
          </w:tcPr>
          <w:p>
            <w:pPr>
              <w:spacing w:before="0" w:after="40"/>
            </w:pPr>
            <w:r>
              <w:rPr>
                <w:rFonts w:ascii="Arial" w:cs="Arial" w:eastAsia="Arial" w:hAnsi="Arial"/>
                <w:b/>
                <w:bCs/>
                <w:caps/>
                <w:color w:val="8B6914"/>
                <w:sz w:val="18"/>
                <w:szCs w:val="18"/>
              </w:rPr>
              <w:t xml:space="preserve">Low-Moderate Confidence · Analytically Inferred</w:t>
            </w:r>
          </w:p>
          <w:p>
            <w:pPr>
              <w:spacing w:before="0" w:after="0"/>
            </w:pPr>
            <w:r>
              <w:rPr>
                <w:rFonts w:ascii="Arial" w:cs="Arial" w:eastAsia="Arial" w:hAnsi="Arial"/>
                <w:color w:val="000000"/>
                <w:sz w:val="20"/>
                <w:szCs w:val="20"/>
              </w:rPr>
              <w:t xml:space="preserve">Cross-domain simultaneous enforcement pressure faces a compounded version of the simultaneity and coalition requirements identified in WP-2026-SIEGE-01 Part II. For three domains to be deployable simultaneously against a shared infrastructure node, all five gate conditions in WP-2026-SIEGE-01 must be satisfied independently for each domain's target network profile — not only for the shared node. The analytical readiness staging required before cross-domain deployment is therefore materially more demanding than single-domain deployment, not less, despite the administrative efficiency at the designation level.</w:t>
            </w:r>
          </w:p>
        </w:tc>
      </w:tr>
    </w:tbl>
    <w:p>
      <w:pPr>
        <w:spacing w:before="0" w:after="80"/>
      </w:pPr>
      <w:r>
        <w:rPr>
          <w:sz w:val="2"/>
          <w:szCs w:val="2"/>
        </w:rPr>
        <w:t xml:space="preserve"/>
      </w:r>
    </w:p>
    <w:p>
      <w:pPr>
        <w:spacing w:before="0" w:after="160"/>
      </w:pPr>
      <w:r>
        <w:rPr>
          <w:sz w:val="2"/>
          <w:szCs w:val="2"/>
        </w:rPr>
        <w:t xml:space="preserve"/>
      </w:r>
    </w:p>
    <w:p>
      <w:pPr>
        <w:pStyle w:val="Heading1"/>
        <w:spacing w:before="360" w:after="120"/>
      </w:pPr>
      <w:r>
        <w:rPr>
          <w:rFonts w:ascii="Arial" w:cs="Arial" w:eastAsia="Arial" w:hAnsi="Arial"/>
          <w:b/>
          <w:bCs/>
          <w:color w:val="1B2A4A"/>
          <w:sz w:val="30"/>
          <w:szCs w:val="30"/>
        </w:rPr>
        <w:t xml:space="preserve">Part I: The Shared Infrastructure Doctrine</w:t>
      </w:r>
    </w:p>
    <w:p>
      <w:pPr>
        <w:pStyle w:val="Heading2"/>
        <w:spacing w:before="240" w:after="80"/>
      </w:pPr>
      <w:r>
        <w:rPr>
          <w:rFonts w:ascii="Arial" w:cs="Arial" w:eastAsia="Arial" w:hAnsi="Arial"/>
          <w:b/>
          <w:bCs/>
          <w:color w:val="1B2A4A"/>
          <w:sz w:val="24"/>
          <w:szCs w:val="24"/>
        </w:rPr>
        <w:t xml:space="preserve">1.1 What "Shared Infrastructure" Means Analytically</w:t>
      </w:r>
    </w:p>
    <w:p>
      <w:pPr>
        <w:spacing w:before="60" w:after="120"/>
        <w:jc w:val="both"/>
      </w:pPr>
      <w:r>
        <w:rPr>
          <w:rFonts w:ascii="Arial" w:cs="Arial" w:eastAsia="Arial" w:hAnsi="Arial"/>
          <w:b w:val="false"/>
          <w:bCs w:val="false"/>
          <w:i w:val="false"/>
          <w:iCs w:val="false"/>
          <w:color w:val="000000"/>
          <w:sz w:val="22"/>
          <w:szCs w:val="22"/>
        </w:rPr>
        <w:t xml:space="preserve">The phrase "shared infrastructure" describes a documented pattern in the public enforcement record: specific categories of financial intermediaries — certain shadow banking institutions, specific hawala network operators, certain cryptocurrency exchange platforms, specific shell company incorporation jurisdictions — appear repeatedly across enforcement actions in all three threat domains. A single Dubai-based exchange house appears in FinCEN SAR analysis related to fentanyl trafficking proceeds, in OFAC enforcement records related to Iran sanctions evasion, and in State Department Counterterrorism bureau designations related to Hizballah financing. That pattern is shared infrastructure.</w:t>
      </w:r>
    </w:p>
    <w:p>
      <w:pPr>
        <w:spacing w:before="60" w:after="120"/>
        <w:jc w:val="both"/>
      </w:pPr>
      <w:r>
        <w:rPr>
          <w:rFonts w:ascii="Arial" w:cs="Arial" w:eastAsia="Arial" w:hAnsi="Arial"/>
          <w:b w:val="false"/>
          <w:bCs w:val="false"/>
          <w:i w:val="false"/>
          <w:iCs w:val="false"/>
          <w:color w:val="000000"/>
          <w:sz w:val="22"/>
          <w:szCs w:val="22"/>
        </w:rPr>
        <w:t xml:space="preserve">The analytical significance is not that these intermediaries are uniquely culpable. It is that the financial infrastructure serving these three threat domains is not as siloed as single-domain enforcement policy assumes. Traditional enforcement architecture treats narcotics finance, proliferation finance, and terrorist finance as requiring separate institutional machinery, separate intelligence products, and separate designation processes. The shared infrastructure pattern suggests that a portion of the financial infrastructure serving all three domains is physically the same nodes — and that single designation actions against those nodes therefore produce effects across all three domains rather than one.</w:t>
      </w:r>
    </w:p>
    <w:p>
      <w:pPr>
        <w:spacing w:before="60" w:after="120"/>
        <w:jc w:val="both"/>
      </w:pPr>
      <w:r>
        <w:rPr>
          <w:rFonts w:ascii="Arial" w:cs="Arial" w:eastAsia="Arial" w:hAnsi="Arial"/>
          <w:b w:val="false"/>
          <w:bCs w:val="false"/>
          <w:i w:val="false"/>
          <w:iCs w:val="false"/>
          <w:color w:val="000000"/>
          <w:sz w:val="22"/>
          <w:szCs w:val="22"/>
        </w:rPr>
        <w:t xml:space="preserve">The limits of this claim are as important as its content. Shared infrastructure does not mean identical infrastructure. Each domain also has infrastructure that is domain-specific. The cross-domain efficiency claim applies only to the shared nodes, not to the full infrastructure of any domain. The proportion of each domain's total financial infrastructure that passes through shared nodes varies by domain, corridor, and target network — and that variation is precisely what the gate assessment process in WP-2026-SIEGE-01 Part II is designed to determine before deployment.</w:t>
      </w:r>
    </w:p>
    <w:p>
      <w:pPr>
        <w:pStyle w:val="Heading2"/>
        <w:spacing w:before="240" w:after="80"/>
      </w:pPr>
      <w:r>
        <w:rPr>
          <w:rFonts w:ascii="Arial" w:cs="Arial" w:eastAsia="Arial" w:hAnsi="Arial"/>
          <w:b/>
          <w:bCs/>
          <w:color w:val="1B2A4A"/>
          <w:sz w:val="24"/>
          <w:szCs w:val="24"/>
        </w:rPr>
        <w:t xml:space="preserve">1.2 Public Record Basis for the Shared Infrastructure Finding</w:t>
      </w:r>
    </w:p>
    <w:p>
      <w:pPr>
        <w:spacing w:before="60" w:after="120"/>
        <w:jc w:val="both"/>
      </w:pPr>
      <w:r>
        <w:rPr>
          <w:rFonts w:ascii="Arial" w:cs="Arial" w:eastAsia="Arial" w:hAnsi="Arial"/>
          <w:b w:val="false"/>
          <w:bCs w:val="false"/>
          <w:i w:val="false"/>
          <w:iCs w:val="false"/>
          <w:color w:val="000000"/>
          <w:sz w:val="22"/>
          <w:szCs w:val="22"/>
        </w:rPr>
        <w:t xml:space="preserve">The shared infrastructure finding rests on the public enforcement record, not analytic inference. Four categories of published evidence establish it.</w:t>
      </w:r>
    </w:p>
    <w:p>
      <w:pPr>
        <w:spacing w:before="60" w:after="120"/>
        <w:jc w:val="both"/>
      </w:pPr>
      <w:r>
        <w:rPr>
          <w:rFonts w:ascii="Arial" w:cs="Arial" w:eastAsia="Arial" w:hAnsi="Arial"/>
          <w:b w:val="false"/>
          <w:bCs w:val="false"/>
          <w:i w:val="false"/>
          <w:iCs w:val="false"/>
          <w:color w:val="000000"/>
          <w:sz w:val="22"/>
          <w:szCs w:val="22"/>
        </w:rPr>
        <w:t xml:space="preserve">First, FinCEN National Money Laundering Risk Assessments document that specific categories of financial intermediaries — exchange houses in UAE, informal value transfer operators in Turkey, shell company networks in Central America — appear in SAR filings across narcotics, proliferation, and terrorism financing categories simultaneously. This co-occurrence is not the result of analytical aggregation; it reflects the actual financial flows documented in financial institution reporting.</w:t>
      </w:r>
    </w:p>
    <w:p>
      <w:pPr>
        <w:spacing w:before="60" w:after="120"/>
        <w:jc w:val="both"/>
      </w:pPr>
      <w:r>
        <w:rPr>
          <w:rFonts w:ascii="Arial" w:cs="Arial" w:eastAsia="Arial" w:hAnsi="Arial"/>
          <w:b w:val="false"/>
          <w:bCs w:val="false"/>
          <w:i w:val="false"/>
          <w:iCs w:val="false"/>
          <w:color w:val="000000"/>
          <w:sz w:val="22"/>
          <w:szCs w:val="22"/>
        </w:rPr>
        <w:t xml:space="preserve">Second, OFAC designation records document entities designated under multiple executive orders simultaneously — entities appearing in both E.O. 13224 (SDGT) and E.O. 13382 (WMD proliferators) and cartel-related narcotics trafficking EOs. These overlapping designations are not analytical redundancy; they reflect the entity's documented role across multiple threat domains.</w:t>
      </w:r>
    </w:p>
    <w:p>
      <w:pPr>
        <w:spacing w:before="60" w:after="120"/>
        <w:jc w:val="both"/>
      </w:pPr>
      <w:r>
        <w:rPr>
          <w:rFonts w:ascii="Arial" w:cs="Arial" w:eastAsia="Arial" w:hAnsi="Arial"/>
          <w:b w:val="false"/>
          <w:bCs w:val="false"/>
          <w:i w:val="false"/>
          <w:iCs w:val="false"/>
          <w:color w:val="000000"/>
          <w:sz w:val="22"/>
          <w:szCs w:val="22"/>
        </w:rPr>
        <w:t xml:space="preserve">Third, UN Security Council Panel of Experts reports — particularly those covering DPRK sanctions evasion and Iran petroleum sanctions — document financial infrastructure that serves both proliferation finance and narcotics proceeds laundering in the same geographic corridors. The Chainalysis annual crypto crime reports document similar overlap at the cryptocurrency exchange layer.</w:t>
      </w:r>
    </w:p>
    <w:p>
      <w:pPr>
        <w:spacing w:before="60" w:after="120"/>
        <w:jc w:val="both"/>
      </w:pPr>
      <w:r>
        <w:rPr>
          <w:rFonts w:ascii="Arial" w:cs="Arial" w:eastAsia="Arial" w:hAnsi="Arial"/>
          <w:b w:val="false"/>
          <w:bCs w:val="false"/>
          <w:i w:val="false"/>
          <w:iCs w:val="false"/>
          <w:color w:val="000000"/>
          <w:sz w:val="22"/>
          <w:szCs w:val="22"/>
        </w:rPr>
        <w:t xml:space="preserve">Fourth, DEA National Drug Threat Assessments document the geographic overlap between primary cartel financial corridors and primary Iran-linked and Hizballah-linked financial corridors in the UAE, Turkey, and Hong Kong — the same jurisdictions appearing in all three domains' primary financial pathway analyses.</w:t>
      </w:r>
    </w:p>
    <w:p>
      <w:pPr>
        <w:spacing w:before="0" w:after="80"/>
      </w:pPr>
      <w:r>
        <w:rPr>
          <w:sz w:val="2"/>
          <w:szCs w:val="2"/>
        </w:rPr>
        <w:t xml:space="preserve"/>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640"/>
      </w:tblGrid>
      <w:tr>
        <w:tc>
          <w:tcPr>
            <w:tcW w:type="dxa" w:w="8640"/>
            <w:tcBorders>
              <w:top w:val="none" w:color="FFFFFF" w:sz="0"/>
              <w:left w:val="single" w:color="1B2A4A" w:sz="18" w:space="0"/>
              <w:bottom w:val="none" w:color="FFFFFF" w:sz="0"/>
              <w:right w:val="none" w:color="FFFFFF" w:sz="0"/>
            </w:tcBorders>
            <w:shd w:fill="E8EDF5" w:val="clear"/>
            <w:tcMar>
              <w:top w:type="dxa" w:w="60"/>
              <w:left w:type="dxa" w:w="160"/>
              <w:bottom w:type="dxa" w:w="20"/>
              <w:right w:type="dxa" w:w="80"/>
            </w:tcMar>
          </w:tcPr>
          <w:p>
            <w:pPr>
              <w:spacing w:before="0" w:after="0"/>
            </w:pPr>
            <w:r>
              <w:rPr>
                <w:rFonts w:ascii="Arial" w:cs="Arial" w:eastAsia="Arial" w:hAnsi="Arial"/>
                <w:b/>
                <w:bCs/>
                <w:caps/>
                <w:color w:val="1B2A4A"/>
                <w:sz w:val="18"/>
                <w:szCs w:val="18"/>
              </w:rPr>
              <w:t xml:space="preserve">PUBLIC RECORD BOUNDARY</w:t>
            </w:r>
          </w:p>
        </w:tc>
      </w:tr>
      <w:tr>
        <w:tc>
          <w:tcPr>
            <w:tcW w:type="dxa" w:w="8640"/>
            <w:tcBorders>
              <w:top w:val="none" w:color="FFFFFF" w:sz="0"/>
              <w:left w:val="single" w:color="1B2A4A" w:sz="18" w:space="0"/>
              <w:bottom w:val="single" w:color="E8EDF5" w:sz="4" w:space="0"/>
              <w:right w:val="none" w:color="FFFFFF" w:sz="0"/>
            </w:tcBorders>
            <w:shd w:fill="E8EDF5" w:val="clear"/>
            <w:tcMar>
              <w:top w:type="dxa" w:w="20"/>
              <w:left w:type="dxa" w:w="160"/>
              <w:bottom w:type="dxa" w:w="80"/>
              <w:right w:type="dxa" w:w="80"/>
            </w:tcMar>
          </w:tcPr>
          <w:p>
            <w:pPr>
              <w:spacing w:before="0" w:after="0"/>
            </w:pPr>
            <w:r>
              <w:rPr>
                <w:rFonts w:ascii="Arial" w:cs="Arial" w:eastAsia="Arial" w:hAnsi="Arial"/>
                <w:b w:val="false"/>
                <w:bCs w:val="false"/>
                <w:i w:val="false"/>
                <w:iCs w:val="false"/>
                <w:color w:val="000000"/>
                <w:sz w:val="20"/>
                <w:szCs w:val="20"/>
              </w:rPr>
              <w:t xml:space="preserve">The shared infrastructure finding is supported by category-level evidence from published enforcement reporting. It is not supported by transaction-level financial intelligence, named-institution financial pathway analysis at D2=[5-OSINT] standard, or confirmed attribution at the WP-2026-PERSIST-01 Section 4 Confirmed Attribution standard for specific shared infrastructure nodes. Those analytical products require development to WP-2026-SENI-ARCH-01 Layer 2 standards before any specific designation action is analytically supported. This document establishes the analytical basis for why cross-domain deployment may be warranted; it does not establish that any specific institution is a shared infrastructure node meeting the designation evidentiary standard.</w:t>
            </w:r>
          </w:p>
        </w:tc>
      </w:tr>
    </w:tbl>
    <w:p>
      <w:pPr>
        <w:spacing w:before="0" w:after="80"/>
      </w:pPr>
      <w:r>
        <w:rPr>
          <w:sz w:val="2"/>
          <w:szCs w:val="2"/>
        </w:rPr>
        <w:t xml:space="preserve"/>
      </w:r>
    </w:p>
    <w:p>
      <w:pPr>
        <w:spacing w:before="0" w:after="160"/>
      </w:pPr>
      <w:r>
        <w:rPr>
          <w:sz w:val="2"/>
          <w:szCs w:val="2"/>
        </w:rPr>
        <w:t xml:space="preserve"/>
      </w:r>
    </w:p>
    <w:p>
      <w:pPr>
        <w:pStyle w:val="Heading1"/>
        <w:spacing w:before="360" w:after="120"/>
      </w:pPr>
      <w:r>
        <w:rPr>
          <w:rFonts w:ascii="Arial" w:cs="Arial" w:eastAsia="Arial" w:hAnsi="Arial"/>
          <w:b/>
          <w:bCs/>
          <w:color w:val="1B2A4A"/>
          <w:sz w:val="30"/>
          <w:szCs w:val="30"/>
        </w:rPr>
        <w:t xml:space="preserve">Part II: Why Cross-Domain Application Is Analytically Justified</w:t>
      </w:r>
    </w:p>
    <w:p>
      <w:pPr>
        <w:pStyle w:val="Heading2"/>
        <w:spacing w:before="240" w:after="80"/>
      </w:pPr>
      <w:r>
        <w:rPr>
          <w:rFonts w:ascii="Arial" w:cs="Arial" w:eastAsia="Arial" w:hAnsi="Arial"/>
          <w:b/>
          <w:bCs/>
          <w:color w:val="1B2A4A"/>
          <w:sz w:val="24"/>
          <w:szCs w:val="24"/>
        </w:rPr>
        <w:t xml:space="preserve">2.1 The Siloed Enforcement Problem</w:t>
      </w:r>
    </w:p>
    <w:p>
      <w:pPr>
        <w:spacing w:before="60" w:after="120"/>
        <w:jc w:val="both"/>
      </w:pPr>
      <w:r>
        <w:rPr>
          <w:rFonts w:ascii="Arial" w:cs="Arial" w:eastAsia="Arial" w:hAnsi="Arial"/>
          <w:b w:val="false"/>
          <w:bCs w:val="false"/>
          <w:i w:val="false"/>
          <w:iCs w:val="false"/>
          <w:color w:val="000000"/>
          <w:sz w:val="22"/>
          <w:szCs w:val="22"/>
        </w:rPr>
        <w:t xml:space="preserve">Traditional enforcement architecture addresses narcotics, proliferation, and terrorism financing as distinct policy domains with separate institutional machinery. This siloed architecture produces a specific inefficiency: it treats the same physical financial infrastructure as three separate enforcement targets, requiring three separate designation packages, three separate administrative records, and three separate coalition coordination processes to achieve what cross-domain enforcement accomplishes through one. The inefficiency is compounded by the fact that siloed enforcement against one domain at a time may alert the shared infrastructure node to enforcement attention, allowing it to restructure before the next domain's enforcement cycle begins — the sequential enforcement failure mode identified in WP-2026-SIEGE-01 Part I, applied across domains rather than across channels.</w:t>
      </w:r>
    </w:p>
    <w:p>
      <w:pPr>
        <w:spacing w:before="60" w:after="120"/>
        <w:jc w:val="both"/>
      </w:pPr>
      <w:r>
        <w:rPr>
          <w:rFonts w:ascii="Arial" w:cs="Arial" w:eastAsia="Arial" w:hAnsi="Arial"/>
          <w:b w:val="false"/>
          <w:bCs w:val="false"/>
          <w:i w:val="false"/>
          <w:iCs w:val="false"/>
          <w:color w:val="000000"/>
          <w:sz w:val="22"/>
          <w:szCs w:val="22"/>
        </w:rPr>
        <w:t xml:space="preserve">Siloed enforcement also fails to capture the cross-domain intelligence value that shared infrastructure nodes contain. A shadow banking institution serving all three domains holds transaction records spanning all three. A whistleblower cooperation event at that institution produces intelligence across all three simultaneously. A forensic analysis of its transaction history provides attribution pathways for all three domains' target networks. The intelligence multiplier of cross-domain enforcement at shared nodes is analytically meaningful — though, consistent with WP-2026-SIEGE-01's withdrawal of quantitative projections, the specific magnitude of that multiplier is not assessable from the public record.</w:t>
      </w:r>
    </w:p>
    <w:p>
      <w:pPr>
        <w:pStyle w:val="Heading2"/>
        <w:spacing w:before="240" w:after="80"/>
      </w:pPr>
      <w:r>
        <w:rPr>
          <w:rFonts w:ascii="Arial" w:cs="Arial" w:eastAsia="Arial" w:hAnsi="Arial"/>
          <w:b/>
          <w:bCs/>
          <w:color w:val="1B2A4A"/>
          <w:sz w:val="24"/>
          <w:szCs w:val="24"/>
        </w:rPr>
        <w:t xml:space="preserve">2.2 The Cross-Domain Efficiency Claim — Stated Precisely</w:t>
      </w:r>
    </w:p>
    <w:p>
      <w:pPr>
        <w:spacing w:before="60" w:after="120"/>
        <w:jc w:val="both"/>
      </w:pPr>
      <w:r>
        <w:rPr>
          <w:rFonts w:ascii="Arial" w:cs="Arial" w:eastAsia="Arial" w:hAnsi="Arial"/>
          <w:b w:val="false"/>
          <w:bCs w:val="false"/>
          <w:i w:val="false"/>
          <w:iCs w:val="false"/>
          <w:color w:val="000000"/>
          <w:sz w:val="22"/>
          <w:szCs w:val="22"/>
        </w:rPr>
        <w:t xml:space="preserve">The cross-domain enforcement efficiency claim, stated precisely, is: an enforcement action against a confirmed shared infrastructure node, when the gate conditions in WP-2026-SIEGE-01 Part II are independently satisfied for each domain's target network, may be consistent with simultaneous enforcement pressure across all three domains at a lower administrative resource cost than three separate single-domain actions against separate nodes.</w:t>
      </w:r>
    </w:p>
    <w:p>
      <w:pPr>
        <w:spacing w:before="60" w:after="120"/>
        <w:jc w:val="both"/>
      </w:pPr>
      <w:r>
        <w:rPr>
          <w:rFonts w:ascii="Arial" w:cs="Arial" w:eastAsia="Arial" w:hAnsi="Arial"/>
          <w:b w:val="false"/>
          <w:bCs w:val="false"/>
          <w:i w:val="false"/>
          <w:iCs w:val="false"/>
          <w:color w:val="000000"/>
          <w:sz w:val="22"/>
          <w:szCs w:val="22"/>
        </w:rPr>
        <w:t xml:space="preserve">That claim has four analytical components, each of which requires independent assessment. First, the node must be confirmed as shared infrastructure for all three domains — which requires Layer 2 financial pathway analysis to D2=[5-OSINT] standard per WP-2026-SENI-ARCH-01 Section IV for each domain. Second, the gate conditions in WP-2026-SIEGE-01 Part II must be independently satisfied for each domain's target network, not only for the shared node. Third, the administrative record for the designation must satisfy the APA-sustainability standard for all three enforcement frameworks simultaneously — which means the record must document the node's role in all three domains, not only the domain that initiated the designation. Fourth, coalition participation must be confirmed for any coalition-dependent channels across all three domains, since coalition gaps in one domain affect the shared node enforcement action even if the other two domains have confirmed coalition participation.</w:t>
      </w:r>
    </w:p>
    <w:p>
      <w:pPr>
        <w:pStyle w:val="Heading2"/>
        <w:spacing w:before="240" w:after="80"/>
      </w:pPr>
      <w:r>
        <w:rPr>
          <w:rFonts w:ascii="Arial" w:cs="Arial" w:eastAsia="Arial" w:hAnsi="Arial"/>
          <w:b/>
          <w:bCs/>
          <w:color w:val="1B2A4A"/>
          <w:sz w:val="24"/>
          <w:szCs w:val="24"/>
        </w:rPr>
        <w:t xml:space="preserve">2.3 What Cross-Domain Application Does Not Do</w:t>
      </w:r>
    </w:p>
    <w:p>
      <w:pPr>
        <w:spacing w:before="60" w:after="120"/>
        <w:jc w:val="both"/>
      </w:pPr>
      <w:r>
        <w:rPr>
          <w:rFonts w:ascii="Arial" w:cs="Arial" w:eastAsia="Arial" w:hAnsi="Arial"/>
          <w:b w:val="false"/>
          <w:bCs w:val="false"/>
          <w:i w:val="false"/>
          <w:iCs w:val="false"/>
          <w:color w:val="000000"/>
          <w:sz w:val="22"/>
          <w:szCs w:val="22"/>
        </w:rPr>
        <w:t xml:space="preserve">Cross-domain application does not reduce the per-domain gate requirements. The five gates in WP-2026-SIEGE-01 Part II apply to each domain's target network independently. A shared infrastructure node designation that satisfies the evidentiary standard for one domain but not another cannot be used to piggyback the unsupported domain onto the supported one. Each domain's target network must independently satisfy Tier classification, administrative record pre-positioning, coalition status, parallel disruption architecture, and continuity commitment requirements.</w:t>
      </w:r>
    </w:p>
    <w:p>
      <w:pPr>
        <w:spacing w:before="60" w:after="120"/>
        <w:jc w:val="both"/>
      </w:pPr>
      <w:r>
        <w:rPr>
          <w:rFonts w:ascii="Arial" w:cs="Arial" w:eastAsia="Arial" w:hAnsi="Arial"/>
          <w:b w:val="false"/>
          <w:bCs w:val="false"/>
          <w:i w:val="false"/>
          <w:iCs w:val="false"/>
          <w:color w:val="000000"/>
          <w:sz w:val="22"/>
          <w:szCs w:val="22"/>
        </w:rPr>
        <w:t xml:space="preserve">Cross-domain application does not substitute for domain-specific enforcement architecture. ARCH-03 (counter-narcotics), CTF-01 (counter-terrorist financing), and CPF-02 (counter-proliferation finance) address domain-specific enforcement mechanisms beyond the shared infrastructure layer. Cross-domain efficiency at the shared node level does not eliminate the need for domain-specific enforcement against infrastructure nodes that are not shared.</w:t>
      </w:r>
    </w:p>
    <w:p>
      <w:pPr>
        <w:spacing w:before="60" w:after="120"/>
        <w:jc w:val="both"/>
      </w:pPr>
      <w:r>
        <w:rPr>
          <w:rFonts w:ascii="Arial" w:cs="Arial" w:eastAsia="Arial" w:hAnsi="Arial"/>
          <w:b w:val="false"/>
          <w:bCs w:val="false"/>
          <w:i w:val="false"/>
          <w:iCs w:val="false"/>
          <w:color w:val="000000"/>
          <w:sz w:val="22"/>
          <w:szCs w:val="22"/>
        </w:rPr>
        <w:t xml:space="preserve">Cross-domain application does not produce guaranteed cross-domain effects. The analytical claim is that a shared node designation may be consistent with cross-domain enforcement pressure; it does not establish that such pressure produces equivalent effects in all three domains. Domain-specific variables — the target network's Tier classification in each domain, the substitution capacity available in each domain, the coalition status for each domain's relevant channels — will determine whether the cross-domain efficiency claim holds for any specific shared node action.</w:t>
      </w:r>
    </w:p>
    <w:p>
      <w:pPr>
        <w:spacing w:before="0" w:after="160"/>
      </w:pPr>
      <w:r>
        <w:rPr>
          <w:sz w:val="2"/>
          <w:szCs w:val="2"/>
        </w:rPr>
        <w:t xml:space="preserve"/>
      </w:r>
    </w:p>
    <w:p>
      <w:pPr>
        <w:pStyle w:val="Heading1"/>
        <w:spacing w:before="360" w:after="120"/>
      </w:pPr>
      <w:r>
        <w:rPr>
          <w:rFonts w:ascii="Arial" w:cs="Arial" w:eastAsia="Arial" w:hAnsi="Arial"/>
          <w:b/>
          <w:bCs/>
          <w:color w:val="1B2A4A"/>
          <w:sz w:val="30"/>
          <w:szCs w:val="30"/>
        </w:rPr>
        <w:t xml:space="preserve">Part III: Threat-Based Decision Framework</w:t>
      </w:r>
    </w:p>
    <w:p>
      <w:pPr>
        <w:spacing w:before="60" w:after="120"/>
        <w:jc w:val="both"/>
      </w:pPr>
      <w:r>
        <w:rPr>
          <w:rFonts w:ascii="Arial" w:cs="Arial" w:eastAsia="Arial" w:hAnsi="Arial"/>
          <w:b w:val="false"/>
          <w:bCs w:val="false"/>
          <w:i w:val="false"/>
          <w:iCs w:val="false"/>
          <w:color w:val="000000"/>
          <w:sz w:val="22"/>
          <w:szCs w:val="22"/>
        </w:rPr>
        <w:t xml:space="preserve">The following framework maps specific threat indicator types to the primary and supporting analytical frameworks applicable within the WP-2026 series. This is not an operational playbook; it is an analytical routing framework that identifies which series documents govern the analytical assessment of each indicator type, and therefore which gate conditions must be satisfied before a deployment assessment is analytically supported for that indicator.</w:t>
      </w:r>
    </w:p>
    <w:p>
      <w:pPr>
        <w:spacing w:before="60" w:after="120"/>
        <w:jc w:val="both"/>
      </w:pPr>
      <w:r>
        <w:rPr>
          <w:rFonts w:ascii="Arial" w:cs="Arial" w:eastAsia="Arial" w:hAnsi="Arial"/>
          <w:b w:val="false"/>
          <w:bCs w:val="false"/>
          <w:i w:val="false"/>
          <w:iCs w:val="false"/>
          <w:color w:val="000000"/>
          <w:sz w:val="22"/>
          <w:szCs w:val="22"/>
        </w:rPr>
        <w:t xml:space="preserve">Each indicator row specifies: the threat domain it most directly addresses; the WP-2026 series framework that governs its primary mechanism analysis; the supporting frameworks that provide evidentiary standards, adversary behavior analysis, and degradation conditions; and the key analytical question that must be answered before deployment assessment is supported.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800"/>
        <w:gridCol w:w="1800"/>
        <w:gridCol w:w="2240"/>
      </w:tblGrid>
      <w:tr>
        <w:trPr>
          <w:tblHeader/>
        </w:trPr>
        <w:tc>
          <w:tcPr>
            <w:tcW w:type="dxa" w:w="1600"/>
            <w:tcBorders>
              <w:top w:val="single" w:color="1B2A4A" w:sz="4"/>
              <w:left w:val="single" w:color="1B2A4A" w:sz="4"/>
              <w:bottom w:val="single" w:color="1B2A4A" w:sz="4"/>
              <w:right w:val="single" w:color="1B2A4A" w:sz="4"/>
            </w:tcBorders>
            <w:shd w:fill="1B2A4A"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Threat Indicator</w:t>
            </w:r>
          </w:p>
        </w:tc>
        <w:tc>
          <w:tcPr>
            <w:tcW w:type="dxa" w:w="1200"/>
            <w:tcBorders>
              <w:top w:val="single" w:color="1B2A4A" w:sz="4"/>
              <w:left w:val="single" w:color="1B2A4A" w:sz="4"/>
              <w:bottom w:val="single" w:color="1B2A4A" w:sz="4"/>
              <w:right w:val="single" w:color="1B2A4A" w:sz="4"/>
            </w:tcBorders>
            <w:shd w:fill="1B2A4A"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Primary Domain</w:t>
            </w:r>
          </w:p>
        </w:tc>
        <w:tc>
          <w:tcPr>
            <w:tcW w:type="dxa" w:w="1800"/>
            <w:tcBorders>
              <w:top w:val="single" w:color="1B2A4A" w:sz="4"/>
              <w:left w:val="single" w:color="1B2A4A" w:sz="4"/>
              <w:bottom w:val="single" w:color="1B2A4A" w:sz="4"/>
              <w:right w:val="single" w:color="1B2A4A" w:sz="4"/>
            </w:tcBorders>
            <w:shd w:fill="1B2A4A"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Governing Mechanism Framework</w:t>
            </w:r>
          </w:p>
        </w:tc>
        <w:tc>
          <w:tcPr>
            <w:tcW w:type="dxa" w:w="1800"/>
            <w:tcBorders>
              <w:top w:val="single" w:color="1B2A4A" w:sz="4"/>
              <w:left w:val="single" w:color="1B2A4A" w:sz="4"/>
              <w:bottom w:val="single" w:color="1B2A4A" w:sz="4"/>
              <w:right w:val="single" w:color="1B2A4A" w:sz="4"/>
            </w:tcBorders>
            <w:shd w:fill="1B2A4A"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Supporting Frameworks</w:t>
            </w:r>
          </w:p>
        </w:tc>
        <w:tc>
          <w:tcPr>
            <w:tcW w:type="dxa" w:w="2240"/>
            <w:tcBorders>
              <w:top w:val="single" w:color="1B2A4A" w:sz="4"/>
              <w:left w:val="single" w:color="1B2A4A" w:sz="4"/>
              <w:bottom w:val="single" w:color="1B2A4A" w:sz="4"/>
              <w:right w:val="single" w:color="1B2A4A" w:sz="4"/>
            </w:tcBorders>
            <w:shd w:fill="1B2A4A"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Key Analytical Question Before Deployment</w:t>
            </w:r>
          </w:p>
        </w:tc>
      </w:tr>
      <w:tr>
        <w:tc>
          <w:tcPr>
            <w:tcW w:type="dxa" w:w="160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Fentanyl precursor shipment from PRC-linked supplier</w:t>
            </w:r>
          </w:p>
        </w:tc>
        <w:tc>
          <w:tcPr>
            <w:tcW w:type="dxa" w:w="120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Narcotics (ARCH-03)</w:t>
            </w:r>
          </w:p>
        </w:tc>
        <w:tc>
          <w:tcPr>
            <w:tcW w:type="dxa" w:w="180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SIEGE-01 Channel 4 (Trade Finance; Entity List/FDPR; § 2339B notice)</w:t>
            </w:r>
          </w:p>
        </w:tc>
        <w:tc>
          <w:tcPr>
            <w:tcW w:type="dxa" w:w="180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PERSIST-01 §2.1 (Export Controls Rail); SENI-ARCH-01 L2 (supplier financial pathway); EVASION-01 Part III.4 (trade finance evasion)</w:t>
            </w:r>
          </w:p>
        </w:tc>
        <w:tc>
          <w:tcPr>
            <w:tcW w:type="dxa" w:w="224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Has § 2339B formal notice been issued to the identified supplier? Does the supplier have U.S. market exposure creating criminal liability reach? Gate 1 Tier classification of the cartel network complete?</w:t>
            </w:r>
          </w:p>
        </w:tc>
      </w:tr>
      <w:tr>
        <w:tc>
          <w:tcPr>
            <w:tcW w:type="dxa" w:w="1600"/>
            <w:tcBorders>
              <w:top w:val="single" w:color="CCCCCC" w:sz="2"/>
              <w:left w:val="single" w:color="CCCCCC" w:sz="2"/>
              <w:bottom w:val="single" w:color="CCCCCC" w:sz="2"/>
              <w:right w:val="single" w:color="CCCCCC" w:sz="2"/>
            </w:tcBorders>
            <w:shd w:fill="E8EDF5" w:val="clear"/>
            <w:tcMar>
              <w:top w:type="dxa" w:w="60"/>
              <w:left w:type="dxa" w:w="100"/>
              <w:bottom w:type="dxa" w:w="60"/>
              <w:right w:type="dxa" w:w="100"/>
            </w:tcMar>
          </w:tcPr>
          <w:p>
            <w:pPr>
              <w:spacing w:before="0" w:after="0"/>
            </w:pPr>
            <w:r>
              <w:rPr>
                <w:rFonts w:ascii="Arial" w:cs="Arial" w:eastAsia="Arial" w:hAnsi="Arial"/>
                <w:sz w:val="20"/>
                <w:szCs w:val="20"/>
              </w:rPr>
              <w:t xml:space="preserve">Hawala transfer in identified high-risk corridor (e.g., Dubai→Beirut)</w:t>
            </w:r>
          </w:p>
        </w:tc>
        <w:tc>
          <w:tcPr>
            <w:tcW w:type="dxa" w:w="1200"/>
            <w:tcBorders>
              <w:top w:val="single" w:color="CCCCCC" w:sz="2"/>
              <w:left w:val="single" w:color="CCCCCC" w:sz="2"/>
              <w:bottom w:val="single" w:color="CCCCCC" w:sz="2"/>
              <w:right w:val="single" w:color="CCCCCC" w:sz="2"/>
            </w:tcBorders>
            <w:shd w:fill="E8EDF5" w:val="clear"/>
            <w:tcMar>
              <w:top w:type="dxa" w:w="60"/>
              <w:left w:type="dxa" w:w="100"/>
              <w:bottom w:type="dxa" w:w="60"/>
              <w:right w:type="dxa" w:w="100"/>
            </w:tcMar>
          </w:tcPr>
          <w:p>
            <w:pPr>
              <w:spacing w:before="0" w:after="0"/>
            </w:pPr>
            <w:r>
              <w:rPr>
                <w:rFonts w:ascii="Arial" w:cs="Arial" w:eastAsia="Arial" w:hAnsi="Arial"/>
                <w:sz w:val="20"/>
                <w:szCs w:val="20"/>
              </w:rPr>
              <w:t xml:space="preserve">Multi-domain (narcotics, CTF, CPF overlap)</w:t>
            </w:r>
          </w:p>
        </w:tc>
        <w:tc>
          <w:tcPr>
            <w:tcW w:type="dxa" w:w="1800"/>
            <w:tcBorders>
              <w:top w:val="single" w:color="CCCCCC" w:sz="2"/>
              <w:left w:val="single" w:color="CCCCCC" w:sz="2"/>
              <w:bottom w:val="single" w:color="CCCCCC" w:sz="2"/>
              <w:right w:val="single" w:color="CCCCCC" w:sz="2"/>
            </w:tcBorders>
            <w:shd w:fill="E8EDF5" w:val="clear"/>
            <w:tcMar>
              <w:top w:type="dxa" w:w="60"/>
              <w:left w:type="dxa" w:w="100"/>
              <w:bottom w:type="dxa" w:w="60"/>
              <w:right w:type="dxa" w:w="100"/>
            </w:tcMar>
          </w:tcPr>
          <w:p>
            <w:pPr>
              <w:spacing w:before="0" w:after="0"/>
            </w:pPr>
            <w:r>
              <w:rPr>
                <w:rFonts w:ascii="Arial" w:cs="Arial" w:eastAsia="Arial" w:hAnsi="Arial"/>
                <w:sz w:val="20"/>
                <w:szCs w:val="20"/>
              </w:rPr>
              <w:t xml:space="preserve">SIEGE-01 Channel 6 (Informal Value Transfer; § 5318A(a)(4)(A) class designation)</w:t>
            </w:r>
          </w:p>
        </w:tc>
        <w:tc>
          <w:tcPr>
            <w:tcW w:type="dxa" w:w="1800"/>
            <w:tcBorders>
              <w:top w:val="single" w:color="CCCCCC" w:sz="2"/>
              <w:left w:val="single" w:color="CCCCCC" w:sz="2"/>
              <w:bottom w:val="single" w:color="CCCCCC" w:sz="2"/>
              <w:right w:val="single" w:color="CCCCCC" w:sz="2"/>
            </w:tcBorders>
            <w:shd w:fill="E8EDF5" w:val="clear"/>
            <w:tcMar>
              <w:top w:type="dxa" w:w="60"/>
              <w:left w:type="dxa" w:w="100"/>
              <w:bottom w:type="dxa" w:w="60"/>
              <w:right w:type="dxa" w:w="100"/>
            </w:tcMar>
          </w:tcPr>
          <w:p>
            <w:pPr>
              <w:spacing w:before="0" w:after="0"/>
            </w:pPr>
            <w:r>
              <w:rPr>
                <w:rFonts w:ascii="Arial" w:cs="Arial" w:eastAsia="Arial" w:hAnsi="Arial"/>
                <w:sz w:val="20"/>
                <w:szCs w:val="20"/>
              </w:rPr>
              <w:t xml:space="preserve">PERSIST-01 §2.2 (Sanctions Rail); SENI-ARCH-01 L2 (hawala financial pathway D2=[5-OSINT]); COUNTERINTEL-01 §III.1 (jurisdictional degradation in non-USD corridors)</w:t>
            </w:r>
          </w:p>
        </w:tc>
        <w:tc>
          <w:tcPr>
            <w:tcW w:type="dxa" w:w="2240"/>
            <w:tcBorders>
              <w:top w:val="single" w:color="CCCCCC" w:sz="2"/>
              <w:left w:val="single" w:color="CCCCCC" w:sz="2"/>
              <w:bottom w:val="single" w:color="CCCCCC" w:sz="2"/>
              <w:right w:val="single" w:color="CCCCCC" w:sz="2"/>
            </w:tcBorders>
            <w:shd w:fill="E8EDF5" w:val="clear"/>
            <w:tcMar>
              <w:top w:type="dxa" w:w="60"/>
              <w:left w:type="dxa" w:w="100"/>
              <w:bottom w:type="dxa" w:w="60"/>
              <w:right w:type="dxa" w:w="100"/>
            </w:tcMar>
          </w:tcPr>
          <w:p>
            <w:pPr>
              <w:spacing w:before="0" w:after="0"/>
            </w:pPr>
            <w:r>
              <w:rPr>
                <w:rFonts w:ascii="Arial" w:cs="Arial" w:eastAsia="Arial" w:hAnsi="Arial"/>
                <w:sz w:val="20"/>
                <w:szCs w:val="20"/>
              </w:rPr>
              <w:t xml:space="preserve">Is the specific corridor within U.S. correspondent bank monitoring reach? Does the target operator pattern meet class designation specificity requirements? Is this a shared infrastructure node serving multiple domains (cross-domain efficiency available)?</w:t>
            </w:r>
          </w:p>
        </w:tc>
      </w:tr>
      <w:tr>
        <w:tc>
          <w:tcPr>
            <w:tcW w:type="dxa" w:w="160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Shadow tanker carrying Iranian petroleum</w:t>
            </w:r>
          </w:p>
        </w:tc>
        <w:tc>
          <w:tcPr>
            <w:tcW w:type="dxa" w:w="120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Proliferation finance (CPF-02)</w:t>
            </w:r>
          </w:p>
        </w:tc>
        <w:tc>
          <w:tcPr>
            <w:tcW w:type="dxa" w:w="180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SIEGE-01 Channel 7 (Maritime; E.O. 14059; registry-level enforcement)</w:t>
            </w:r>
          </w:p>
        </w:tc>
        <w:tc>
          <w:tcPr>
            <w:tcW w:type="dxa" w:w="180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PERSIST-01 §2.2; EVASION-01 Part III.3 (maritime evasion: flag-shopping, AIS manipulation, STS transfer); COUNTERINTEL-01 §III.5 (infrastructure independence — state-fleet)</w:t>
            </w:r>
          </w:p>
        </w:tc>
        <w:tc>
          <w:tcPr>
            <w:tcW w:type="dxa" w:w="224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Is the identified registry commercially oriented (commercial-incentive mechanism applicable) or state-directed (Tier C structural limit)? P&amp;I insurance market exposure confirmed? Gate 3 coalition status for registry jurisdiction confirmed?</w:t>
            </w:r>
          </w:p>
        </w:tc>
      </w:tr>
      <w:tr>
        <w:tc>
          <w:tcPr>
            <w:tcW w:type="dxa" w:w="1600"/>
            <w:tcBorders>
              <w:top w:val="single" w:color="CCCCCC" w:sz="2"/>
              <w:left w:val="single" w:color="CCCCCC" w:sz="2"/>
              <w:bottom w:val="single" w:color="CCCCCC" w:sz="2"/>
              <w:right w:val="single" w:color="CCCCCC" w:sz="2"/>
            </w:tcBorders>
            <w:shd w:fill="E8EDF5" w:val="clear"/>
            <w:tcMar>
              <w:top w:type="dxa" w:w="60"/>
              <w:left w:type="dxa" w:w="100"/>
              <w:bottom w:type="dxa" w:w="60"/>
              <w:right w:type="dxa" w:w="100"/>
            </w:tcMar>
          </w:tcPr>
          <w:p>
            <w:pPr>
              <w:spacing w:before="0" w:after="0"/>
            </w:pPr>
            <w:r>
              <w:rPr>
                <w:rFonts w:ascii="Arial" w:cs="Arial" w:eastAsia="Arial" w:hAnsi="Arial"/>
                <w:sz w:val="20"/>
                <w:szCs w:val="20"/>
              </w:rPr>
              <w:t xml:space="preserve">Cryptocurrency mixer processing SDGT-designated wallet addresses</w:t>
            </w:r>
          </w:p>
        </w:tc>
        <w:tc>
          <w:tcPr>
            <w:tcW w:type="dxa" w:w="1200"/>
            <w:tcBorders>
              <w:top w:val="single" w:color="CCCCCC" w:sz="2"/>
              <w:left w:val="single" w:color="CCCCCC" w:sz="2"/>
              <w:bottom w:val="single" w:color="CCCCCC" w:sz="2"/>
              <w:right w:val="single" w:color="CCCCCC" w:sz="2"/>
            </w:tcBorders>
            <w:shd w:fill="E8EDF5" w:val="clear"/>
            <w:tcMar>
              <w:top w:type="dxa" w:w="60"/>
              <w:left w:type="dxa" w:w="100"/>
              <w:bottom w:type="dxa" w:w="60"/>
              <w:right w:type="dxa" w:w="100"/>
            </w:tcMar>
          </w:tcPr>
          <w:p>
            <w:pPr>
              <w:spacing w:before="0" w:after="0"/>
            </w:pPr>
            <w:r>
              <w:rPr>
                <w:rFonts w:ascii="Arial" w:cs="Arial" w:eastAsia="Arial" w:hAnsi="Arial"/>
                <w:sz w:val="20"/>
                <w:szCs w:val="20"/>
              </w:rPr>
              <w:t xml:space="preserve">Multi-domain (narcotics, CTF, CPF overlap)</w:t>
            </w:r>
          </w:p>
        </w:tc>
        <w:tc>
          <w:tcPr>
            <w:tcW w:type="dxa" w:w="1800"/>
            <w:tcBorders>
              <w:top w:val="single" w:color="CCCCCC" w:sz="2"/>
              <w:left w:val="single" w:color="CCCCCC" w:sz="2"/>
              <w:bottom w:val="single" w:color="CCCCCC" w:sz="2"/>
              <w:right w:val="single" w:color="CCCCCC" w:sz="2"/>
            </w:tcBorders>
            <w:shd w:fill="E8EDF5" w:val="clear"/>
            <w:tcMar>
              <w:top w:type="dxa" w:w="60"/>
              <w:left w:type="dxa" w:w="100"/>
              <w:bottom w:type="dxa" w:w="60"/>
              <w:right w:type="dxa" w:w="100"/>
            </w:tcMar>
          </w:tcPr>
          <w:p>
            <w:pPr>
              <w:spacing w:before="0" w:after="0"/>
            </w:pPr>
            <w:r>
              <w:rPr>
                <w:rFonts w:ascii="Arial" w:cs="Arial" w:eastAsia="Arial" w:hAnsi="Arial"/>
                <w:sz w:val="20"/>
                <w:szCs w:val="20"/>
              </w:rPr>
              <w:t xml:space="preserve">SIEGE-01 Channel 3 (Cryptocurrency; DCA designation; § 981(k) custodial seizure)</w:t>
            </w:r>
          </w:p>
        </w:tc>
        <w:tc>
          <w:tcPr>
            <w:tcW w:type="dxa" w:w="1800"/>
            <w:tcBorders>
              <w:top w:val="single" w:color="CCCCCC" w:sz="2"/>
              <w:left w:val="single" w:color="CCCCCC" w:sz="2"/>
              <w:bottom w:val="single" w:color="CCCCCC" w:sz="2"/>
              <w:right w:val="single" w:color="CCCCCC" w:sz="2"/>
            </w:tcBorders>
            <w:shd w:fill="E8EDF5" w:val="clear"/>
            <w:tcMar>
              <w:top w:type="dxa" w:w="60"/>
              <w:left w:type="dxa" w:w="100"/>
              <w:bottom w:type="dxa" w:w="60"/>
              <w:right w:type="dxa" w:w="100"/>
            </w:tcMar>
          </w:tcPr>
          <w:p>
            <w:pPr>
              <w:spacing w:before="0" w:after="0"/>
            </w:pPr>
            <w:r>
              <w:rPr>
                <w:rFonts w:ascii="Arial" w:cs="Arial" w:eastAsia="Arial" w:hAnsi="Arial"/>
                <w:sz w:val="20"/>
                <w:szCs w:val="20"/>
              </w:rPr>
              <w:t xml:space="preserve">PERSIST-01 §2.2; EVASION-01 Part III.2 and Part VI (DeFi/P2P structural enforcement boundary); COUNTERINTEL-01 §III.2 (DeFi substitution degradation)</w:t>
            </w:r>
          </w:p>
        </w:tc>
        <w:tc>
          <w:tcPr>
            <w:tcW w:type="dxa" w:w="2240"/>
            <w:tcBorders>
              <w:top w:val="single" w:color="CCCCCC" w:sz="2"/>
              <w:left w:val="single" w:color="CCCCCC" w:sz="2"/>
              <w:bottom w:val="single" w:color="CCCCCC" w:sz="2"/>
              <w:right w:val="single" w:color="CCCCCC" w:sz="2"/>
            </w:tcBorders>
            <w:shd w:fill="E8EDF5" w:val="clear"/>
            <w:tcMar>
              <w:top w:type="dxa" w:w="60"/>
              <w:left w:type="dxa" w:w="100"/>
              <w:bottom w:type="dxa" w:w="60"/>
              <w:right w:type="dxa" w:w="100"/>
            </w:tcMar>
          </w:tcPr>
          <w:p>
            <w:pPr>
              <w:spacing w:before="0" w:after="0"/>
            </w:pPr>
            <w:r>
              <w:rPr>
                <w:rFonts w:ascii="Arial" w:cs="Arial" w:eastAsia="Arial" w:hAnsi="Arial"/>
                <w:sz w:val="20"/>
                <w:szCs w:val="20"/>
              </w:rPr>
              <w:t xml:space="preserve">Is the mixer a centralized custodial service (§ 981(k) reach available) or a non-custodial smart contract (Tornado Cash precedent applicable vs. DeFi structural boundary)? RPC node provider compliance confirmed? Shared infrastructure cross-domain designation value assessed?</w:t>
            </w:r>
          </w:p>
        </w:tc>
      </w:tr>
      <w:tr>
        <w:tc>
          <w:tcPr>
            <w:tcW w:type="dxa" w:w="160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PRC-linked financial institution facilitating DPRK trade (potential state-nexus)</w:t>
            </w:r>
          </w:p>
        </w:tc>
        <w:tc>
          <w:tcPr>
            <w:tcW w:type="dxa" w:w="120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Proliferation finance (CPF-02)</w:t>
            </w:r>
          </w:p>
        </w:tc>
        <w:tc>
          <w:tcPr>
            <w:tcW w:type="dxa" w:w="180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SIEGE-01 Channel 1 (Formal Banking; Section 311; § 5318(k))</w:t>
            </w:r>
          </w:p>
        </w:tc>
        <w:tc>
          <w:tcPr>
            <w:tcW w:type="dxa" w:w="180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PERSIST-01 §2.2; NEXUS/CSE-01 (PRC state-nexus attribution — required); SENI-ARCH-01 L2 (D2=[5-OSINT] financial pathway); EVASION-01 Part III.1 (nested correspondent layering)</w:t>
            </w:r>
          </w:p>
        </w:tc>
        <w:tc>
          <w:tcPr>
            <w:tcW w:type="dxa" w:w="224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State-nexus attribution determination required before authority rail selection (IEEPA vs. Section 311 vs. § 2339B) — see WP-2026-SAM-01 Part IX. Gate 1 cannot be complete without Nexus/CSE-01 attribution assessment. Is this institution a shared infrastructure node (cartel proceeds + DPRK trade + hawala)?</w:t>
            </w:r>
          </w:p>
        </w:tc>
      </w:tr>
    </w:tbl>
    <w:p>
      <w:pPr>
        <w:spacing w:before="60" w:after="120"/>
      </w:pPr>
      <w:r>
        <w:rPr>
          <w:rFonts w:ascii="Arial" w:cs="Arial" w:eastAsia="Arial" w:hAnsi="Arial"/>
          <w:i/>
          <w:iCs/>
          <w:color w:val="4A5568"/>
          <w:sz w:val="18"/>
          <w:szCs w:val="18"/>
        </w:rPr>
        <w:t xml:space="preserve">Table 1: Threat-Based Decision Framework. Each indicator maps to the governing mechanism framework and supporting analytical documents. Key analytical questions must be answerable before deployment assessment is supported. This framework routes analytical inquiry; it does not substitute for the gate assessment process in WP-2026-SIEGE-01 Part II.</w:t>
      </w:r>
    </w:p>
    <w:p>
      <w:pPr>
        <w:spacing w:before="0" w:after="160"/>
      </w:pPr>
      <w:r>
        <w:rPr>
          <w:sz w:val="2"/>
          <w:szCs w:val="2"/>
        </w:rPr>
        <w:t xml:space="preserve"/>
      </w:r>
    </w:p>
    <w:p>
      <w:pPr>
        <w:pStyle w:val="Heading1"/>
        <w:spacing w:before="360" w:after="120"/>
      </w:pPr>
      <w:r>
        <w:rPr>
          <w:rFonts w:ascii="Arial" w:cs="Arial" w:eastAsia="Arial" w:hAnsi="Arial"/>
          <w:b/>
          <w:bCs/>
          <w:color w:val="1B2A4A"/>
          <w:sz w:val="30"/>
          <w:szCs w:val="30"/>
        </w:rPr>
        <w:t xml:space="preserve">Part IV: Interagency Coordination Structure for Cross-Domain Deployment</w:t>
      </w:r>
    </w:p>
    <w:p>
      <w:pPr>
        <w:spacing w:before="60" w:after="120"/>
        <w:jc w:val="both"/>
      </w:pPr>
      <w:r>
        <w:rPr>
          <w:rFonts w:ascii="Arial" w:cs="Arial" w:eastAsia="Arial" w:hAnsi="Arial"/>
          <w:b w:val="false"/>
          <w:bCs w:val="false"/>
          <w:i w:val="false"/>
          <w:iCs w:val="false"/>
          <w:color w:val="000000"/>
          <w:sz w:val="22"/>
          <w:szCs w:val="22"/>
        </w:rPr>
        <w:t xml:space="preserve">Cross-domain simultaneous enforcement deployment requires coordination across agency functions that do not routinely interact in single-domain enforcement contexts. This section maps the interagency coordination structure by domain and function. It identifies which agencies hold lead and supporting roles for each domain's enforcement channels, what coordination mechanisms the framework requires, and where coordination requirements compound for cross-domain shared node actions.</w:t>
      </w:r>
    </w:p>
    <w:p>
      <w:pPr>
        <w:spacing w:before="60" w:after="120"/>
        <w:jc w:val="both"/>
      </w:pPr>
      <w:r>
        <w:rPr>
          <w:rFonts w:ascii="Arial" w:cs="Arial" w:eastAsia="Arial" w:hAnsi="Arial"/>
          <w:b w:val="false"/>
          <w:bCs w:val="false"/>
          <w:i w:val="false"/>
          <w:iCs w:val="false"/>
          <w:color w:val="000000"/>
          <w:sz w:val="22"/>
          <w:szCs w:val="22"/>
        </w:rPr>
        <w:t xml:space="preserve">The coordination structure described here is consistent with published interagency coordination frameworks for multi-domain financial enforcement — specifically, the TFFC-led coordination architecture for simultaneous narcotics/terrorism/proliferation financial intelligence, the FATF plenary coordination mechanism for multilateral designation harmonization, and the FinCEN § 314(a) information-sharing framework for cross-agency financial intelligence integration. It does not describe classified coordination mechanisms or operational command structures.</w:t>
      </w:r>
    </w:p>
    <w:p>
      <w:pPr>
        <w:pStyle w:val="Heading2"/>
        <w:spacing w:before="240" w:after="80"/>
      </w:pPr>
      <w:r>
        <w:rPr>
          <w:rFonts w:ascii="Arial" w:cs="Arial" w:eastAsia="Arial" w:hAnsi="Arial"/>
          <w:b/>
          <w:bCs/>
          <w:color w:val="1B2A4A"/>
          <w:sz w:val="24"/>
          <w:szCs w:val="24"/>
        </w:rPr>
        <w:t xml:space="preserve">4.1 Lead Agency Structure by Domain and Channel</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1600"/>
        <w:gridCol w:w="1600"/>
        <w:gridCol w:w="2440"/>
      </w:tblGrid>
      <w:tr>
        <w:trPr>
          <w:tblHeader/>
        </w:trPr>
        <w:tc>
          <w:tcPr>
            <w:tcW w:type="dxa" w:w="1400"/>
            <w:tcBorders>
              <w:top w:val="single" w:color="1B2A4A" w:sz="4"/>
              <w:left w:val="single" w:color="1B2A4A" w:sz="4"/>
              <w:bottom w:val="single" w:color="1B2A4A" w:sz="4"/>
              <w:right w:val="single" w:color="1B2A4A" w:sz="4"/>
            </w:tcBorders>
            <w:shd w:fill="1B2A4A"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Channel / Function</w:t>
            </w:r>
          </w:p>
        </w:tc>
        <w:tc>
          <w:tcPr>
            <w:tcW w:type="dxa" w:w="1600"/>
            <w:tcBorders>
              <w:top w:val="single" w:color="1B2A4A" w:sz="4"/>
              <w:left w:val="single" w:color="1B2A4A" w:sz="4"/>
              <w:bottom w:val="single" w:color="1B2A4A" w:sz="4"/>
              <w:right w:val="single" w:color="1B2A4A" w:sz="4"/>
            </w:tcBorders>
            <w:shd w:fill="1B2A4A"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Narcotics Domain Lead</w:t>
            </w:r>
          </w:p>
        </w:tc>
        <w:tc>
          <w:tcPr>
            <w:tcW w:type="dxa" w:w="1600"/>
            <w:tcBorders>
              <w:top w:val="single" w:color="1B2A4A" w:sz="4"/>
              <w:left w:val="single" w:color="1B2A4A" w:sz="4"/>
              <w:bottom w:val="single" w:color="1B2A4A" w:sz="4"/>
              <w:right w:val="single" w:color="1B2A4A" w:sz="4"/>
            </w:tcBorders>
            <w:shd w:fill="1B2A4A"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Terrorist Finance Domain Lead</w:t>
            </w:r>
          </w:p>
        </w:tc>
        <w:tc>
          <w:tcPr>
            <w:tcW w:type="dxa" w:w="1600"/>
            <w:tcBorders>
              <w:top w:val="single" w:color="1B2A4A" w:sz="4"/>
              <w:left w:val="single" w:color="1B2A4A" w:sz="4"/>
              <w:bottom w:val="single" w:color="1B2A4A" w:sz="4"/>
              <w:right w:val="single" w:color="1B2A4A" w:sz="4"/>
            </w:tcBorders>
            <w:shd w:fill="1B2A4A"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Proliferation Finance Domain Lead</w:t>
            </w:r>
          </w:p>
        </w:tc>
        <w:tc>
          <w:tcPr>
            <w:tcW w:type="dxa" w:w="2440"/>
            <w:tcBorders>
              <w:top w:val="single" w:color="1B2A4A" w:sz="4"/>
              <w:left w:val="single" w:color="1B2A4A" w:sz="4"/>
              <w:bottom w:val="single" w:color="1B2A4A" w:sz="4"/>
              <w:right w:val="single" w:color="1B2A4A" w:sz="4"/>
            </w:tcBorders>
            <w:shd w:fill="1B2A4A"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Cross-Domain Coordination Note</w:t>
            </w:r>
          </w:p>
        </w:tc>
      </w:tr>
      <w:tr>
        <w:tc>
          <w:tcPr>
            <w:tcW w:type="dxa" w:w="140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Section 311 / SDN Designation (Ch. 1, 3, 6)</w:t>
            </w:r>
          </w:p>
        </w:tc>
        <w:tc>
          <w:tcPr>
            <w:tcW w:type="dxa" w:w="160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Treasury/FinCEN; Treasury/OFAC</w:t>
            </w:r>
          </w:p>
        </w:tc>
        <w:tc>
          <w:tcPr>
            <w:tcW w:type="dxa" w:w="160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Treasury/OFAC; State/CT</w:t>
            </w:r>
          </w:p>
        </w:tc>
        <w:tc>
          <w:tcPr>
            <w:tcW w:type="dxa" w:w="160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Treasury/OFAC; State/ISN</w:t>
            </w:r>
          </w:p>
        </w:tc>
        <w:tc>
          <w:tcPr>
            <w:tcW w:type="dxa" w:w="244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TFFC serves as cross-domain coordination focal point; Coalition-Risk Review Memo per PERSIST-01 Appendix B.2 required for Tier 2+ actions across all domains simultaneously</w:t>
            </w:r>
          </w:p>
        </w:tc>
      </w:tr>
      <w:tr>
        <w:tc>
          <w:tcPr>
            <w:tcW w:type="dxa" w:w="1400"/>
            <w:tcBorders>
              <w:top w:val="single" w:color="CCCCCC" w:sz="2"/>
              <w:left w:val="single" w:color="CCCCCC" w:sz="2"/>
              <w:bottom w:val="single" w:color="CCCCCC" w:sz="2"/>
              <w:right w:val="single" w:color="CCCCCC" w:sz="2"/>
            </w:tcBorders>
            <w:shd w:fill="E8EDF5" w:val="clear"/>
            <w:tcMar>
              <w:top w:type="dxa" w:w="60"/>
              <w:left w:type="dxa" w:w="100"/>
              <w:bottom w:type="dxa" w:w="60"/>
              <w:right w:type="dxa" w:w="100"/>
            </w:tcMar>
          </w:tcPr>
          <w:p>
            <w:pPr>
              <w:spacing w:before="0" w:after="0"/>
            </w:pPr>
            <w:r>
              <w:rPr>
                <w:rFonts w:ascii="Arial" w:cs="Arial" w:eastAsia="Arial" w:hAnsi="Arial"/>
                <w:sz w:val="20"/>
                <w:szCs w:val="20"/>
              </w:rPr>
              <w:t xml:space="preserve">§ 981(k) Asset Substitution</w:t>
            </w:r>
          </w:p>
        </w:tc>
        <w:tc>
          <w:tcPr>
            <w:tcW w:type="dxa" w:w="1600"/>
            <w:tcBorders>
              <w:top w:val="single" w:color="CCCCCC" w:sz="2"/>
              <w:left w:val="single" w:color="CCCCCC" w:sz="2"/>
              <w:bottom w:val="single" w:color="CCCCCC" w:sz="2"/>
              <w:right w:val="single" w:color="CCCCCC" w:sz="2"/>
            </w:tcBorders>
            <w:shd w:fill="E8EDF5" w:val="clear"/>
            <w:tcMar>
              <w:top w:type="dxa" w:w="60"/>
              <w:left w:type="dxa" w:w="100"/>
              <w:bottom w:type="dxa" w:w="60"/>
              <w:right w:type="dxa" w:w="100"/>
            </w:tcMar>
          </w:tcPr>
          <w:p>
            <w:pPr>
              <w:spacing w:before="0" w:after="0"/>
            </w:pPr>
            <w:r>
              <w:rPr>
                <w:rFonts w:ascii="Arial" w:cs="Arial" w:eastAsia="Arial" w:hAnsi="Arial"/>
                <w:sz w:val="20"/>
                <w:szCs w:val="20"/>
              </w:rPr>
              <w:t xml:space="preserve">DOJ/AFMLS</w:t>
            </w:r>
          </w:p>
        </w:tc>
        <w:tc>
          <w:tcPr>
            <w:tcW w:type="dxa" w:w="1600"/>
            <w:tcBorders>
              <w:top w:val="single" w:color="CCCCCC" w:sz="2"/>
              <w:left w:val="single" w:color="CCCCCC" w:sz="2"/>
              <w:bottom w:val="single" w:color="CCCCCC" w:sz="2"/>
              <w:right w:val="single" w:color="CCCCCC" w:sz="2"/>
            </w:tcBorders>
            <w:shd w:fill="E8EDF5" w:val="clear"/>
            <w:tcMar>
              <w:top w:type="dxa" w:w="60"/>
              <w:left w:type="dxa" w:w="100"/>
              <w:bottom w:type="dxa" w:w="60"/>
              <w:right w:type="dxa" w:w="100"/>
            </w:tcMar>
          </w:tcPr>
          <w:p>
            <w:pPr>
              <w:spacing w:before="0" w:after="0"/>
            </w:pPr>
            <w:r>
              <w:rPr>
                <w:rFonts w:ascii="Arial" w:cs="Arial" w:eastAsia="Arial" w:hAnsi="Arial"/>
                <w:sz w:val="20"/>
                <w:szCs w:val="20"/>
              </w:rPr>
              <w:t xml:space="preserve">DOJ/AFMLS; DOJ/NSD</w:t>
            </w:r>
          </w:p>
        </w:tc>
        <w:tc>
          <w:tcPr>
            <w:tcW w:type="dxa" w:w="1600"/>
            <w:tcBorders>
              <w:top w:val="single" w:color="CCCCCC" w:sz="2"/>
              <w:left w:val="single" w:color="CCCCCC" w:sz="2"/>
              <w:bottom w:val="single" w:color="CCCCCC" w:sz="2"/>
              <w:right w:val="single" w:color="CCCCCC" w:sz="2"/>
            </w:tcBorders>
            <w:shd w:fill="E8EDF5" w:val="clear"/>
            <w:tcMar>
              <w:top w:type="dxa" w:w="60"/>
              <w:left w:type="dxa" w:w="100"/>
              <w:bottom w:type="dxa" w:w="60"/>
              <w:right w:type="dxa" w:w="100"/>
            </w:tcMar>
          </w:tcPr>
          <w:p>
            <w:pPr>
              <w:spacing w:before="0" w:after="0"/>
            </w:pPr>
            <w:r>
              <w:rPr>
                <w:rFonts w:ascii="Arial" w:cs="Arial" w:eastAsia="Arial" w:hAnsi="Arial"/>
                <w:sz w:val="20"/>
                <w:szCs w:val="20"/>
              </w:rPr>
              <w:t xml:space="preserve">DOJ/AFMLS; DOJ/NSD</w:t>
            </w:r>
          </w:p>
        </w:tc>
        <w:tc>
          <w:tcPr>
            <w:tcW w:type="dxa" w:w="2440"/>
            <w:tcBorders>
              <w:top w:val="single" w:color="CCCCCC" w:sz="2"/>
              <w:left w:val="single" w:color="CCCCCC" w:sz="2"/>
              <w:bottom w:val="single" w:color="CCCCCC" w:sz="2"/>
              <w:right w:val="single" w:color="CCCCCC" w:sz="2"/>
            </w:tcBorders>
            <w:shd w:fill="E8EDF5" w:val="clear"/>
            <w:tcMar>
              <w:top w:type="dxa" w:w="60"/>
              <w:left w:type="dxa" w:w="100"/>
              <w:bottom w:type="dxa" w:w="60"/>
              <w:right w:type="dxa" w:w="100"/>
            </w:tcMar>
          </w:tcPr>
          <w:p>
            <w:pPr>
              <w:spacing w:before="0" w:after="0"/>
            </w:pPr>
            <w:r>
              <w:rPr>
                <w:rFonts w:ascii="Arial" w:cs="Arial" w:eastAsia="Arial" w:hAnsi="Arial"/>
                <w:sz w:val="20"/>
                <w:szCs w:val="20"/>
              </w:rPr>
              <w:t xml:space="preserve">AFMLS coordinates substitute asset seizure; Tier 2+ actions are assessed as requiring interagency record coordination to document multi-domain evidentiary basis in a single administrative record consistent with PERSIST-01 Section 4 standards for each applicable enforcement framework</w:t>
            </w:r>
          </w:p>
        </w:tc>
      </w:tr>
      <w:tr>
        <w:tc>
          <w:tcPr>
            <w:tcW w:type="dxa" w:w="140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 2339B / FTO Material Support (Ch. 4)</w:t>
            </w:r>
          </w:p>
        </w:tc>
        <w:tc>
          <w:tcPr>
            <w:tcW w:type="dxa" w:w="160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DOJ/NSD (cartel FTO context)</w:t>
            </w:r>
          </w:p>
        </w:tc>
        <w:tc>
          <w:tcPr>
            <w:tcW w:type="dxa" w:w="160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DOJ/NSD</w:t>
            </w:r>
          </w:p>
        </w:tc>
        <w:tc>
          <w:tcPr>
            <w:tcW w:type="dxa" w:w="160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DOJ/NSD (§ 2339D WMD context)</w:t>
            </w:r>
          </w:p>
        </w:tc>
        <w:tc>
          <w:tcPr>
            <w:tcW w:type="dxa" w:w="244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Available frameworks indicate that notice letters addressing shared suppliers are assessed as requiring documentation of FTO designation, end-user status, and precursor classification for each applicable domain simultaneously to establish constructive knowledge across all applicable enforcement frameworks</w:t>
            </w:r>
          </w:p>
        </w:tc>
      </w:tr>
      <w:tr>
        <w:tc>
          <w:tcPr>
            <w:tcW w:type="dxa" w:w="1400"/>
            <w:tcBorders>
              <w:top w:val="single" w:color="CCCCCC" w:sz="2"/>
              <w:left w:val="single" w:color="CCCCCC" w:sz="2"/>
              <w:bottom w:val="single" w:color="CCCCCC" w:sz="2"/>
              <w:right w:val="single" w:color="CCCCCC" w:sz="2"/>
            </w:tcBorders>
            <w:shd w:fill="E8EDF5" w:val="clear"/>
            <w:tcMar>
              <w:top w:type="dxa" w:w="60"/>
              <w:left w:type="dxa" w:w="100"/>
              <w:bottom w:type="dxa" w:w="60"/>
              <w:right w:type="dxa" w:w="100"/>
            </w:tcMar>
          </w:tcPr>
          <w:p>
            <w:pPr>
              <w:spacing w:before="0" w:after="0"/>
            </w:pPr>
            <w:r>
              <w:rPr>
                <w:rFonts w:ascii="Arial" w:cs="Arial" w:eastAsia="Arial" w:hAnsi="Arial"/>
                <w:sz w:val="20"/>
                <w:szCs w:val="20"/>
              </w:rPr>
              <w:t xml:space="preserve">Export Controls / Entity List / FDPR (Ch. 4)</w:t>
            </w:r>
          </w:p>
        </w:tc>
        <w:tc>
          <w:tcPr>
            <w:tcW w:type="dxa" w:w="1600"/>
            <w:tcBorders>
              <w:top w:val="single" w:color="CCCCCC" w:sz="2"/>
              <w:left w:val="single" w:color="CCCCCC" w:sz="2"/>
              <w:bottom w:val="single" w:color="CCCCCC" w:sz="2"/>
              <w:right w:val="single" w:color="CCCCCC" w:sz="2"/>
            </w:tcBorders>
            <w:shd w:fill="E8EDF5" w:val="clear"/>
            <w:tcMar>
              <w:top w:type="dxa" w:w="60"/>
              <w:left w:type="dxa" w:w="100"/>
              <w:bottom w:type="dxa" w:w="60"/>
              <w:right w:type="dxa" w:w="100"/>
            </w:tcMar>
          </w:tcPr>
          <w:p>
            <w:pPr>
              <w:spacing w:before="0" w:after="0"/>
            </w:pPr>
            <w:r>
              <w:rPr>
                <w:rFonts w:ascii="Arial" w:cs="Arial" w:eastAsia="Arial" w:hAnsi="Arial"/>
                <w:sz w:val="20"/>
                <w:szCs w:val="20"/>
              </w:rPr>
              <w:t xml:space="preserve">Commerce/BIS</w:t>
            </w:r>
          </w:p>
        </w:tc>
        <w:tc>
          <w:tcPr>
            <w:tcW w:type="dxa" w:w="1600"/>
            <w:tcBorders>
              <w:top w:val="single" w:color="CCCCCC" w:sz="2"/>
              <w:left w:val="single" w:color="CCCCCC" w:sz="2"/>
              <w:bottom w:val="single" w:color="CCCCCC" w:sz="2"/>
              <w:right w:val="single" w:color="CCCCCC" w:sz="2"/>
            </w:tcBorders>
            <w:shd w:fill="E8EDF5" w:val="clear"/>
            <w:tcMar>
              <w:top w:type="dxa" w:w="60"/>
              <w:left w:type="dxa" w:w="100"/>
              <w:bottom w:type="dxa" w:w="60"/>
              <w:right w:type="dxa" w:w="100"/>
            </w:tcMar>
          </w:tcPr>
          <w:p>
            <w:pPr>
              <w:spacing w:before="0" w:after="0"/>
            </w:pPr>
            <w:r>
              <w:rPr>
                <w:rFonts w:ascii="Arial" w:cs="Arial" w:eastAsia="Arial" w:hAnsi="Arial"/>
                <w:sz w:val="20"/>
                <w:szCs w:val="20"/>
              </w:rPr>
              <w:t xml:space="preserve">Commerce/BIS (dual-use technology)</w:t>
            </w:r>
          </w:p>
        </w:tc>
        <w:tc>
          <w:tcPr>
            <w:tcW w:type="dxa" w:w="1600"/>
            <w:tcBorders>
              <w:top w:val="single" w:color="CCCCCC" w:sz="2"/>
              <w:left w:val="single" w:color="CCCCCC" w:sz="2"/>
              <w:bottom w:val="single" w:color="CCCCCC" w:sz="2"/>
              <w:right w:val="single" w:color="CCCCCC" w:sz="2"/>
            </w:tcBorders>
            <w:shd w:fill="E8EDF5" w:val="clear"/>
            <w:tcMar>
              <w:top w:type="dxa" w:w="60"/>
              <w:left w:type="dxa" w:w="100"/>
              <w:bottom w:type="dxa" w:w="60"/>
              <w:right w:type="dxa" w:w="100"/>
            </w:tcMar>
          </w:tcPr>
          <w:p>
            <w:pPr>
              <w:spacing w:before="0" w:after="0"/>
            </w:pPr>
            <w:r>
              <w:rPr>
                <w:rFonts w:ascii="Arial" w:cs="Arial" w:eastAsia="Arial" w:hAnsi="Arial"/>
                <w:sz w:val="20"/>
                <w:szCs w:val="20"/>
              </w:rPr>
              <w:t xml:space="preserve">Commerce/BIS</w:t>
            </w:r>
          </w:p>
        </w:tc>
        <w:tc>
          <w:tcPr>
            <w:tcW w:type="dxa" w:w="2440"/>
            <w:tcBorders>
              <w:top w:val="single" w:color="CCCCCC" w:sz="2"/>
              <w:left w:val="single" w:color="CCCCCC" w:sz="2"/>
              <w:bottom w:val="single" w:color="CCCCCC" w:sz="2"/>
              <w:right w:val="single" w:color="CCCCCC" w:sz="2"/>
            </w:tcBorders>
            <w:shd w:fill="E8EDF5" w:val="clear"/>
            <w:tcMar>
              <w:top w:type="dxa" w:w="60"/>
              <w:left w:type="dxa" w:w="100"/>
              <w:bottom w:type="dxa" w:w="60"/>
              <w:right w:type="dxa" w:w="100"/>
            </w:tcMar>
          </w:tcPr>
          <w:p>
            <w:pPr>
              <w:spacing w:before="0" w:after="0"/>
            </w:pPr>
            <w:r>
              <w:rPr>
                <w:rFonts w:ascii="Arial" w:cs="Arial" w:eastAsia="Arial" w:hAnsi="Arial"/>
                <w:sz w:val="20"/>
                <w:szCs w:val="20"/>
              </w:rPr>
              <w:t xml:space="preserve">BIS Entity List additions are assessed as requiring documented evidentiary basis per PERSIST-01 Appendix A; cross-domain Entity List additions are assessed as requiring documentation of nexus to each applicable domain separately in the administrative record to sustain APA review</w:t>
            </w:r>
          </w:p>
        </w:tc>
      </w:tr>
      <w:tr>
        <w:tc>
          <w:tcPr>
            <w:tcW w:type="dxa" w:w="140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Maritime / Registry Enforcement (Ch. 7)</w:t>
            </w:r>
          </w:p>
        </w:tc>
        <w:tc>
          <w:tcPr>
            <w:tcW w:type="dxa" w:w="160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DEA/HSI (narcotics maritime)</w:t>
            </w:r>
          </w:p>
        </w:tc>
        <w:tc>
          <w:tcPr>
            <w:tcW w:type="dxa" w:w="160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State/CT; DHS/CBP</w:t>
            </w:r>
          </w:p>
        </w:tc>
        <w:tc>
          <w:tcPr>
            <w:tcW w:type="dxa" w:w="160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State/ISN; DHS/CBP; Coast Guard</w:t>
            </w:r>
          </w:p>
        </w:tc>
        <w:tc>
          <w:tcPr>
            <w:tcW w:type="dxa" w:w="244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Port access denial authority (46 U.S.C. § 70201) requires CBP coordination; registry designation impacts may affect vessels serving multiple domains — cross-domain designation may be more efficient than sequential domain-specific vessel actions</w:t>
            </w:r>
          </w:p>
        </w:tc>
      </w:tr>
      <w:tr>
        <w:tc>
          <w:tcPr>
            <w:tcW w:type="dxa" w:w="1400"/>
            <w:tcBorders>
              <w:top w:val="single" w:color="CCCCCC" w:sz="2"/>
              <w:left w:val="single" w:color="CCCCCC" w:sz="2"/>
              <w:bottom w:val="single" w:color="CCCCCC" w:sz="2"/>
              <w:right w:val="single" w:color="CCCCCC" w:sz="2"/>
            </w:tcBorders>
            <w:shd w:fill="E8EDF5" w:val="clear"/>
            <w:tcMar>
              <w:top w:type="dxa" w:w="60"/>
              <w:left w:type="dxa" w:w="100"/>
              <w:bottom w:type="dxa" w:w="60"/>
              <w:right w:type="dxa" w:w="100"/>
            </w:tcMar>
          </w:tcPr>
          <w:p>
            <w:pPr>
              <w:spacing w:before="0" w:after="0"/>
            </w:pPr>
            <w:r>
              <w:rPr>
                <w:rFonts w:ascii="Arial" w:cs="Arial" w:eastAsia="Arial" w:hAnsi="Arial"/>
                <w:sz w:val="20"/>
                <w:szCs w:val="20"/>
              </w:rPr>
              <w:t xml:space="preserve">Coalition Coordination</w:t>
            </w:r>
          </w:p>
        </w:tc>
        <w:tc>
          <w:tcPr>
            <w:tcW w:type="dxa" w:w="1600"/>
            <w:tcBorders>
              <w:top w:val="single" w:color="CCCCCC" w:sz="2"/>
              <w:left w:val="single" w:color="CCCCCC" w:sz="2"/>
              <w:bottom w:val="single" w:color="CCCCCC" w:sz="2"/>
              <w:right w:val="single" w:color="CCCCCC" w:sz="2"/>
            </w:tcBorders>
            <w:shd w:fill="E8EDF5" w:val="clear"/>
            <w:tcMar>
              <w:top w:type="dxa" w:w="60"/>
              <w:left w:type="dxa" w:w="100"/>
              <w:bottom w:type="dxa" w:w="60"/>
              <w:right w:type="dxa" w:w="100"/>
            </w:tcMar>
          </w:tcPr>
          <w:p>
            <w:pPr>
              <w:spacing w:before="0" w:after="0"/>
            </w:pPr>
            <w:r>
              <w:rPr>
                <w:rFonts w:ascii="Arial" w:cs="Arial" w:eastAsia="Arial" w:hAnsi="Arial"/>
                <w:sz w:val="20"/>
                <w:szCs w:val="20"/>
              </w:rPr>
              <w:t xml:space="preserve">State/INL (narcotics bilateral)</w:t>
            </w:r>
          </w:p>
        </w:tc>
        <w:tc>
          <w:tcPr>
            <w:tcW w:type="dxa" w:w="1600"/>
            <w:tcBorders>
              <w:top w:val="single" w:color="CCCCCC" w:sz="2"/>
              <w:left w:val="single" w:color="CCCCCC" w:sz="2"/>
              <w:bottom w:val="single" w:color="CCCCCC" w:sz="2"/>
              <w:right w:val="single" w:color="CCCCCC" w:sz="2"/>
            </w:tcBorders>
            <w:shd w:fill="E8EDF5" w:val="clear"/>
            <w:tcMar>
              <w:top w:type="dxa" w:w="60"/>
              <w:left w:type="dxa" w:w="100"/>
              <w:bottom w:type="dxa" w:w="60"/>
              <w:right w:type="dxa" w:w="100"/>
            </w:tcMar>
          </w:tcPr>
          <w:p>
            <w:pPr>
              <w:spacing w:before="0" w:after="0"/>
            </w:pPr>
            <w:r>
              <w:rPr>
                <w:rFonts w:ascii="Arial" w:cs="Arial" w:eastAsia="Arial" w:hAnsi="Arial"/>
                <w:sz w:val="20"/>
                <w:szCs w:val="20"/>
              </w:rPr>
              <w:t xml:space="preserve">State/CT (CT bilateral)</w:t>
            </w:r>
          </w:p>
        </w:tc>
        <w:tc>
          <w:tcPr>
            <w:tcW w:type="dxa" w:w="1600"/>
            <w:tcBorders>
              <w:top w:val="single" w:color="CCCCCC" w:sz="2"/>
              <w:left w:val="single" w:color="CCCCCC" w:sz="2"/>
              <w:bottom w:val="single" w:color="CCCCCC" w:sz="2"/>
              <w:right w:val="single" w:color="CCCCCC" w:sz="2"/>
            </w:tcBorders>
            <w:shd w:fill="E8EDF5" w:val="clear"/>
            <w:tcMar>
              <w:top w:type="dxa" w:w="60"/>
              <w:left w:type="dxa" w:w="100"/>
              <w:bottom w:type="dxa" w:w="60"/>
              <w:right w:type="dxa" w:w="100"/>
            </w:tcMar>
          </w:tcPr>
          <w:p>
            <w:pPr>
              <w:spacing w:before="0" w:after="0"/>
            </w:pPr>
            <w:r>
              <w:rPr>
                <w:rFonts w:ascii="Arial" w:cs="Arial" w:eastAsia="Arial" w:hAnsi="Arial"/>
                <w:sz w:val="20"/>
                <w:szCs w:val="20"/>
              </w:rPr>
              <w:t xml:space="preserve">State/ISN (non-proliferation bilateral)</w:t>
            </w:r>
          </w:p>
        </w:tc>
        <w:tc>
          <w:tcPr>
            <w:tcW w:type="dxa" w:w="2440"/>
            <w:tcBorders>
              <w:top w:val="single" w:color="CCCCCC" w:sz="2"/>
              <w:left w:val="single" w:color="CCCCCC" w:sz="2"/>
              <w:bottom w:val="single" w:color="CCCCCC" w:sz="2"/>
              <w:right w:val="single" w:color="CCCCCC" w:sz="2"/>
            </w:tcBorders>
            <w:shd w:fill="E8EDF5" w:val="clear"/>
            <w:tcMar>
              <w:top w:type="dxa" w:w="60"/>
              <w:left w:type="dxa" w:w="100"/>
              <w:bottom w:type="dxa" w:w="60"/>
              <w:right w:type="dxa" w:w="100"/>
            </w:tcMar>
          </w:tcPr>
          <w:p>
            <w:pPr>
              <w:spacing w:before="0" w:after="0"/>
            </w:pPr>
            <w:r>
              <w:rPr>
                <w:rFonts w:ascii="Arial" w:cs="Arial" w:eastAsia="Arial" w:hAnsi="Arial"/>
                <w:sz w:val="20"/>
                <w:szCs w:val="20"/>
              </w:rPr>
              <w:t xml:space="preserve">FATF plenary is the primary multilateral coordination mechanism for all three domains simultaneously; bilateral coordination requires State/INL, CT, and ISN coordination to avoid conflicting coalition engagement timelines</w:t>
            </w:r>
          </w:p>
        </w:tc>
      </w:tr>
      <w:tr>
        <w:tc>
          <w:tcPr>
            <w:tcW w:type="dxa" w:w="140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Whistleblower Program Administration (§ 5323)</w:t>
            </w:r>
          </w:p>
        </w:tc>
        <w:tc>
          <w:tcPr>
            <w:tcW w:type="dxa" w:w="160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FinCEN (AML/BSA context)</w:t>
            </w:r>
          </w:p>
        </w:tc>
        <w:tc>
          <w:tcPr>
            <w:tcW w:type="dxa" w:w="160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FinCEN; DOJ/NSD</w:t>
            </w:r>
          </w:p>
        </w:tc>
        <w:tc>
          <w:tcPr>
            <w:tcW w:type="dxa" w:w="160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FinCEN; DOJ/NSD</w:t>
            </w:r>
          </w:p>
        </w:tc>
        <w:tc>
          <w:tcPr>
            <w:tcW w:type="dxa" w:w="244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Cross-domain shared node designation is assessed as likely to increase the potential whistleblower payout by increasing the total forfeiture base across applicable domains; available program structures indicate that multilingual outreach specifying all applicable enforcement frameworks may maximize disclosure scope relative to single-domain program framing</w:t>
            </w:r>
          </w:p>
        </w:tc>
      </w:tr>
    </w:tbl>
    <w:p>
      <w:pPr>
        <w:spacing w:before="60" w:after="120"/>
      </w:pPr>
      <w:r>
        <w:rPr>
          <w:rFonts w:ascii="Arial" w:cs="Arial" w:eastAsia="Arial" w:hAnsi="Arial"/>
          <w:i/>
          <w:iCs/>
          <w:color w:val="4A5568"/>
          <w:sz w:val="18"/>
          <w:szCs w:val="18"/>
        </w:rPr>
        <w:t xml:space="preserve">Table 2: Interagency Coordination Structure by Channel and Domain. Lead agencies are identified based on published statutory authority assignments and documented interagency coordination precedents. Cross-domain coordination notes identify where single-domain coordination structures require modification for cross-domain deployment. This table reflects publicly documented agency authorities; it does not describe classified coordination structures.</w:t>
      </w:r>
    </w:p>
    <w:p>
      <w:pPr>
        <w:spacing w:before="0" w:after="80"/>
      </w:pPr>
      <w:r>
        <w:rPr>
          <w:sz w:val="2"/>
          <w:szCs w:val="2"/>
        </w:rPr>
        <w:t xml:space="preserve"/>
      </w:r>
    </w:p>
    <w:p>
      <w:pPr>
        <w:pStyle w:val="Heading2"/>
        <w:spacing w:before="240" w:after="80"/>
      </w:pPr>
      <w:r>
        <w:rPr>
          <w:rFonts w:ascii="Arial" w:cs="Arial" w:eastAsia="Arial" w:hAnsi="Arial"/>
          <w:b/>
          <w:bCs/>
          <w:color w:val="1B2A4A"/>
          <w:sz w:val="24"/>
          <w:szCs w:val="24"/>
        </w:rPr>
        <w:t xml:space="preserve">4.2 Coordination Compounding Under Cross-Domain Deployment</w:t>
      </w:r>
    </w:p>
    <w:p>
      <w:pPr>
        <w:spacing w:before="60" w:after="120"/>
        <w:jc w:val="both"/>
      </w:pPr>
      <w:r>
        <w:rPr>
          <w:rFonts w:ascii="Arial" w:cs="Arial" w:eastAsia="Arial" w:hAnsi="Arial"/>
          <w:b w:val="false"/>
          <w:bCs w:val="false"/>
          <w:i w:val="false"/>
          <w:iCs w:val="false"/>
          <w:color w:val="000000"/>
          <w:sz w:val="22"/>
          <w:szCs w:val="22"/>
        </w:rPr>
        <w:t xml:space="preserve">Cross-domain simultaneous deployment compounds coordination requirements in three specific ways that single-domain frameworks do not face.</w:t>
      </w:r>
    </w:p>
    <w:p>
      <w:pPr>
        <w:spacing w:before="60" w:after="120"/>
        <w:jc w:val="both"/>
      </w:pPr>
      <w:r>
        <w:rPr>
          <w:rFonts w:ascii="Arial" w:cs="Arial" w:eastAsia="Arial" w:hAnsi="Arial"/>
          <w:b w:val="false"/>
          <w:bCs w:val="false"/>
          <w:i w:val="false"/>
          <w:iCs w:val="false"/>
          <w:color w:val="000000"/>
          <w:sz w:val="22"/>
          <w:szCs w:val="22"/>
        </w:rPr>
        <w:t xml:space="preserve">First, administrative record compounding. A cross-domain designation action against a shared infrastructure node must satisfy the evidentiary standard under each applicable enforcement framework simultaneously. An SDN designation that documents only the node's narcotics financing role will not produce cross-domain enforcement effects under E.O. 13382 (proliferation) or E.O. 13224 (terrorism). The administrative record must document the node's role in all applicable domains to achieve cross-domain designation. This requires that the Layer 2 financial pathway analysis (WP-2026-SENI-ARCH-01 Section II) be completed for the node across all applicable domains before the Gate 2 administrative record pre-positioning requirement is satisfied.</w:t>
      </w:r>
    </w:p>
    <w:p>
      <w:pPr>
        <w:spacing w:before="60" w:after="120"/>
        <w:jc w:val="both"/>
      </w:pPr>
      <w:r>
        <w:rPr>
          <w:rFonts w:ascii="Arial" w:cs="Arial" w:eastAsia="Arial" w:hAnsi="Arial"/>
          <w:b w:val="false"/>
          <w:bCs w:val="false"/>
          <w:i w:val="false"/>
          <w:iCs w:val="false"/>
          <w:color w:val="000000"/>
          <w:sz w:val="22"/>
          <w:szCs w:val="22"/>
        </w:rPr>
        <w:t xml:space="preserve">Second, coalition coordination compounding. Each domain's enforcement architecture has different primary coalition partners — State/INL coordinates narcotics bilateral engagement, State/CT coordinates counterterrorism bilateral engagement, State/ISN coordinates nonproliferation bilateral engagement. For cross-domain shared node enforcement, all three bilateral coordination tracks must reach the Gate 3 supported determination standard simultaneously for the same jurisdiction. Misalignment in any one track removes the coalition-dependent channels for that domain from the analytically supported scope.</w:t>
      </w:r>
    </w:p>
    <w:p>
      <w:pPr>
        <w:spacing w:before="60" w:after="120"/>
        <w:jc w:val="both"/>
      </w:pPr>
      <w:r>
        <w:rPr>
          <w:rFonts w:ascii="Arial" w:cs="Arial" w:eastAsia="Arial" w:hAnsi="Arial"/>
          <w:b w:val="false"/>
          <w:bCs w:val="false"/>
          <w:i w:val="false"/>
          <w:iCs w:val="false"/>
          <w:color w:val="000000"/>
          <w:sz w:val="22"/>
          <w:szCs w:val="22"/>
        </w:rPr>
        <w:t xml:space="preserve">Third, continuity commitment compounding. Gate 5 continuity assessment requires 12 to 18 months of confirmed resource and authorization availability per WP-2026-SIEGE-01. For cross-domain deployment, this commitment spans multiple agency enforcement programs and budget cycles. A continuity interruption in one domain's enforcement program affects the shared node designation's analytical support across all domains, not only the domain experiencing the interruption.</w:t>
      </w:r>
    </w:p>
    <w:p>
      <w:pPr>
        <w:spacing w:before="0" w:after="160"/>
      </w:pPr>
      <w:r>
        <w:rPr>
          <w:sz w:val="2"/>
          <w:szCs w:val="2"/>
        </w:rPr>
        <w:t xml:space="preserve"/>
      </w:r>
    </w:p>
    <w:p>
      <w:pPr>
        <w:pStyle w:val="Heading1"/>
        <w:spacing w:before="360" w:after="120"/>
      </w:pPr>
      <w:r>
        <w:rPr>
          <w:rFonts w:ascii="Arial" w:cs="Arial" w:eastAsia="Arial" w:hAnsi="Arial"/>
          <w:b/>
          <w:bCs/>
          <w:color w:val="1B2A4A"/>
          <w:sz w:val="30"/>
          <w:szCs w:val="30"/>
        </w:rPr>
        <w:t xml:space="preserve">Part V: Analytical Readiness Staging</w:t>
      </w:r>
    </w:p>
    <w:p>
      <w:pPr>
        <w:spacing w:before="60" w:after="120"/>
        <w:jc w:val="both"/>
      </w:pPr>
      <w:r>
        <w:rPr>
          <w:rFonts w:ascii="Arial" w:cs="Arial" w:eastAsia="Arial" w:hAnsi="Arial"/>
          <w:b w:val="false"/>
          <w:bCs w:val="false"/>
          <w:i w:val="false"/>
          <w:iCs w:val="false"/>
          <w:color w:val="000000"/>
          <w:sz w:val="22"/>
          <w:szCs w:val="22"/>
        </w:rPr>
        <w:t xml:space="preserve">This section describes the analytical readiness conditions that must be satisfied before cross-domain simultaneous deployment is analytically supported. It replaces the calendar-based phased implementation roadmap that appeared in prior UNIFIED-01 drafts. The distinction is analytically significant: calendar-based sequencing assumes enforcement will proceed on a predetermined timeline regardless of whether the gate conditions specified in WP-2026-SIEGE-01 Part II are satisfied. Analytical readiness staging specifies what conditions must be met for deployment to be analytically supported; it does not assume a timeline.</w:t>
      </w:r>
    </w:p>
    <w:p>
      <w:pPr>
        <w:spacing w:before="60" w:after="120"/>
        <w:jc w:val="both"/>
      </w:pPr>
      <w:r>
        <w:rPr>
          <w:rFonts w:ascii="Arial" w:cs="Arial" w:eastAsia="Arial" w:hAnsi="Arial"/>
          <w:b w:val="false"/>
          <w:bCs w:val="false"/>
          <w:i w:val="false"/>
          <w:iCs w:val="false"/>
          <w:color w:val="000000"/>
          <w:sz w:val="22"/>
          <w:szCs w:val="22"/>
        </w:rPr>
        <w:t xml:space="preserve">The analytical readiness assessment is more demanding for cross-domain deployment than for single-domain deployment because all five gate conditions must be independently satisfied for each domain's target network, and the administrative records must be coordinated across domains before Channel 1 action is taken for any domain. A readiness assessment that finds all conditions met for narcotics domain but Gate 3 unsupported for the proliferation domain means that cross-domain simultaneous deployment is not analytically supported; the narcotics domain can proceed as a single-domain deployment, but the cross-domain efficiency claim cannot be made until proliferation domain conditions are met.</w:t>
      </w:r>
    </w:p>
    <w:p>
      <w:pPr>
        <w:pStyle w:val="Heading2"/>
        <w:spacing w:before="240" w:after="80"/>
      </w:pPr>
      <w:r>
        <w:rPr>
          <w:rFonts w:ascii="Arial" w:cs="Arial" w:eastAsia="Arial" w:hAnsi="Arial"/>
          <w:b/>
          <w:bCs/>
          <w:color w:val="1B2A4A"/>
          <w:sz w:val="24"/>
          <w:szCs w:val="24"/>
        </w:rPr>
        <w:t xml:space="preserve">5.1 Readiness Conditions by Domain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600"/>
        <w:gridCol w:w="3840"/>
      </w:tblGrid>
      <w:tr>
        <w:trPr>
          <w:tblHeader/>
        </w:trPr>
        <w:tc>
          <w:tcPr>
            <w:tcW w:type="dxa" w:w="1600"/>
            <w:tcBorders>
              <w:top w:val="single" w:color="1B2A4A" w:sz="4"/>
              <w:left w:val="single" w:color="1B2A4A" w:sz="4"/>
              <w:bottom w:val="single" w:color="1B2A4A" w:sz="4"/>
              <w:right w:val="single" w:color="1B2A4A" w:sz="4"/>
            </w:tcBorders>
            <w:shd w:fill="1B2A4A"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Readiness Condition</w:t>
            </w:r>
          </w:p>
        </w:tc>
        <w:tc>
          <w:tcPr>
            <w:tcW w:type="dxa" w:w="1600"/>
            <w:tcBorders>
              <w:top w:val="single" w:color="1B2A4A" w:sz="4"/>
              <w:left w:val="single" w:color="1B2A4A" w:sz="4"/>
              <w:bottom w:val="single" w:color="1B2A4A" w:sz="4"/>
              <w:right w:val="single" w:color="1B2A4A" w:sz="4"/>
            </w:tcBorders>
            <w:shd w:fill="1B2A4A"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Narcotics Domain</w:t>
            </w:r>
          </w:p>
        </w:tc>
        <w:tc>
          <w:tcPr>
            <w:tcW w:type="dxa" w:w="1600"/>
            <w:tcBorders>
              <w:top w:val="single" w:color="1B2A4A" w:sz="4"/>
              <w:left w:val="single" w:color="1B2A4A" w:sz="4"/>
              <w:bottom w:val="single" w:color="1B2A4A" w:sz="4"/>
              <w:right w:val="single" w:color="1B2A4A" w:sz="4"/>
            </w:tcBorders>
            <w:shd w:fill="1B2A4A"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Terrorist Finance Domain</w:t>
            </w:r>
          </w:p>
        </w:tc>
        <w:tc>
          <w:tcPr>
            <w:tcW w:type="dxa" w:w="3840"/>
            <w:tcBorders>
              <w:top w:val="single" w:color="1B2A4A" w:sz="4"/>
              <w:left w:val="single" w:color="1B2A4A" w:sz="4"/>
              <w:bottom w:val="single" w:color="1B2A4A" w:sz="4"/>
              <w:right w:val="single" w:color="1B2A4A" w:sz="4"/>
            </w:tcBorders>
            <w:shd w:fill="1B2A4A"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Proliferation Finance Domain</w:t>
            </w:r>
          </w:p>
        </w:tc>
      </w:tr>
      <w:tr>
        <w:tc>
          <w:tcPr>
            <w:tcW w:type="dxa" w:w="160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Gate 1 — Tier Classification</w:t>
            </w:r>
          </w:p>
        </w:tc>
        <w:tc>
          <w:tcPr>
            <w:tcW w:type="dxa" w:w="160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Cartel network USD-corridor dependency profile documented at Gate 1 evidentiary standard; FTO designation confirming § 2339B applicability</w:t>
            </w:r>
          </w:p>
        </w:tc>
        <w:tc>
          <w:tcPr>
            <w:tcW w:type="dxa" w:w="160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SDGT-designated network financial infrastructure Tier classification complete; hawala/cryptocurrency pathway documentation</w:t>
            </w:r>
          </w:p>
        </w:tc>
        <w:tc>
          <w:tcPr>
            <w:tcW w:type="dxa" w:w="384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Target proliferation network Tier classification complete; where PRC financial institution involved, NEXUS/CSE-01 state-nexus attribution required per WP-2026-SAM-01 Part IX</w:t>
            </w:r>
          </w:p>
        </w:tc>
      </w:tr>
      <w:tr>
        <w:tc>
          <w:tcPr>
            <w:tcW w:type="dxa" w:w="1600"/>
            <w:tcBorders>
              <w:top w:val="single" w:color="CCCCCC" w:sz="2"/>
              <w:left w:val="single" w:color="CCCCCC" w:sz="2"/>
              <w:bottom w:val="single" w:color="CCCCCC" w:sz="2"/>
              <w:right w:val="single" w:color="CCCCCC" w:sz="2"/>
            </w:tcBorders>
            <w:shd w:fill="E8EDF5" w:val="clear"/>
            <w:tcMar>
              <w:top w:type="dxa" w:w="60"/>
              <w:left w:type="dxa" w:w="100"/>
              <w:bottom w:type="dxa" w:w="60"/>
              <w:right w:type="dxa" w:w="100"/>
            </w:tcMar>
          </w:tcPr>
          <w:p>
            <w:pPr>
              <w:spacing w:before="0" w:after="0"/>
            </w:pPr>
            <w:r>
              <w:rPr>
                <w:rFonts w:ascii="Arial" w:cs="Arial" w:eastAsia="Arial" w:hAnsi="Arial"/>
                <w:sz w:val="20"/>
                <w:szCs w:val="20"/>
              </w:rPr>
              <w:t xml:space="preserve">Gate 2 — Record Pre-Positioning</w:t>
            </w:r>
          </w:p>
        </w:tc>
        <w:tc>
          <w:tcPr>
            <w:tcW w:type="dxa" w:w="1600"/>
            <w:tcBorders>
              <w:top w:val="single" w:color="CCCCCC" w:sz="2"/>
              <w:left w:val="single" w:color="CCCCCC" w:sz="2"/>
              <w:bottom w:val="single" w:color="CCCCCC" w:sz="2"/>
              <w:right w:val="single" w:color="CCCCCC" w:sz="2"/>
            </w:tcBorders>
            <w:shd w:fill="E8EDF5" w:val="clear"/>
            <w:tcMar>
              <w:top w:type="dxa" w:w="60"/>
              <w:left w:type="dxa" w:w="100"/>
              <w:bottom w:type="dxa" w:w="60"/>
              <w:right w:type="dxa" w:w="100"/>
            </w:tcMar>
          </w:tcPr>
          <w:p>
            <w:pPr>
              <w:spacing w:before="0" w:after="0"/>
            </w:pPr>
            <w:r>
              <w:rPr>
                <w:rFonts w:ascii="Arial" w:cs="Arial" w:eastAsia="Arial" w:hAnsi="Arial"/>
                <w:sz w:val="20"/>
                <w:szCs w:val="20"/>
              </w:rPr>
              <w:t xml:space="preserve">Layer 2 financial pathway analysis (SENI-ARCH-01 L2) complete for identified shared nodes; § 2339B notice letters issued to identified precursor suppliers; FDPR nexus documented for Entity List candidates</w:t>
            </w:r>
          </w:p>
        </w:tc>
        <w:tc>
          <w:tcPr>
            <w:tcW w:type="dxa" w:w="1600"/>
            <w:tcBorders>
              <w:top w:val="single" w:color="CCCCCC" w:sz="2"/>
              <w:left w:val="single" w:color="CCCCCC" w:sz="2"/>
              <w:bottom w:val="single" w:color="CCCCCC" w:sz="2"/>
              <w:right w:val="single" w:color="CCCCCC" w:sz="2"/>
            </w:tcBorders>
            <w:shd w:fill="E8EDF5" w:val="clear"/>
            <w:tcMar>
              <w:top w:type="dxa" w:w="60"/>
              <w:left w:type="dxa" w:w="100"/>
              <w:bottom w:type="dxa" w:w="60"/>
              <w:right w:type="dxa" w:w="100"/>
            </w:tcMar>
          </w:tcPr>
          <w:p>
            <w:pPr>
              <w:spacing w:before="0" w:after="0"/>
            </w:pPr>
            <w:r>
              <w:rPr>
                <w:rFonts w:ascii="Arial" w:cs="Arial" w:eastAsia="Arial" w:hAnsi="Arial"/>
                <w:sz w:val="20"/>
                <w:szCs w:val="20"/>
              </w:rPr>
              <w:t xml:space="preserve">SDGT designation administrative records complete; class designation basis documented for identified hawala corridors; OFAC DCA records complete for identified wallet addresses</w:t>
            </w:r>
          </w:p>
        </w:tc>
        <w:tc>
          <w:tcPr>
            <w:tcW w:type="dxa" w:w="3840"/>
            <w:tcBorders>
              <w:top w:val="single" w:color="CCCCCC" w:sz="2"/>
              <w:left w:val="single" w:color="CCCCCC" w:sz="2"/>
              <w:bottom w:val="single" w:color="CCCCCC" w:sz="2"/>
              <w:right w:val="single" w:color="CCCCCC" w:sz="2"/>
            </w:tcBorders>
            <w:shd w:fill="E8EDF5" w:val="clear"/>
            <w:tcMar>
              <w:top w:type="dxa" w:w="60"/>
              <w:left w:type="dxa" w:w="100"/>
              <w:bottom w:type="dxa" w:w="60"/>
              <w:right w:type="dxa" w:w="100"/>
            </w:tcMar>
          </w:tcPr>
          <w:p>
            <w:pPr>
              <w:spacing w:before="0" w:after="0"/>
            </w:pPr>
            <w:r>
              <w:rPr>
                <w:rFonts w:ascii="Arial" w:cs="Arial" w:eastAsia="Arial" w:hAnsi="Arial"/>
                <w:sz w:val="20"/>
                <w:szCs w:val="20"/>
              </w:rPr>
              <w:t xml:space="preserve">E.O. 13382 designation records complete; FDPR analysis complete for identified technology supply chains; § 2339D basis documented where applicable; cross-domain administrative record coordinated across all applicable EO frameworks</w:t>
            </w:r>
          </w:p>
        </w:tc>
      </w:tr>
      <w:tr>
        <w:tc>
          <w:tcPr>
            <w:tcW w:type="dxa" w:w="160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Gate 3 — Coalition Status</w:t>
            </w:r>
          </w:p>
        </w:tc>
        <w:tc>
          <w:tcPr>
            <w:tcW w:type="dxa" w:w="160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State/INL confirmed active participation from key narcotics corridor jurisdictions; secondary sanctions notices issued to identified non-cooperative exchange houses</w:t>
            </w:r>
          </w:p>
        </w:tc>
        <w:tc>
          <w:tcPr>
            <w:tcW w:type="dxa" w:w="160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State/CT confirmed bilateral engagement at operational commitment level from key hawala corridor jurisdictions; FATF plenary coordination initiated</w:t>
            </w:r>
          </w:p>
        </w:tc>
        <w:tc>
          <w:tcPr>
            <w:tcW w:type="dxa" w:w="384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State/ISN confirmed bilateral engagement from key proliferation network jurisdictions; non-proliferation regime coordination (PSI, NSG) initiated where applicable</w:t>
            </w:r>
          </w:p>
        </w:tc>
      </w:tr>
      <w:tr>
        <w:tc>
          <w:tcPr>
            <w:tcW w:type="dxa" w:w="1600"/>
            <w:tcBorders>
              <w:top w:val="single" w:color="CCCCCC" w:sz="2"/>
              <w:left w:val="single" w:color="CCCCCC" w:sz="2"/>
              <w:bottom w:val="single" w:color="CCCCCC" w:sz="2"/>
              <w:right w:val="single" w:color="CCCCCC" w:sz="2"/>
            </w:tcBorders>
            <w:shd w:fill="E8EDF5" w:val="clear"/>
            <w:tcMar>
              <w:top w:type="dxa" w:w="60"/>
              <w:left w:type="dxa" w:w="100"/>
              <w:bottom w:type="dxa" w:w="60"/>
              <w:right w:type="dxa" w:w="100"/>
            </w:tcMar>
          </w:tcPr>
          <w:p>
            <w:pPr>
              <w:spacing w:before="0" w:after="0"/>
            </w:pPr>
            <w:r>
              <w:rPr>
                <w:rFonts w:ascii="Arial" w:cs="Arial" w:eastAsia="Arial" w:hAnsi="Arial"/>
                <w:sz w:val="20"/>
                <w:szCs w:val="20"/>
              </w:rPr>
              <w:t xml:space="preserve">Gate 4 — Parallel Disruption</w:t>
            </w:r>
          </w:p>
        </w:tc>
        <w:tc>
          <w:tcPr>
            <w:tcW w:type="dxa" w:w="1600"/>
            <w:tcBorders>
              <w:top w:val="single" w:color="CCCCCC" w:sz="2"/>
              <w:left w:val="single" w:color="CCCCCC" w:sz="2"/>
              <w:bottom w:val="single" w:color="CCCCCC" w:sz="2"/>
              <w:right w:val="single" w:color="CCCCCC" w:sz="2"/>
            </w:tcBorders>
            <w:shd w:fill="E8EDF5" w:val="clear"/>
            <w:tcMar>
              <w:top w:type="dxa" w:w="60"/>
              <w:left w:type="dxa" w:w="100"/>
              <w:bottom w:type="dxa" w:w="60"/>
              <w:right w:type="dxa" w:w="100"/>
            </w:tcMar>
          </w:tcPr>
          <w:p>
            <w:pPr>
              <w:spacing w:before="0" w:after="0"/>
            </w:pPr>
            <w:r>
              <w:rPr>
                <w:rFonts w:ascii="Arial" w:cs="Arial" w:eastAsia="Arial" w:hAnsi="Arial"/>
                <w:sz w:val="20"/>
                <w:szCs w:val="20"/>
              </w:rPr>
              <w:t xml:space="preserve">DOJ/DEA prosecution preparation for identified cartel organizational leadership confirmed; civil asset forfeiture targeting cartel organizational capital prepared</w:t>
            </w:r>
          </w:p>
        </w:tc>
        <w:tc>
          <w:tcPr>
            <w:tcW w:type="dxa" w:w="1600"/>
            <w:tcBorders>
              <w:top w:val="single" w:color="CCCCCC" w:sz="2"/>
              <w:left w:val="single" w:color="CCCCCC" w:sz="2"/>
              <w:bottom w:val="single" w:color="CCCCCC" w:sz="2"/>
              <w:right w:val="single" w:color="CCCCCC" w:sz="2"/>
            </w:tcBorders>
            <w:shd w:fill="E8EDF5" w:val="clear"/>
            <w:tcMar>
              <w:top w:type="dxa" w:w="60"/>
              <w:left w:type="dxa" w:w="100"/>
              <w:bottom w:type="dxa" w:w="60"/>
              <w:right w:type="dxa" w:w="100"/>
            </w:tcMar>
          </w:tcPr>
          <w:p>
            <w:pPr>
              <w:spacing w:before="0" w:after="0"/>
            </w:pPr>
            <w:r>
              <w:rPr>
                <w:rFonts w:ascii="Arial" w:cs="Arial" w:eastAsia="Arial" w:hAnsi="Arial"/>
                <w:sz w:val="20"/>
                <w:szCs w:val="20"/>
              </w:rPr>
              <w:t xml:space="preserve">DOJ/NSD prosecution preparation for identified SDGT organization leadership confirmed; material support prosecution framework prepared using established notice record</w:t>
            </w:r>
          </w:p>
        </w:tc>
        <w:tc>
          <w:tcPr>
            <w:tcW w:type="dxa" w:w="3840"/>
            <w:tcBorders>
              <w:top w:val="single" w:color="CCCCCC" w:sz="2"/>
              <w:left w:val="single" w:color="CCCCCC" w:sz="2"/>
              <w:bottom w:val="single" w:color="CCCCCC" w:sz="2"/>
              <w:right w:val="single" w:color="CCCCCC" w:sz="2"/>
            </w:tcBorders>
            <w:shd w:fill="E8EDF5" w:val="clear"/>
            <w:tcMar>
              <w:top w:type="dxa" w:w="60"/>
              <w:left w:type="dxa" w:w="100"/>
              <w:bottom w:type="dxa" w:w="60"/>
              <w:right w:type="dxa" w:w="100"/>
            </w:tcMar>
          </w:tcPr>
          <w:p>
            <w:pPr>
              <w:spacing w:before="0" w:after="0"/>
            </w:pPr>
            <w:r>
              <w:rPr>
                <w:rFonts w:ascii="Arial" w:cs="Arial" w:eastAsia="Arial" w:hAnsi="Arial"/>
                <w:sz w:val="20"/>
                <w:szCs w:val="20"/>
              </w:rPr>
              <w:t xml:space="preserve">DOJ/NSD prosecution preparation under § 2339D confirmed; interagency consequence analysis for organizational disruption of proliferation network completed</w:t>
            </w:r>
          </w:p>
        </w:tc>
      </w:tr>
      <w:tr>
        <w:tc>
          <w:tcPr>
            <w:tcW w:type="dxa" w:w="160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Gate 5 — Continuity Commitment</w:t>
            </w:r>
          </w:p>
        </w:tc>
        <w:tc>
          <w:tcPr>
            <w:tcW w:type="dxa" w:w="160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All lead agencies for narcotics domain channels confirm 12-18 month resource and authorization availability</w:t>
            </w:r>
          </w:p>
        </w:tc>
        <w:tc>
          <w:tcPr>
            <w:tcW w:type="dxa" w:w="160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All lead agencies for terrorist finance domain channels confirm 12-18 month resource and authorization availability</w:t>
            </w:r>
          </w:p>
        </w:tc>
        <w:tc>
          <w:tcPr>
            <w:tcW w:type="dxa" w:w="3840"/>
            <w:tcBorders>
              <w:top w:val="single" w:color="CCCCCC" w:sz="2"/>
              <w:left w:val="single" w:color="CCCCCC" w:sz="2"/>
              <w:bottom w:val="single" w:color="CCCCCC" w:sz="2"/>
              <w:right w:val="single" w:color="CCCCCC" w:sz="2"/>
            </w:tcBorders>
            <w:shd w:fill="FAFAFA" w:val="clear"/>
            <w:tcMar>
              <w:top w:type="dxa" w:w="60"/>
              <w:left w:type="dxa" w:w="100"/>
              <w:bottom w:type="dxa" w:w="60"/>
              <w:right w:type="dxa" w:w="100"/>
            </w:tcMar>
          </w:tcPr>
          <w:p>
            <w:pPr>
              <w:spacing w:before="0" w:after="0"/>
            </w:pPr>
            <w:r>
              <w:rPr>
                <w:rFonts w:ascii="Arial" w:cs="Arial" w:eastAsia="Arial" w:hAnsi="Arial"/>
                <w:sz w:val="20"/>
                <w:szCs w:val="20"/>
              </w:rPr>
              <w:t xml:space="preserve">All lead agencies for proliferation finance domain channels confirm 12-18 month resource and authorization availability</w:t>
            </w:r>
          </w:p>
        </w:tc>
      </w:tr>
    </w:tbl>
    <w:p>
      <w:pPr>
        <w:spacing w:before="60" w:after="120"/>
      </w:pPr>
      <w:r>
        <w:rPr>
          <w:rFonts w:ascii="Arial" w:cs="Arial" w:eastAsia="Arial" w:hAnsi="Arial"/>
          <w:i/>
          <w:iCs/>
          <w:color w:val="4A5568"/>
          <w:sz w:val="18"/>
          <w:szCs w:val="18"/>
        </w:rPr>
        <w:t xml:space="preserve">Table 3: Analytical Readiness Conditions by Domain. Cross-domain simultaneous deployment is analytically supported when all five gate conditions are independently satisfied for all three domains simultaneously. Partial readiness — conditions met for some but not all domains — supports single-domain or reduced-scope deployment under the framework scope determined by the satisfied conditions, not cross-domain simultaneous deployment.</w:t>
      </w:r>
    </w:p>
    <w:p>
      <w:pPr>
        <w:spacing w:before="0" w:after="80"/>
      </w:pPr>
      <w:r>
        <w:rPr>
          <w:sz w:val="2"/>
          <w:szCs w:val="2"/>
        </w:rPr>
        <w:t xml:space="preserve"/>
      </w:r>
    </w:p>
    <w:p>
      <w:pPr>
        <w:pStyle w:val="Heading2"/>
        <w:spacing w:before="240" w:after="80"/>
      </w:pPr>
      <w:r>
        <w:rPr>
          <w:rFonts w:ascii="Arial" w:cs="Arial" w:eastAsia="Arial" w:hAnsi="Arial"/>
          <w:b/>
          <w:bCs/>
          <w:color w:val="1B2A4A"/>
          <w:sz w:val="24"/>
          <w:szCs w:val="24"/>
        </w:rPr>
        <w:t xml:space="preserve">5.2 Analytical Readiness and Effectiveness Assessment</w:t>
      </w:r>
    </w:p>
    <w:p>
      <w:pPr>
        <w:spacing w:before="60" w:after="120"/>
        <w:jc w:val="both"/>
      </w:pPr>
      <w:r>
        <w:rPr>
          <w:rFonts w:ascii="Arial" w:cs="Arial" w:eastAsia="Arial" w:hAnsi="Arial"/>
          <w:b w:val="false"/>
          <w:bCs w:val="false"/>
          <w:i w:val="false"/>
          <w:iCs w:val="false"/>
          <w:color w:val="000000"/>
          <w:sz w:val="22"/>
          <w:szCs w:val="22"/>
        </w:rPr>
        <w:t xml:space="preserve">This framework does not project specific effectiveness outcomes. The quantitative projections that appeared in prior UNIFIED-01 drafts — specific percentage ranges for revenue degradation, specific dollar amounts for asset forfeitures, specific timeline commitments for operational outcomes — have been removed because they are not analytically supportable from the public record and conflict with WP-2026-SIEGE-01's explicit withdrawal of such projections as illustrative scenario constructs not derived from a reproducible model.</w:t>
      </w:r>
    </w:p>
    <w:p>
      <w:pPr>
        <w:spacing w:before="60" w:after="120"/>
        <w:jc w:val="both"/>
      </w:pPr>
      <w:r>
        <w:rPr>
          <w:rFonts w:ascii="Arial" w:cs="Arial" w:eastAsia="Arial" w:hAnsi="Arial"/>
          <w:b w:val="false"/>
          <w:bCs w:val="false"/>
          <w:i w:val="false"/>
          <w:iCs w:val="false"/>
          <w:color w:val="000000"/>
          <w:sz w:val="22"/>
          <w:szCs w:val="22"/>
        </w:rPr>
        <w:t xml:space="preserve">Effectiveness assessment for cross-domain deployment should use the falsifiable observable indicators framework in WP-2026-SIEGE-01 Part XII, applied independently to each domain's target network. A cross-domain deployment that produces performance signals in two of three domains and failure signals in the third requires the failure mode assessment protocol for the third domain per WP-2026-SIEGE-01 Part III — it does not produce an aggregate effectiveness finding. Aggregate effectiveness assessment across domains is analytically unsupported from the public record because domain-specific variables, non-controlled variables per WP-2026-SIEGE-01 Part III.2, and adversary adaptation rates per WP-2026-EVASION-01 vary across domains in ways that cannot be aggregated into a single effectiveness metric.</w:t>
      </w:r>
    </w:p>
    <w:p>
      <w:pPr>
        <w:spacing w:before="0" w:after="160"/>
      </w:pPr>
      <w:r>
        <w:rPr>
          <w:sz w:val="2"/>
          <w:szCs w:val="2"/>
        </w:rPr>
        <w:t xml:space="preserve"/>
      </w:r>
    </w:p>
    <w:p>
      <w:pPr>
        <w:pStyle w:val="Heading1"/>
        <w:spacing w:before="360" w:after="120"/>
      </w:pPr>
      <w:r>
        <w:rPr>
          <w:rFonts w:ascii="Arial" w:cs="Arial" w:eastAsia="Arial" w:hAnsi="Arial"/>
          <w:b/>
          <w:bCs/>
          <w:color w:val="1B2A4A"/>
          <w:sz w:val="30"/>
          <w:szCs w:val="30"/>
        </w:rPr>
        <w:t xml:space="preserve">Part VI: Structural Constraints and Cross-Domain Limitations</w:t>
      </w:r>
    </w:p>
    <w:p>
      <w:pPr>
        <w:pStyle w:val="Heading2"/>
        <w:spacing w:before="240" w:after="80"/>
      </w:pPr>
      <w:r>
        <w:rPr>
          <w:rFonts w:ascii="Arial" w:cs="Arial" w:eastAsia="Arial" w:hAnsi="Arial"/>
          <w:b/>
          <w:bCs/>
          <w:color w:val="1B2A4A"/>
          <w:sz w:val="24"/>
          <w:szCs w:val="24"/>
        </w:rPr>
        <w:t xml:space="preserve">6.1 What Cross-Domain Application Does Not Resolve</w:t>
      </w:r>
    </w:p>
    <w:p>
      <w:pPr>
        <w:spacing w:before="60" w:after="120"/>
        <w:jc w:val="both"/>
      </w:pPr>
      <w:r>
        <w:rPr>
          <w:rFonts w:ascii="Arial" w:cs="Arial" w:eastAsia="Arial" w:hAnsi="Arial"/>
          <w:b w:val="false"/>
          <w:bCs w:val="false"/>
          <w:i w:val="false"/>
          <w:iCs w:val="false"/>
          <w:color w:val="000000"/>
          <w:sz w:val="22"/>
          <w:szCs w:val="22"/>
        </w:rPr>
        <w:t xml:space="preserve">Cross-domain application does not increase jurisdictional reach beyond that defined in WP-2026-PERSIST-01 Sections 2.1 through 2.6. Applying a mechanism simultaneously across three domains does not extend the mechanism's enforcement reach into jurisdictions or over actors that fall outside the applicable authority rail's statutory limits. The Tier C classification boundary, the USD-correspondent perimeter, and the FDPR jurisdictional predicate all apply with equal force to cross-domain deployment. Synthesis does not create authority; it applies existing authority to targets that happen to fall within multiple enforcement frameworks simultaneously. Adversaries with pre-existing infrastructure redundancy across non-aligned jurisdictions may experience limited cross-domain pressure effects despite shared node designation, because the shared node represents only a portion of each domain's target network infrastructure, and well-resourced networks with pre-positioned alternative pathways may complete Phase 2 to Phase 3 migration before cross-domain designation produces cumulative pressure.</w:t>
      </w:r>
    </w:p>
    <w:p>
      <w:pPr>
        <w:spacing w:before="60" w:after="120"/>
        <w:jc w:val="both"/>
      </w:pPr>
      <w:r>
        <w:rPr>
          <w:rFonts w:ascii="Arial" w:cs="Arial" w:eastAsia="Arial" w:hAnsi="Arial"/>
          <w:b w:val="false"/>
          <w:bCs w:val="false"/>
          <w:i w:val="false"/>
          <w:iCs w:val="false"/>
          <w:color w:val="000000"/>
          <w:sz w:val="22"/>
          <w:szCs w:val="22"/>
        </w:rPr>
        <w:t xml:space="preserve">Cross-domain enforcement efficiency at shared nodes does not resolve the structural limitations identified in WP-2026-SIEGE-01 Part XI. The framework's non-capabilities — cannot eliminate illicit finance, cannot prevent adversary adaptation, cannot ensure attribution from channel-level analysis, cannot function under coalition fracture, cannot operate without enforcement continuity, cannot reach networks outside U.S. financial system exposure — apply with equal force to cross-domain deployment. Cross-domain designation may be consistent with costs across multiple domains simultaneously; it does not override the structural boundaries of U.S. financial system exposure that define the framework's jurisdictional reach.</w:t>
      </w:r>
    </w:p>
    <w:p>
      <w:pPr>
        <w:spacing w:before="60" w:after="120"/>
        <w:jc w:val="both"/>
      </w:pPr>
      <w:r>
        <w:rPr>
          <w:rFonts w:ascii="Arial" w:cs="Arial" w:eastAsia="Arial" w:hAnsi="Arial"/>
          <w:b w:val="false"/>
          <w:bCs w:val="false"/>
          <w:i w:val="false"/>
          <w:iCs w:val="false"/>
          <w:color w:val="000000"/>
          <w:sz w:val="22"/>
          <w:szCs w:val="22"/>
        </w:rPr>
        <w:t xml:space="preserve">Cross-domain application also does not resolve the adversary adaptation dynamics identified in WP-2026-EVASION-01. A shared infrastructure node that is designated across multiple enforcement frameworks simultaneously faces higher-than-single-domain legal exposure; this may increase its Phase 2 migration speed rather than decrease it, because the cross-domain designation provides the node's affiliated networks with information that all domains are aware of it simultaneously, potentially accelerating pre-positioning in alternative infrastructure. The analytical response to this risk is the same as for single-domain deployment: Gate 2 administrative record pre-positioning must be complete for all operative channels across all domains before Channel 1 action, so that simultaneous closure of multiple domains' substitute pathways is achievable before the shared node's networks complete Phase 2 migration.</w:t>
      </w:r>
    </w:p>
    <w:p>
      <w:pPr>
        <w:pStyle w:val="Heading2"/>
        <w:spacing w:before="240" w:after="80"/>
      </w:pPr>
      <w:r>
        <w:rPr>
          <w:rFonts w:ascii="Arial" w:cs="Arial" w:eastAsia="Arial" w:hAnsi="Arial"/>
          <w:b/>
          <w:bCs/>
          <w:color w:val="1B2A4A"/>
          <w:sz w:val="24"/>
          <w:szCs w:val="24"/>
        </w:rPr>
        <w:t xml:space="preserve">6.2 The Fragmentation Finding Applied Cross-Domain</w:t>
      </w:r>
    </w:p>
    <w:p>
      <w:pPr>
        <w:spacing w:before="60" w:after="120"/>
        <w:jc w:val="both"/>
      </w:pPr>
      <w:r>
        <w:rPr>
          <w:rFonts w:ascii="Arial" w:cs="Arial" w:eastAsia="Arial" w:hAnsi="Arial"/>
          <w:b w:val="false"/>
          <w:bCs w:val="false"/>
          <w:i w:val="false"/>
          <w:iCs w:val="false"/>
          <w:color w:val="000000"/>
          <w:sz w:val="22"/>
          <w:szCs w:val="22"/>
        </w:rPr>
        <w:t xml:space="preserve">The series governing finding on fragmentation — that fragmentation without parallel organizational disruption is a negative or null outcome condition, not a performance indicator — applies with particular force in cross-domain deployment contexts. A cross-domain designation action that produces organizational fragmentation in one domain's target network without parallel organizational disruption architecture may simultaneously produce fragmentation in affiliated networks in the other two domains, because shared infrastructure nodes connect organizational structures across domains. Cross-domain simultaneous enforcement pressure without cross-domain parallel organizational disruption architecture may produce multi-domain fragmentation with multi-domain maintained output — the adverse outcome identified in WP-2026-SIEGE-01 Part VII, multiplied across domains.</w:t>
      </w:r>
    </w:p>
    <w:p>
      <w:pPr>
        <w:spacing w:before="60" w:after="120"/>
        <w:jc w:val="both"/>
      </w:pPr>
      <w:r>
        <w:rPr>
          <w:rFonts w:ascii="Arial" w:cs="Arial" w:eastAsia="Arial" w:hAnsi="Arial"/>
          <w:b w:val="false"/>
          <w:bCs w:val="false"/>
          <w:i w:val="false"/>
          <w:iCs w:val="false"/>
          <w:color w:val="000000"/>
          <w:sz w:val="22"/>
          <w:szCs w:val="22"/>
        </w:rPr>
        <w:t xml:space="preserve">Gate 4 parallel disruption assessment for cross-domain deployment must therefore address organizational disruption architecture independently for each domain's target network, not only for the shared infrastructure node. The shared node designation removes the shared financial infrastructure; it does not replace the organizational disruption architecture that must address each domain's network leadership and organizational capital separately.</w:t>
      </w:r>
    </w:p>
    <w:p>
      <w:pPr>
        <w:spacing w:before="0" w:after="160"/>
      </w:pPr>
      <w:r>
        <w:rPr>
          <w:sz w:val="2"/>
          <w:szCs w:val="2"/>
        </w:rPr>
        <w:t xml:space="preserve"/>
      </w:r>
    </w:p>
    <w:p>
      <w:pPr>
        <w:pStyle w:val="Heading1"/>
        <w:spacing w:before="360" w:after="120"/>
      </w:pPr>
      <w:r>
        <w:rPr>
          <w:rFonts w:ascii="Arial" w:cs="Arial" w:eastAsia="Arial" w:hAnsi="Arial"/>
          <w:b/>
          <w:bCs/>
          <w:color w:val="1B2A4A"/>
          <w:sz w:val="30"/>
          <w:szCs w:val="30"/>
        </w:rPr>
        <w:t xml:space="preserve">Sources and Reference Basis</w:t>
      </w:r>
    </w:p>
    <w:p>
      <w:pPr>
        <w:pStyle w:val="Heading2"/>
        <w:spacing w:before="240" w:after="80"/>
      </w:pPr>
      <w:r>
        <w:rPr>
          <w:rFonts w:ascii="Arial" w:cs="Arial" w:eastAsia="Arial" w:hAnsi="Arial"/>
          <w:b/>
          <w:bCs/>
          <w:color w:val="1B2A4A"/>
          <w:sz w:val="24"/>
          <w:szCs w:val="24"/>
        </w:rPr>
        <w:t xml:space="preserve">Tier 1 — U.S. Government and Official Sources</w:t>
      </w:r>
    </w:p>
    <w:p>
      <w:pPr>
        <w:pStyle w:val="ListParagraph"/>
        <w:numPr>
          <w:ilvl w:val="0"/>
          <w:numId w:val="2"/>
        </w:numPr>
        <w:spacing w:before="40" w:after="60"/>
      </w:pPr>
      <w:r>
        <w:rPr>
          <w:rFonts w:ascii="Arial" w:cs="Arial" w:eastAsia="Arial" w:hAnsi="Arial"/>
          <w:b w:val="false"/>
          <w:bCs w:val="false"/>
          <w:i w:val="false"/>
          <w:iCs w:val="false"/>
          <w:color w:val="000000"/>
          <w:sz w:val="22"/>
          <w:szCs w:val="22"/>
        </w:rPr>
        <w:t xml:space="preserve">FinCEN. National Money Laundering Risk Assessment. 2022. [TIER 1]</w:t>
      </w:r>
    </w:p>
    <w:p>
      <w:pPr>
        <w:pStyle w:val="ListParagraph"/>
        <w:numPr>
          <w:ilvl w:val="0"/>
          <w:numId w:val="2"/>
        </w:numPr>
        <w:spacing w:before="40" w:after="60"/>
      </w:pPr>
      <w:r>
        <w:rPr>
          <w:rFonts w:ascii="Arial" w:cs="Arial" w:eastAsia="Arial" w:hAnsi="Arial"/>
          <w:b w:val="false"/>
          <w:bCs w:val="false"/>
          <w:i w:val="false"/>
          <w:iCs w:val="false"/>
          <w:color w:val="000000"/>
          <w:sz w:val="22"/>
          <w:szCs w:val="22"/>
        </w:rPr>
        <w:t xml:space="preserve">OFAC. Designation records — E.O. 13224 (SDGT), E.O. 13382 (WMD Proliferators), E.O. 14059 (Narcotics Trafficking). [TIER 1]</w:t>
      </w:r>
    </w:p>
    <w:p>
      <w:pPr>
        <w:pStyle w:val="ListParagraph"/>
        <w:numPr>
          <w:ilvl w:val="0"/>
          <w:numId w:val="2"/>
        </w:numPr>
        <w:spacing w:before="40" w:after="60"/>
      </w:pPr>
      <w:r>
        <w:rPr>
          <w:rFonts w:ascii="Arial" w:cs="Arial" w:eastAsia="Arial" w:hAnsi="Arial"/>
          <w:b w:val="false"/>
          <w:bCs w:val="false"/>
          <w:i w:val="false"/>
          <w:iCs w:val="false"/>
          <w:color w:val="000000"/>
          <w:sz w:val="22"/>
          <w:szCs w:val="22"/>
        </w:rPr>
        <w:t xml:space="preserve">DEA. National Drug Threat Assessment. 2024; 2025. [TIER 1]</w:t>
      </w:r>
    </w:p>
    <w:p>
      <w:pPr>
        <w:pStyle w:val="ListParagraph"/>
        <w:numPr>
          <w:ilvl w:val="0"/>
          <w:numId w:val="2"/>
        </w:numPr>
        <w:spacing w:before="40" w:after="60"/>
      </w:pPr>
      <w:r>
        <w:rPr>
          <w:rFonts w:ascii="Arial" w:cs="Arial" w:eastAsia="Arial" w:hAnsi="Arial"/>
          <w:b w:val="false"/>
          <w:bCs w:val="false"/>
          <w:i w:val="false"/>
          <w:iCs w:val="false"/>
          <w:color w:val="000000"/>
          <w:sz w:val="22"/>
          <w:szCs w:val="22"/>
        </w:rPr>
        <w:t xml:space="preserve">State Department. Country Reports on Terrorism. 2024. [TIER 1]</w:t>
      </w:r>
    </w:p>
    <w:p>
      <w:pPr>
        <w:pStyle w:val="ListParagraph"/>
        <w:numPr>
          <w:ilvl w:val="0"/>
          <w:numId w:val="2"/>
        </w:numPr>
        <w:spacing w:before="40" w:after="60"/>
      </w:pPr>
      <w:r>
        <w:rPr>
          <w:rFonts w:ascii="Arial" w:cs="Arial" w:eastAsia="Arial" w:hAnsi="Arial"/>
          <w:b w:val="false"/>
          <w:bCs w:val="false"/>
          <w:i w:val="false"/>
          <w:iCs w:val="false"/>
          <w:color w:val="000000"/>
          <w:sz w:val="22"/>
          <w:szCs w:val="22"/>
        </w:rPr>
        <w:t xml:space="preserve">State Department. International Narcotics Control Strategy Report (INCSR). 2024; 2025. [TIER 1]</w:t>
      </w:r>
    </w:p>
    <w:p>
      <w:pPr>
        <w:pStyle w:val="ListParagraph"/>
        <w:numPr>
          <w:ilvl w:val="0"/>
          <w:numId w:val="2"/>
        </w:numPr>
        <w:spacing w:before="40" w:after="60"/>
      </w:pPr>
      <w:r>
        <w:rPr>
          <w:rFonts w:ascii="Arial" w:cs="Arial" w:eastAsia="Arial" w:hAnsi="Arial"/>
          <w:b w:val="false"/>
          <w:bCs w:val="false"/>
          <w:i w:val="false"/>
          <w:iCs w:val="false"/>
          <w:color w:val="000000"/>
          <w:sz w:val="22"/>
          <w:szCs w:val="22"/>
        </w:rPr>
        <w:t xml:space="preserve">UN Security Council Panel of Experts Reports — DPRK and Iran sanctions monitoring. [TIER 1]</w:t>
      </w:r>
    </w:p>
    <w:p>
      <w:pPr>
        <w:pStyle w:val="ListParagraph"/>
        <w:numPr>
          <w:ilvl w:val="0"/>
          <w:numId w:val="2"/>
        </w:numPr>
        <w:spacing w:before="40" w:after="60"/>
      </w:pPr>
      <w:r>
        <w:rPr>
          <w:rFonts w:ascii="Arial" w:cs="Arial" w:eastAsia="Arial" w:hAnsi="Arial"/>
          <w:b w:val="false"/>
          <w:bCs w:val="false"/>
          <w:i w:val="false"/>
          <w:iCs w:val="false"/>
          <w:color w:val="000000"/>
          <w:sz w:val="22"/>
          <w:szCs w:val="22"/>
        </w:rPr>
        <w:t xml:space="preserve">FATF. Guidance on Proliferation Finance Risk Assessment and Mitigation. 2021. [TIER 1]</w:t>
      </w:r>
    </w:p>
    <w:p>
      <w:pPr>
        <w:pStyle w:val="ListParagraph"/>
        <w:numPr>
          <w:ilvl w:val="0"/>
          <w:numId w:val="2"/>
        </w:numPr>
        <w:spacing w:before="40" w:after="60"/>
      </w:pPr>
      <w:r>
        <w:rPr>
          <w:rFonts w:ascii="Arial" w:cs="Arial" w:eastAsia="Arial" w:hAnsi="Arial"/>
          <w:b w:val="false"/>
          <w:bCs w:val="false"/>
          <w:i w:val="false"/>
          <w:iCs w:val="false"/>
          <w:color w:val="000000"/>
          <w:sz w:val="22"/>
          <w:szCs w:val="22"/>
        </w:rPr>
        <w:t xml:space="preserve">FATF. Guidance on Money Laundering from Drug Trafficking. 2019. [TIER 1]</w:t>
      </w:r>
    </w:p>
    <w:p>
      <w:pPr>
        <w:pStyle w:val="ListParagraph"/>
        <w:numPr>
          <w:ilvl w:val="0"/>
          <w:numId w:val="2"/>
        </w:numPr>
        <w:spacing w:before="40" w:after="60"/>
      </w:pPr>
      <w:r>
        <w:rPr>
          <w:rFonts w:ascii="Arial" w:cs="Arial" w:eastAsia="Arial" w:hAnsi="Arial"/>
          <w:b w:val="false"/>
          <w:bCs w:val="false"/>
          <w:i w:val="false"/>
          <w:iCs w:val="false"/>
          <w:color w:val="000000"/>
          <w:sz w:val="22"/>
          <w:szCs w:val="22"/>
        </w:rPr>
        <w:t xml:space="preserve">BIS. Export Control Reform Act Enforcement Guidance. [TIER 1]</w:t>
      </w:r>
    </w:p>
    <w:p>
      <w:pPr>
        <w:pStyle w:val="ListParagraph"/>
        <w:numPr>
          <w:ilvl w:val="0"/>
          <w:numId w:val="2"/>
        </w:numPr>
        <w:spacing w:before="40" w:after="60"/>
      </w:pPr>
      <w:r>
        <w:rPr>
          <w:rFonts w:ascii="Arial" w:cs="Arial" w:eastAsia="Arial" w:hAnsi="Arial"/>
          <w:b w:val="false"/>
          <w:bCs w:val="false"/>
          <w:i w:val="false"/>
          <w:iCs w:val="false"/>
          <w:color w:val="000000"/>
          <w:sz w:val="22"/>
          <w:szCs w:val="22"/>
        </w:rPr>
        <w:t xml:space="preserve">ODNI. Annual Threat Assessment. 2025. [TIER 1]</w:t>
      </w:r>
    </w:p>
    <w:p>
      <w:pPr>
        <w:pStyle w:val="Heading2"/>
        <w:spacing w:before="240" w:after="80"/>
      </w:pPr>
      <w:r>
        <w:rPr>
          <w:rFonts w:ascii="Arial" w:cs="Arial" w:eastAsia="Arial" w:hAnsi="Arial"/>
          <w:b/>
          <w:bCs/>
          <w:color w:val="1B2A4A"/>
          <w:sz w:val="24"/>
          <w:szCs w:val="24"/>
        </w:rPr>
        <w:t xml:space="preserve">WP-2026 Series Cross-References</w:t>
      </w:r>
    </w:p>
    <w:p>
      <w:pPr>
        <w:pStyle w:val="ListParagraph"/>
        <w:numPr>
          <w:ilvl w:val="0"/>
          <w:numId w:val="2"/>
        </w:numPr>
        <w:spacing w:before="40" w:after="60"/>
      </w:pPr>
      <w:r>
        <w:rPr>
          <w:rFonts w:ascii="Arial" w:cs="Arial" w:eastAsia="Arial" w:hAnsi="Arial"/>
          <w:b w:val="false"/>
          <w:bCs w:val="false"/>
          <w:i w:val="false"/>
          <w:iCs w:val="false"/>
          <w:color w:val="000000"/>
          <w:sz w:val="22"/>
          <w:szCs w:val="22"/>
        </w:rPr>
        <w:t xml:space="preserve">WP-2026-SIEGE-01 Final — Seven-channel mechanism (Parts I-V); gate structure (Part II); failure mode protocols (Part III); fragmentation governing finding (Part VII.2); non-capabilities (Part XI.4); falsifiable indicators (Part XII). This document is the governing mechanism reference; UNIFIED-01 applies its framework, not restates it.</w:t>
      </w:r>
    </w:p>
    <w:p>
      <w:pPr>
        <w:pStyle w:val="ListParagraph"/>
        <w:numPr>
          <w:ilvl w:val="0"/>
          <w:numId w:val="2"/>
        </w:numPr>
        <w:spacing w:before="40" w:after="60"/>
      </w:pPr>
      <w:r>
        <w:rPr>
          <w:rFonts w:ascii="Arial" w:cs="Arial" w:eastAsia="Arial" w:hAnsi="Arial"/>
          <w:b w:val="false"/>
          <w:bCs w:val="false"/>
          <w:i w:val="false"/>
          <w:iCs w:val="false"/>
          <w:color w:val="000000"/>
          <w:sz w:val="22"/>
          <w:szCs w:val="22"/>
        </w:rPr>
        <w:t xml:space="preserve">WP-2026-PERSIST-01 — Authority rails (Sections 2.1-2.6); standards of proof (Section 4); neutral designation-selection rule (Section 5); coalition governance (Section 3); model record artifacts (Appendix B).</w:t>
      </w:r>
    </w:p>
    <w:p>
      <w:pPr>
        <w:pStyle w:val="ListParagraph"/>
        <w:numPr>
          <w:ilvl w:val="0"/>
          <w:numId w:val="2"/>
        </w:numPr>
        <w:spacing w:before="40" w:after="60"/>
      </w:pPr>
      <w:r>
        <w:rPr>
          <w:rFonts w:ascii="Arial" w:cs="Arial" w:eastAsia="Arial" w:hAnsi="Arial"/>
          <w:b w:val="false"/>
          <w:bCs w:val="false"/>
          <w:i w:val="false"/>
          <w:iCs w:val="false"/>
          <w:color w:val="000000"/>
          <w:sz w:val="22"/>
          <w:szCs w:val="22"/>
        </w:rPr>
        <w:t xml:space="preserve">WP-2026-SENI-ARCH-01 — D2 evidence tiering (Section IV); three-layer product architecture (Section II). Layer 2 financial pathway analysis required before Gate 2 administrative record pre-positioning.</w:t>
      </w:r>
    </w:p>
    <w:p>
      <w:pPr>
        <w:pStyle w:val="ListParagraph"/>
        <w:numPr>
          <w:ilvl w:val="0"/>
          <w:numId w:val="2"/>
        </w:numPr>
        <w:spacing w:before="40" w:after="60"/>
      </w:pPr>
      <w:r>
        <w:rPr>
          <w:rFonts w:ascii="Arial" w:cs="Arial" w:eastAsia="Arial" w:hAnsi="Arial"/>
          <w:b w:val="false"/>
          <w:bCs w:val="false"/>
          <w:i w:val="false"/>
          <w:iCs w:val="false"/>
          <w:color w:val="000000"/>
          <w:sz w:val="22"/>
          <w:szCs w:val="22"/>
        </w:rPr>
        <w:t xml:space="preserve">WP-2026-SAM-01 Rev 2.0 — Series architecture governance; UNIFIED-01 ownership domain and prohibited content (Part V); SIEGE-UNIFIED boundary rule (Part VII).</w:t>
      </w:r>
    </w:p>
    <w:p>
      <w:pPr>
        <w:pStyle w:val="ListParagraph"/>
        <w:numPr>
          <w:ilvl w:val="0"/>
          <w:numId w:val="2"/>
        </w:numPr>
        <w:spacing w:before="40" w:after="60"/>
      </w:pPr>
      <w:r>
        <w:rPr>
          <w:rFonts w:ascii="Arial" w:cs="Arial" w:eastAsia="Arial" w:hAnsi="Arial"/>
          <w:b w:val="false"/>
          <w:bCs w:val="false"/>
          <w:i w:val="false"/>
          <w:iCs w:val="false"/>
          <w:color w:val="000000"/>
          <w:sz w:val="22"/>
          <w:szCs w:val="22"/>
        </w:rPr>
        <w:t xml:space="preserve">WP-2026-COUNTERINTEL-01 — Framework degradation conditions by domain (Sections III.1-III.7); analytical safeguards (Section V).</w:t>
      </w:r>
    </w:p>
    <w:p>
      <w:pPr>
        <w:pStyle w:val="ListParagraph"/>
        <w:numPr>
          <w:ilvl w:val="0"/>
          <w:numId w:val="2"/>
        </w:numPr>
        <w:spacing w:before="40" w:after="60"/>
      </w:pPr>
      <w:r>
        <w:rPr>
          <w:rFonts w:ascii="Arial" w:cs="Arial" w:eastAsia="Arial" w:hAnsi="Arial"/>
          <w:b w:val="false"/>
          <w:bCs w:val="false"/>
          <w:i w:val="false"/>
          <w:iCs w:val="false"/>
          <w:color w:val="000000"/>
          <w:sz w:val="22"/>
          <w:szCs w:val="22"/>
        </w:rPr>
        <w:t xml:space="preserve">WP-2026-EVASION-01 — Adversary adaptation cycle (Part II); evasion by domain (Part III); channel structural persistence (Part VI). Cross-domain designation timing must account for adversary Phase 2-3 transition windows.</w:t>
      </w:r>
    </w:p>
    <w:p>
      <w:pPr>
        <w:pStyle w:val="Heading2"/>
        <w:spacing w:before="240" w:after="80"/>
      </w:pPr>
      <w:r>
        <w:rPr>
          <w:rFonts w:ascii="Arial" w:cs="Arial" w:eastAsia="Arial" w:hAnsi="Arial"/>
          <w:b/>
          <w:bCs/>
          <w:color w:val="1B2A4A"/>
          <w:sz w:val="24"/>
          <w:szCs w:val="24"/>
        </w:rPr>
        <w:t xml:space="preserve">Tier 2 — Policy Research and Commercial Data</w:t>
      </w:r>
    </w:p>
    <w:p>
      <w:pPr>
        <w:pStyle w:val="ListParagraph"/>
        <w:numPr>
          <w:ilvl w:val="0"/>
          <w:numId w:val="2"/>
        </w:numPr>
        <w:spacing w:before="40" w:after="60"/>
      </w:pPr>
      <w:r>
        <w:rPr>
          <w:rFonts w:ascii="Arial" w:cs="Arial" w:eastAsia="Arial" w:hAnsi="Arial"/>
          <w:b w:val="false"/>
          <w:bCs w:val="false"/>
          <w:i w:val="false"/>
          <w:iCs w:val="false"/>
          <w:color w:val="000000"/>
          <w:sz w:val="22"/>
          <w:szCs w:val="22"/>
        </w:rPr>
        <w:t xml:space="preserve">Chainalysis. Crypto Crime Report. 2023. [TIER 2]</w:t>
      </w:r>
    </w:p>
    <w:p>
      <w:pPr>
        <w:pStyle w:val="ListParagraph"/>
        <w:numPr>
          <w:ilvl w:val="0"/>
          <w:numId w:val="2"/>
        </w:numPr>
        <w:spacing w:before="40" w:after="60"/>
      </w:pPr>
      <w:r>
        <w:rPr>
          <w:rFonts w:ascii="Arial" w:cs="Arial" w:eastAsia="Arial" w:hAnsi="Arial"/>
          <w:b w:val="false"/>
          <w:bCs w:val="false"/>
          <w:i w:val="false"/>
          <w:iCs w:val="false"/>
          <w:color w:val="000000"/>
          <w:sz w:val="22"/>
          <w:szCs w:val="22"/>
        </w:rPr>
        <w:t xml:space="preserve">Reuter, P. and Truman, E.M. Chasing Dirty Money. Institute for International Economics, 2004. [TIER 2]</w:t>
      </w:r>
    </w:p>
    <w:p>
      <w:pPr>
        <w:spacing w:before="0" w:after="160"/>
      </w:pPr>
      <w:r>
        <w:rPr>
          <w:sz w:val="2"/>
          <w:szCs w:val="2"/>
        </w:rPr>
        <w:t xml:space="preserve"/>
      </w:r>
    </w:p>
    <w:p>
      <w:pPr>
        <w:pBdr>
          <w:bottom w:val="single" w:color="1B2A4A" w:sz="6" w:space="1"/>
        </w:pBdr>
        <w:spacing w:before="0" w:after="0"/>
      </w:pPr>
      <w:r>
        <w:rPr>
          <w:rFonts w:ascii="Arial" w:cs="Arial" w:eastAsia="Arial" w:hAnsi="Arial"/>
          <w:sz w:val="2"/>
          <w:szCs w:val="2"/>
        </w:rPr>
        <w:t xml:space="preserve"/>
      </w:r>
    </w:p>
    <w:p>
      <w:pPr>
        <w:spacing w:before="0" w:after="80"/>
      </w:pPr>
      <w:r>
        <w:rPr>
          <w:sz w:val="2"/>
          <w:szCs w:val="2"/>
        </w:rPr>
        <w:t xml:space="preserve"/>
      </w:r>
    </w:p>
    <w:p>
      <w:pPr>
        <w:spacing w:before="0" w:after="0"/>
        <w:jc w:val="center"/>
      </w:pPr>
      <w:r>
        <w:rPr>
          <w:rFonts w:ascii="Arial" w:cs="Arial" w:eastAsia="Arial" w:hAnsi="Arial"/>
          <w:b/>
          <w:bCs/>
          <w:caps/>
          <w:color w:val="4A5568"/>
          <w:sz w:val="18"/>
          <w:szCs w:val="18"/>
        </w:rPr>
        <w:t xml:space="preserve">END OF DOCUMENT — WP-2026-UNIFIED-01 (REVISED) — MARCH 2026 — UNCLASSIFIED // OPEN SOURCE</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2A4A" w:sz="4" w:space="4"/>
      </w:pBdr>
    </w:pPr>
    <w:r>
      <w:rPr>
        <w:rFonts w:ascii="Arial" w:cs="Arial" w:eastAsia="Arial" w:hAnsi="Arial"/>
        <w:caps/>
        <w:color w:val="4A5568"/>
        <w:sz w:val="16"/>
        <w:szCs w:val="16"/>
      </w:rPr>
      <w:t xml:space="preserve">UNCLASSIFIED // OPEN SOURCE  |  Cross-Domain Financial Enforcement Synthesis  |  Page </w:t>
    </w:r>
    <w:r>
      <w:rPr>
        <w:rFonts w:ascii="Arial" w:cs="Arial" w:eastAsia="Arial" w:hAnsi="Arial"/>
        <w:color w:val="4A55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2A4A" w:sz="4" w:space="4"/>
      </w:pBdr>
    </w:pPr>
    <w:r>
      <w:rPr>
        <w:rFonts w:ascii="Arial" w:cs="Arial" w:eastAsia="Arial" w:hAnsi="Arial"/>
        <w:caps/>
        <w:color w:val="4A5568"/>
        <w:sz w:val="16"/>
        <w:szCs w:val="16"/>
      </w:rPr>
      <w:t xml:space="preserve">WP-2026-UNIFIED-01 (REVISED)  |  CROSS-DOMAIN FINANCIAL ENFORCEMENT SYNTHESIS  |  UNCLASSIFIED // OPEN SOURCE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B2A4A"/>
      <w:sz w:val="30"/>
      <w:szCs w:val="30"/>
    </w:rPr>
  </w:style>
  <w:style w:type="paragraph" w:styleId="Heading2">
    <w:name w:val="Heading 2"/>
    <w:basedOn w:val="Normal"/>
    <w:next w:val="Normal"/>
    <w:qFormat/>
    <w:pPr>
      <w:spacing w:before="240" w:after="80"/>
      <w:outlineLvl w:val="1"/>
    </w:pPr>
    <w:rPr>
      <w:rFonts w:ascii="Arial" w:cs="Arial" w:eastAsia="Arial" w:hAnsi="Arial"/>
      <w:b/>
      <w:bCs/>
      <w:color w:val="1B2A4A"/>
      <w:sz w:val="24"/>
      <w:szCs w:val="24"/>
    </w:rPr>
  </w:style>
  <w:style w:type="paragraph" w:styleId="Heading3">
    <w:name w:val="Heading 3"/>
    <w:basedOn w:val="Normal"/>
    <w:next w:val="Normal"/>
    <w:qFormat/>
    <w:pPr>
      <w:spacing w:before="180" w:after="60"/>
      <w:outlineLvl w:val="2"/>
    </w:pPr>
    <w:rPr>
      <w:rFonts w:ascii="Arial" w:cs="Arial" w:eastAsia="Arial" w:hAnsi="Arial"/>
      <w:b/>
      <w:bCs/>
      <w:color w:val="4A556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2026-03-27T13:00:16.574Z</dcterms:created>
  <dcterms:modified xsi:type="dcterms:W3CDTF">2026-03-27T13:00:16.575Z</dcterms:modified>
</cp:coreProperties>
</file>

<file path=docProps/custom.xml><?xml version="1.0" encoding="utf-8"?>
<Properties xmlns="http://schemas.openxmlformats.org/officeDocument/2006/custom-properties" xmlns:vt="http://schemas.openxmlformats.org/officeDocument/2006/docPropsVTypes"/>
</file>