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pPr>
    </w:p>
    <w:p>
      <w:pPr>
        <w:spacing w:after="20" w:before="0"/>
        <w:jc w:val="center"/>
      </w:pPr>
      <w:r>
        <w:rPr>
          <w:rFonts w:ascii="Arial" w:cs="Arial" w:eastAsia="Arial" w:hAnsi="Arial"/>
          <w:b/>
          <w:bCs/>
          <w:caps/>
          <w:color w:val="7B1C1C"/>
          <w:sz w:val="18"/>
          <w:szCs w:val="18"/>
        </w:rPr>
        <w:t xml:space="preserve">UNCLASSIFIED // OPEN SOURCE ANALYSIS</w:t>
      </w:r>
    </w:p>
    <w:p>
      <w:pPr>
        <w:spacing w:before="80"/>
      </w:pPr>
    </w:p>
    <w:p>
      <w:pPr>
        <w:spacing w:after="40" w:before="0"/>
        <w:jc w:val="center"/>
      </w:pPr>
      <w:r>
        <w:rPr>
          <w:rFonts w:ascii="Arial" w:cs="Arial" w:eastAsia="Arial" w:hAnsi="Arial"/>
          <w:b/>
          <w:bCs/>
          <w:caps/>
          <w:color w:val="1B2A4A"/>
          <w:sz w:val="36"/>
          <w:szCs w:val="36"/>
        </w:rPr>
        <w:t xml:space="preserve">STRATEGIC ESTIMATE</w:t>
      </w:r>
    </w:p>
    <w:p>
      <w:pPr>
        <w:spacing w:after="60" w:before="0"/>
        <w:jc w:val="center"/>
      </w:pPr>
      <w:r>
        <w:rPr>
          <w:rFonts w:ascii="Arial" w:cs="Arial" w:eastAsia="Arial" w:hAnsi="Arial"/>
          <w:b/>
          <w:bCs/>
          <w:color w:val="2E4172"/>
          <w:sz w:val="24"/>
          <w:szCs w:val="24"/>
        </w:rPr>
        <w:t xml:space="preserve">BRI Corridor Architecture: Leverage Window Assessment, Scenario-Conditioned Outcomes, and Indicators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b/>
                <w:bCs/>
                <w:color w:val="1B2A4A"/>
                <w:sz w:val="19"/>
                <w:szCs w:val="19"/>
              </w:rPr>
              <w:t xml:space="preserve">Subject</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US-led coalition corridor architecture competing with PRC Belt and Road Initiative (BRI) in the context of the March 2026 Hormuz crisis window</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b/>
                <w:bCs/>
                <w:color w:val="1B2A4A"/>
                <w:sz w:val="19"/>
                <w:szCs w:val="19"/>
              </w:rPr>
              <w:t xml:space="preserve">Reference</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WP-2026-EST-01 (derived from WP-2026-BRI-01 v4.1)</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b/>
                <w:bCs/>
                <w:color w:val="1B2A4A"/>
                <w:sz w:val="19"/>
                <w:szCs w:val="19"/>
              </w:rPr>
              <w:t xml:space="preserve">Prepared by</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Collin Blaine George, Center for Competitive Statecraft and Strategic Policy</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b/>
                <w:bCs/>
                <w:color w:val="1B2A4A"/>
                <w:sz w:val="19"/>
                <w:szCs w:val="19"/>
              </w:rPr>
              <w:t xml:space="preserve">Date</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March 2026</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b/>
                <w:bCs/>
                <w:color w:val="1B2A4A"/>
                <w:sz w:val="19"/>
                <w:szCs w:val="19"/>
              </w:rPr>
              <w:t xml:space="preserve">Classification</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Unclassified // Open Source Analysis</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b/>
                <w:bCs/>
                <w:color w:val="1B2A4A"/>
                <w:sz w:val="19"/>
                <w:szCs w:val="19"/>
              </w:rPr>
              <w:t xml:space="preserve">Tradecraft Standard</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WP-2026 Series CI Assessment v2.0 — dual-axis confidence framework (evidentiary quality × analytic confidence)</w:t>
            </w:r>
          </w:p>
        </w:tc>
      </w:tr>
    </w:tbl>
    <w:p>
      <w:pPr>
        <w:spacing w:before="60"/>
      </w:pPr>
    </w:p>
    <w:p>
      <w:pPr>
        <w:spacing w:after="0" w:before="0"/>
        <w:jc w:val="center"/>
      </w:pPr>
      <w:r>
        <w:rPr>
          <w:rFonts w:ascii="Arial" w:cs="Arial" w:eastAsia="Arial" w:hAnsi="Arial"/>
          <w:b/>
          <w:bCs/>
          <w:caps/>
          <w:color w:val="7B1C1C"/>
          <w:sz w:val="18"/>
          <w:szCs w:val="18"/>
        </w:rPr>
        <w:t xml:space="preserve">UNCLASSIFIED // OPEN SOURCE ANALYSIS</w:t>
      </w:r>
    </w:p>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I.  </w:t>
      </w:r>
      <w:r>
        <w:rPr>
          <w:rFonts w:ascii="Arial" w:cs="Arial" w:eastAsia="Arial" w:hAnsi="Arial"/>
          <w:b/>
          <w:bCs/>
          <w:color w:val="1B2A4A"/>
          <w:sz w:val="22"/>
          <w:szCs w:val="22"/>
        </w:rPr>
        <w:t xml:space="preserve">Key Judgments</w:t>
      </w:r>
    </w:p>
    <w:p>
      <w:pPr>
        <w:spacing w:after="80" w:before="60"/>
      </w:pPr>
      <w:r>
        <w:rPr>
          <w:rFonts w:ascii="Arial" w:cs="Arial" w:eastAsia="Arial" w:hAnsi="Arial"/>
          <w:color w:val="4A5568"/>
          <w:sz w:val="18"/>
          <w:szCs w:val="18"/>
        </w:rPr>
        <w:t xml:space="preserve">The following six judgments govern this estimate. Each carries a probability assessment and a dual-axis confidence label. Supporting analysis appears in Sections III–IV. Judgments marked SCENARIO-CONDITIONED are valid only if the March 2026 Hormuz crisis premises hold.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8CDD8" w:sz="1"/>
              <w:left w:val="single" w:color="C8CDD8" w:sz="1"/>
              <w:bottom w:val="single" w:color="C8CDD8" w:sz="1"/>
              <w:right w:val="single" w:color="C8CDD8"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KJ</w:t>
            </w:r>
            <w:r>
              <w:rPr>
                <w:rFonts w:ascii="Arial" w:cs="Arial" w:eastAsia="Arial" w:hAnsi="Arial"/>
                <w:b/>
                <w:bCs/>
                <w:color w:val="FFFFFF"/>
                <w:sz w:val="24"/>
                <w:szCs w:val="24"/>
              </w:rPr>
              <w:br/>
              <w:t xml:space="preserve">
1</w:t>
            </w:r>
          </w:p>
        </w:tc>
        <w:tc>
          <w:tcPr>
            <w:tcW w:type="dxa" w:w="8460"/>
            <w:tcBorders>
              <w:top w:val="single" w:color="C8CDD8" w:sz="1"/>
              <w:left w:val="single" w:color="C8CDD8" w:sz="1"/>
              <w:bottom w:val="single" w:color="C8CDD8" w:sz="1"/>
              <w:right w:val="single" w:color="C8CDD8" w:sz="1"/>
            </w:tcBorders>
            <w:shd w:fill="FDF8EE" w:val="clear"/>
            <w:tcMar>
              <w:top w:type="dxa" w:w="60"/>
              <w:left w:type="dxa" w:w="160"/>
              <w:bottom w:type="dxa" w:w="40"/>
              <w:right w:type="dxa" w:w="120"/>
            </w:tcMar>
          </w:tcPr>
          <w:p>
            <w:pPr>
              <w:spacing w:after="0" w:before="0"/>
            </w:pPr>
            <w:r>
              <w:rPr>
                <w:rFonts w:ascii="Arial" w:cs="Arial" w:eastAsia="Arial" w:hAnsi="Arial"/>
                <w:b/>
                <w:bCs/>
                <w:color w:val="7A4A00"/>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Scenario-Conditioned</w:t>
            </w:r>
          </w:p>
        </w:tc>
      </w:tr>
      <w:tr>
        <w:tc>
          <w:tcPr>
            <w:vMerge w:val="continue"/>
            <w:tcBorders>
              <w:top w:val="single" w:color="C8CDD8" w:sz="1"/>
              <w:left w:val="single" w:color="C8CDD8" w:sz="1"/>
              <w:bottom w:val="single" w:color="C8CDD8" w:sz="1"/>
              <w:right w:val="single" w:color="C8CDD8" w:sz="1"/>
            </w:tcBorders>
          </w:tcPr>
          <w:p/>
        </w:tc>
        <w:tc>
          <w:tcPr>
            <w:tcW w:type="dxa" w:w="8460"/>
            <w:tcBorders>
              <w:top w:val="single" w:color="C8CDD8" w:sz="1"/>
              <w:left w:val="single" w:color="C8CDD8" w:sz="1"/>
              <w:bottom w:val="single" w:color="C8CDD8" w:sz="1"/>
              <w:right w:val="single" w:color="C8CDD8" w:sz="1"/>
            </w:tcBorders>
            <w:shd w:fill="FFFFFF" w:val="clear"/>
            <w:tcMar>
              <w:top w:type="dxa" w:w="80"/>
              <w:left w:type="dxa" w:w="160"/>
              <w:bottom w:type="dxa" w:w="100"/>
              <w:right w:type="dxa" w:w="120"/>
            </w:tcMar>
          </w:tcPr>
          <w:p>
            <w:pPr>
              <w:spacing w:after="0" w:before="0"/>
            </w:pPr>
            <w:r>
              <w:rPr>
                <w:rFonts w:ascii="Times New Roman" w:cs="Times New Roman" w:eastAsia="Times New Roman" w:hAnsi="Times New Roman"/>
                <w:sz w:val="21"/>
                <w:szCs w:val="21"/>
              </w:rPr>
              <w:t xml:space="preserve">The March 2026 Hormuz crisis has very likely opened a conditional strategic opportunity space — a five-to-ten year window during which structural conditions for a US-led coalition corridor architecture are available. Whether that opportunity is realized depends on concurrent execution of four components under unusually favorable political conditions. The opportunity space is real; its exploitation is not predicted.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8CDD8" w:sz="1"/>
              <w:left w:val="single" w:color="C8CDD8" w:sz="1"/>
              <w:bottom w:val="single" w:color="C8CDD8" w:sz="1"/>
              <w:right w:val="single" w:color="C8CDD8"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KJ</w:t>
            </w:r>
            <w:r>
              <w:rPr>
                <w:rFonts w:ascii="Arial" w:cs="Arial" w:eastAsia="Arial" w:hAnsi="Arial"/>
                <w:b/>
                <w:bCs/>
                <w:color w:val="FFFFFF"/>
                <w:sz w:val="24"/>
                <w:szCs w:val="24"/>
              </w:rPr>
              <w:br/>
              <w:t xml:space="preserve">
2</w:t>
            </w:r>
          </w:p>
        </w:tc>
        <w:tc>
          <w:tcPr>
            <w:tcW w:type="dxa" w:w="8460"/>
            <w:tcBorders>
              <w:top w:val="single" w:color="C8CDD8" w:sz="1"/>
              <w:left w:val="single" w:color="C8CDD8" w:sz="1"/>
              <w:bottom w:val="single" w:color="C8CDD8" w:sz="1"/>
              <w:right w:val="single" w:color="C8CDD8" w:sz="1"/>
            </w:tcBorders>
            <w:shd w:fill="F0F7F3" w:val="clear"/>
            <w:tcMar>
              <w:top w:type="dxa" w:w="60"/>
              <w:left w:type="dxa" w:w="160"/>
              <w:bottom w:type="dxa" w:w="40"/>
              <w:right w:type="dxa" w:w="120"/>
            </w:tcMar>
          </w:tcPr>
          <w:p>
            <w:pPr>
              <w:spacing w:after="0" w:before="0"/>
            </w:pPr>
            <w:r>
              <w:rPr>
                <w:rFonts w:ascii="Arial" w:cs="Arial" w:eastAsia="Arial" w:hAnsi="Arial"/>
                <w:b/>
                <w:bCs/>
                <w:color w:val="1A4A2E"/>
                <w:sz w:val="18"/>
                <w:szCs w:val="18"/>
              </w:rPr>
              <w:t xml:space="preserve">HIGH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C8CDD8" w:sz="1"/>
              <w:left w:val="single" w:color="C8CDD8" w:sz="1"/>
              <w:bottom w:val="single" w:color="C8CDD8" w:sz="1"/>
              <w:right w:val="single" w:color="C8CDD8" w:sz="1"/>
            </w:tcBorders>
          </w:tcPr>
          <w:p/>
        </w:tc>
        <w:tc>
          <w:tcPr>
            <w:tcW w:type="dxa" w:w="8460"/>
            <w:tcBorders>
              <w:top w:val="single" w:color="C8CDD8" w:sz="1"/>
              <w:left w:val="single" w:color="C8CDD8" w:sz="1"/>
              <w:bottom w:val="single" w:color="C8CDD8" w:sz="1"/>
              <w:right w:val="single" w:color="C8CDD8" w:sz="1"/>
            </w:tcBorders>
            <w:shd w:fill="FFFFFF" w:val="clear"/>
            <w:tcMar>
              <w:top w:type="dxa" w:w="80"/>
              <w:left w:type="dxa" w:w="160"/>
              <w:bottom w:type="dxa" w:w="100"/>
              <w:right w:type="dxa" w:w="120"/>
            </w:tcMar>
          </w:tcPr>
          <w:p>
            <w:pPr>
              <w:spacing w:after="0" w:before="0"/>
            </w:pPr>
            <w:r>
              <w:rPr>
                <w:rFonts w:ascii="Times New Roman" w:cs="Times New Roman" w:eastAsia="Times New Roman" w:hAnsi="Times New Roman"/>
                <w:sz w:val="21"/>
                <w:szCs w:val="21"/>
              </w:rPr>
              <w:t xml:space="preserve">BRI’s physical architecture almost certainly concentrates critical vulnerabilities in the Indian Ocean corridor. The hub-and-spoke structure converges on the Hormuz-Malacca route, and 55–60% of Chinese crude supply that bypass architectures cannot cover remains Hormuz-dependent on any planning horizon under a decade. This finding is independent of the scenario premise.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8CDD8" w:sz="1"/>
              <w:left w:val="single" w:color="C8CDD8" w:sz="1"/>
              <w:bottom w:val="single" w:color="C8CDD8" w:sz="1"/>
              <w:right w:val="single" w:color="C8CDD8"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KJ</w:t>
            </w:r>
            <w:r>
              <w:rPr>
                <w:rFonts w:ascii="Arial" w:cs="Arial" w:eastAsia="Arial" w:hAnsi="Arial"/>
                <w:b/>
                <w:bCs/>
                <w:color w:val="FFFFFF"/>
                <w:sz w:val="24"/>
                <w:szCs w:val="24"/>
              </w:rPr>
              <w:br/>
              <w:t xml:space="preserve">
3</w:t>
            </w:r>
          </w:p>
        </w:tc>
        <w:tc>
          <w:tcPr>
            <w:tcW w:type="dxa" w:w="8460"/>
            <w:tcBorders>
              <w:top w:val="single" w:color="C8CDD8" w:sz="1"/>
              <w:left w:val="single" w:color="C8CDD8" w:sz="1"/>
              <w:bottom w:val="single" w:color="C8CDD8" w:sz="1"/>
              <w:right w:val="single" w:color="C8CDD8" w:sz="1"/>
            </w:tcBorders>
            <w:shd w:fill="FDF8EE" w:val="clear"/>
            <w:tcMar>
              <w:top w:type="dxa" w:w="60"/>
              <w:left w:type="dxa" w:w="160"/>
              <w:bottom w:type="dxa" w:w="40"/>
              <w:right w:type="dxa" w:w="120"/>
            </w:tcMar>
          </w:tcPr>
          <w:p>
            <w:pPr>
              <w:spacing w:after="0" w:before="0"/>
            </w:pPr>
            <w:r>
              <w:rPr>
                <w:rFonts w:ascii="Arial" w:cs="Arial" w:eastAsia="Arial" w:hAnsi="Arial"/>
                <w:b/>
                <w:bCs/>
                <w:color w:val="7A4A00"/>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C8CDD8" w:sz="1"/>
              <w:left w:val="single" w:color="C8CDD8" w:sz="1"/>
              <w:bottom w:val="single" w:color="C8CDD8" w:sz="1"/>
              <w:right w:val="single" w:color="C8CDD8" w:sz="1"/>
            </w:tcBorders>
          </w:tcPr>
          <w:p/>
        </w:tc>
        <w:tc>
          <w:tcPr>
            <w:tcW w:type="dxa" w:w="8460"/>
            <w:tcBorders>
              <w:top w:val="single" w:color="C8CDD8" w:sz="1"/>
              <w:left w:val="single" w:color="C8CDD8" w:sz="1"/>
              <w:bottom w:val="single" w:color="C8CDD8" w:sz="1"/>
              <w:right w:val="single" w:color="C8CDD8" w:sz="1"/>
            </w:tcBorders>
            <w:shd w:fill="FFFFFF" w:val="clear"/>
            <w:tcMar>
              <w:top w:type="dxa" w:w="80"/>
              <w:left w:type="dxa" w:w="160"/>
              <w:bottom w:type="dxa" w:w="100"/>
              <w:right w:type="dxa" w:w="120"/>
            </w:tcMar>
          </w:tcPr>
          <w:p>
            <w:pPr>
              <w:spacing w:after="0" w:before="0"/>
            </w:pPr>
            <w:r>
              <w:rPr>
                <w:rFonts w:ascii="Times New Roman" w:cs="Times New Roman" w:eastAsia="Times New Roman" w:hAnsi="Times New Roman"/>
                <w:sz w:val="21"/>
                <w:szCs w:val="21"/>
              </w:rPr>
              <w:t xml:space="preserve">China’s Hormuz vulnerability is very likely declining structurally as electrification reduces fossil fuel’s share of total energy consumption. A leverage window exists and is finite. The 5–10 year estimate is an analytic range, not a predicted endpoint; institutional lock-in must occur during the current crisis window if it occurs at all.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8CDD8" w:sz="1"/>
              <w:left w:val="single" w:color="C8CDD8" w:sz="1"/>
              <w:bottom w:val="single" w:color="C8CDD8" w:sz="1"/>
              <w:right w:val="single" w:color="C8CDD8"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KJ</w:t>
            </w:r>
            <w:r>
              <w:rPr>
                <w:rFonts w:ascii="Arial" w:cs="Arial" w:eastAsia="Arial" w:hAnsi="Arial"/>
                <w:b/>
                <w:bCs/>
                <w:color w:val="FFFFFF"/>
                <w:sz w:val="24"/>
                <w:szCs w:val="24"/>
              </w:rPr>
              <w:br/>
              <w:t xml:space="preserve">
4</w:t>
            </w:r>
          </w:p>
        </w:tc>
        <w:tc>
          <w:tcPr>
            <w:tcW w:type="dxa" w:w="8460"/>
            <w:tcBorders>
              <w:top w:val="single" w:color="C8CDD8" w:sz="1"/>
              <w:left w:val="single" w:color="C8CDD8" w:sz="1"/>
              <w:bottom w:val="single" w:color="C8CDD8" w:sz="1"/>
              <w:right w:val="single" w:color="C8CDD8" w:sz="1"/>
            </w:tcBorders>
            <w:shd w:fill="FDF8EE" w:val="clear"/>
            <w:tcMar>
              <w:top w:type="dxa" w:w="60"/>
              <w:left w:type="dxa" w:w="160"/>
              <w:bottom w:type="dxa" w:w="40"/>
              <w:right w:type="dxa" w:w="120"/>
            </w:tcMar>
          </w:tcPr>
          <w:p>
            <w:pPr>
              <w:spacing w:after="0" w:before="0"/>
            </w:pPr>
            <w:r>
              <w:rPr>
                <w:rFonts w:ascii="Arial" w:cs="Arial" w:eastAsia="Arial" w:hAnsi="Arial"/>
                <w:b/>
                <w:bCs/>
                <w:color w:val="7A4A00"/>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C8CDD8" w:sz="1"/>
              <w:left w:val="single" w:color="C8CDD8" w:sz="1"/>
              <w:bottom w:val="single" w:color="C8CDD8" w:sz="1"/>
              <w:right w:val="single" w:color="C8CDD8" w:sz="1"/>
            </w:tcBorders>
          </w:tcPr>
          <w:p/>
        </w:tc>
        <w:tc>
          <w:tcPr>
            <w:tcW w:type="dxa" w:w="8460"/>
            <w:tcBorders>
              <w:top w:val="single" w:color="C8CDD8" w:sz="1"/>
              <w:left w:val="single" w:color="C8CDD8" w:sz="1"/>
              <w:bottom w:val="single" w:color="C8CDD8" w:sz="1"/>
              <w:right w:val="single" w:color="C8CDD8" w:sz="1"/>
            </w:tcBorders>
            <w:shd w:fill="FFFFFF" w:val="clear"/>
            <w:tcMar>
              <w:top w:type="dxa" w:w="80"/>
              <w:left w:type="dxa" w:w="160"/>
              <w:bottom w:type="dxa" w:w="100"/>
              <w:right w:type="dxa" w:w="120"/>
            </w:tcMar>
          </w:tcPr>
          <w:p>
            <w:pPr>
              <w:spacing w:after="0" w:before="0"/>
            </w:pPr>
            <w:r>
              <w:rPr>
                <w:rFonts w:ascii="Times New Roman" w:cs="Times New Roman" w:eastAsia="Times New Roman" w:hAnsi="Times New Roman"/>
                <w:sz w:val="21"/>
                <w:szCs w:val="21"/>
              </w:rPr>
              <w:t xml:space="preserve">India is likely achievable as a parallel beneficiary of US-designed outcomes by deliberate institutional design over the five-year crisis window, but is very unlikely to accept formal coalition membership. Any architecture requiring India to formally abandon strategic autonomy is assessed as very likely to fail regardless of conditions offered.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8CDD8" w:sz="1"/>
              <w:left w:val="single" w:color="C8CDD8" w:sz="1"/>
              <w:bottom w:val="single" w:color="C8CDD8" w:sz="1"/>
              <w:right w:val="single" w:color="C8CDD8"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KJ</w:t>
            </w:r>
            <w:r>
              <w:rPr>
                <w:rFonts w:ascii="Arial" w:cs="Arial" w:eastAsia="Arial" w:hAnsi="Arial"/>
                <w:b/>
                <w:bCs/>
                <w:color w:val="FFFFFF"/>
                <w:sz w:val="24"/>
                <w:szCs w:val="24"/>
              </w:rPr>
              <w:br/>
              <w:t xml:space="preserve">
5</w:t>
            </w:r>
          </w:p>
        </w:tc>
        <w:tc>
          <w:tcPr>
            <w:tcW w:type="dxa" w:w="8460"/>
            <w:tcBorders>
              <w:top w:val="single" w:color="C8CDD8" w:sz="1"/>
              <w:left w:val="single" w:color="C8CDD8" w:sz="1"/>
              <w:bottom w:val="single" w:color="C8CDD8" w:sz="1"/>
              <w:right w:val="single" w:color="C8CDD8" w:sz="1"/>
            </w:tcBorders>
            <w:shd w:fill="FDF0F0" w:val="clear"/>
            <w:tcMar>
              <w:top w:type="dxa" w:w="60"/>
              <w:left w:type="dxa" w:w="160"/>
              <w:bottom w:type="dxa" w:w="40"/>
              <w:right w:type="dxa" w:w="120"/>
            </w:tcMar>
          </w:tcPr>
          <w:p>
            <w:pPr>
              <w:spacing w:after="0" w:before="0"/>
            </w:pPr>
            <w:r>
              <w:rPr>
                <w:rFonts w:ascii="Arial" w:cs="Arial" w:eastAsia="Arial" w:hAnsi="Arial"/>
                <w:b/>
                <w:bCs/>
                <w:color w:val="7B1C1C"/>
                <w:sz w:val="18"/>
                <w:szCs w:val="18"/>
              </w:rPr>
              <w:t xml:space="preserve">LOW-MODERATE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Scenario-Conditioned</w:t>
            </w:r>
          </w:p>
        </w:tc>
      </w:tr>
      <w:tr>
        <w:tc>
          <w:tcPr>
            <w:vMerge w:val="continue"/>
            <w:tcBorders>
              <w:top w:val="single" w:color="C8CDD8" w:sz="1"/>
              <w:left w:val="single" w:color="C8CDD8" w:sz="1"/>
              <w:bottom w:val="single" w:color="C8CDD8" w:sz="1"/>
              <w:right w:val="single" w:color="C8CDD8" w:sz="1"/>
            </w:tcBorders>
          </w:tcPr>
          <w:p/>
        </w:tc>
        <w:tc>
          <w:tcPr>
            <w:tcW w:type="dxa" w:w="8460"/>
            <w:tcBorders>
              <w:top w:val="single" w:color="C8CDD8" w:sz="1"/>
              <w:left w:val="single" w:color="C8CDD8" w:sz="1"/>
              <w:bottom w:val="single" w:color="C8CDD8" w:sz="1"/>
              <w:right w:val="single" w:color="C8CDD8" w:sz="1"/>
            </w:tcBorders>
            <w:shd w:fill="FFFFFF" w:val="clear"/>
            <w:tcMar>
              <w:top w:type="dxa" w:w="80"/>
              <w:left w:type="dxa" w:w="160"/>
              <w:bottom w:type="dxa" w:w="100"/>
              <w:right w:type="dxa" w:w="120"/>
            </w:tcMar>
          </w:tcPr>
          <w:p>
            <w:pPr>
              <w:spacing w:after="0" w:before="0"/>
            </w:pPr>
            <w:r>
              <w:rPr>
                <w:rFonts w:ascii="Times New Roman" w:cs="Times New Roman" w:eastAsia="Times New Roman" w:hAnsi="Times New Roman"/>
                <w:sz w:val="21"/>
                <w:szCs w:val="21"/>
              </w:rPr>
              <w:t xml:space="preserve">Full concurrent architecture execution on the five-year horizon is assessed at roughly even odds under scenario conditions. That probability assessment itself carries LOW-MODERATE confidence because it is contingent on three variables — Iranian escalation threshold, Saudi treaty pace, and Chinese diplomatic intervention timing — each of which the available open-source record supports at only LOW to LOW-MODERATE confidence. The minimum coalition-effective architecture defines what partial execution achieves if full concurrent delivery is not realized.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vMerge w:val="restart"/>
            <w:tcBorders>
              <w:top w:val="single" w:color="C8CDD8" w:sz="1"/>
              <w:left w:val="single" w:color="C8CDD8" w:sz="1"/>
              <w:bottom w:val="single" w:color="C8CDD8" w:sz="1"/>
              <w:right w:val="single" w:color="C8CDD8"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KJ</w:t>
            </w:r>
            <w:r>
              <w:rPr>
                <w:rFonts w:ascii="Arial" w:cs="Arial" w:eastAsia="Arial" w:hAnsi="Arial"/>
                <w:b/>
                <w:bCs/>
                <w:color w:val="FFFFFF"/>
                <w:sz w:val="24"/>
                <w:szCs w:val="24"/>
              </w:rPr>
              <w:br/>
              <w:t xml:space="preserve">
6</w:t>
            </w:r>
          </w:p>
        </w:tc>
        <w:tc>
          <w:tcPr>
            <w:tcW w:type="dxa" w:w="8460"/>
            <w:tcBorders>
              <w:top w:val="single" w:color="C8CDD8" w:sz="1"/>
              <w:left w:val="single" w:color="C8CDD8" w:sz="1"/>
              <w:bottom w:val="single" w:color="C8CDD8" w:sz="1"/>
              <w:right w:val="single" w:color="C8CDD8" w:sz="1"/>
            </w:tcBorders>
            <w:shd w:fill="FDF8EE" w:val="clear"/>
            <w:tcMar>
              <w:top w:type="dxa" w:w="60"/>
              <w:left w:type="dxa" w:w="160"/>
              <w:bottom w:type="dxa" w:w="40"/>
              <w:right w:type="dxa" w:w="120"/>
            </w:tcMar>
          </w:tcPr>
          <w:p>
            <w:pPr>
              <w:spacing w:after="0" w:before="0"/>
            </w:pPr>
            <w:r>
              <w:rPr>
                <w:rFonts w:ascii="Arial" w:cs="Arial" w:eastAsia="Arial" w:hAnsi="Arial"/>
                <w:b/>
                <w:bCs/>
                <w:color w:val="7A4A00"/>
                <w:sz w:val="18"/>
                <w:szCs w:val="18"/>
              </w:rPr>
              <w:t xml:space="preserve">MODERATE CONFIDENCE</w:t>
            </w:r>
            <w:r>
              <w:rPr>
                <w:rFonts w:ascii="Arial" w:cs="Arial" w:eastAsia="Arial" w:hAnsi="Arial"/>
                <w:color w:val="4A5568"/>
                <w:sz w:val="18"/>
                <w:szCs w:val="18"/>
              </w:rPr>
              <w:t xml:space="preserve">  ·  </w:t>
            </w:r>
            <w:r>
              <w:rPr>
                <w:rFonts w:ascii="Arial" w:cs="Arial" w:eastAsia="Arial" w:hAnsi="Arial"/>
                <w:i/>
                <w:iCs/>
                <w:color w:val="4A5568"/>
                <w:sz w:val="18"/>
                <w:szCs w:val="18"/>
              </w:rPr>
              <w:t xml:space="preserve">Analytically Inferred</w:t>
            </w:r>
          </w:p>
        </w:tc>
      </w:tr>
      <w:tr>
        <w:tc>
          <w:tcPr>
            <w:vMerge w:val="continue"/>
            <w:tcBorders>
              <w:top w:val="single" w:color="C8CDD8" w:sz="1"/>
              <w:left w:val="single" w:color="C8CDD8" w:sz="1"/>
              <w:bottom w:val="single" w:color="C8CDD8" w:sz="1"/>
              <w:right w:val="single" w:color="C8CDD8" w:sz="1"/>
            </w:tcBorders>
          </w:tcPr>
          <w:p/>
        </w:tc>
        <w:tc>
          <w:tcPr>
            <w:tcW w:type="dxa" w:w="8460"/>
            <w:tcBorders>
              <w:top w:val="single" w:color="C8CDD8" w:sz="1"/>
              <w:left w:val="single" w:color="C8CDD8" w:sz="1"/>
              <w:bottom w:val="single" w:color="C8CDD8" w:sz="1"/>
              <w:right w:val="single" w:color="C8CDD8" w:sz="1"/>
            </w:tcBorders>
            <w:shd w:fill="FFFFFF" w:val="clear"/>
            <w:tcMar>
              <w:top w:type="dxa" w:w="80"/>
              <w:left w:type="dxa" w:w="160"/>
              <w:bottom w:type="dxa" w:w="100"/>
              <w:right w:type="dxa" w:w="120"/>
            </w:tcMar>
          </w:tcPr>
          <w:p>
            <w:pPr>
              <w:spacing w:after="0" w:before="0"/>
            </w:pPr>
            <w:r>
              <w:rPr>
                <w:rFonts w:ascii="Times New Roman" w:cs="Times New Roman" w:eastAsia="Times New Roman" w:hAnsi="Times New Roman"/>
                <w:sz w:val="21"/>
                <w:szCs w:val="21"/>
              </w:rPr>
              <w:t xml:space="preserve">The most likely failure point is the Saudi treaty variable, not BRI displacement or Forum institutionalization. Treaty stall produces a degraded but partially functional architecture. Architecture collapse — not degradation — requires concurrent failure of both coalition persistence and China’s decision to contest rather than participate in the Forum.</w:t>
            </w:r>
          </w:p>
        </w:tc>
      </w:tr>
    </w:tbl>
    <w:p>
      <w:pPr>
        <w:spacing w:before="80"/>
      </w:pPr>
    </w:p>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II.  </w:t>
      </w:r>
      <w:r>
        <w:rPr>
          <w:rFonts w:ascii="Arial" w:cs="Arial" w:eastAsia="Arial" w:hAnsi="Arial"/>
          <w:b/>
          <w:bCs/>
          <w:color w:val="1B2A4A"/>
          <w:sz w:val="22"/>
          <w:szCs w:val="22"/>
        </w:rPr>
        <w:t xml:space="preserve">Scope, Tradecraft Standard, and Confidence Framework</w:t>
      </w:r>
    </w:p>
    <w:p>
      <w:pPr>
        <w:spacing w:after="80" w:before="200"/>
      </w:pPr>
      <w:r>
        <w:rPr>
          <w:rFonts w:ascii="Arial" w:cs="Arial" w:eastAsia="Arial" w:hAnsi="Arial"/>
          <w:b/>
          <w:bCs/>
          <w:color w:val="4A5568"/>
          <w:sz w:val="22"/>
          <w:szCs w:val="22"/>
        </w:rPr>
        <w:t xml:space="preserve">2.1 Scope</w:t>
      </w:r>
    </w:p>
    <w:p>
      <w:pPr>
        <w:spacing w:after="100" w:before="80"/>
        <w:ind w:firstLine="720"/>
      </w:pPr>
      <w:r>
        <w:rPr>
          <w:rFonts w:ascii="Times New Roman" w:cs="Times New Roman" w:eastAsia="Times New Roman" w:hAnsi="Times New Roman"/>
          <w:color w:val="000000"/>
          <w:sz w:val="22"/>
          <w:szCs w:val="22"/>
        </w:rPr>
        <w:t xml:space="preserve">This estimate assesses the strategic availability and likely outcome distribution of a US-led coalition corridor architecture in the Indian Ocean–Middle East corridor, conditional on the March 2026 Hormuz crisis scenario premises. It is not a prediction, a policy recommendation, or an assessment of US government intent. It estimates the conditional opportunity space and likely outcome distribution; it does not assess whether execution will occur. It assesses the conditional opportunity space, the scenario-conditioned outcome distribution, the most probable alternative pathways, and the observable indicators that would update confidence in each direction.</w:t>
      </w:r>
    </w:p>
    <w:p>
      <w:pPr>
        <w:spacing w:after="100" w:before="80"/>
        <w:ind w:firstLine="720"/>
      </w:pPr>
      <w:r>
        <w:rPr>
          <w:rFonts w:ascii="Times New Roman" w:cs="Times New Roman" w:eastAsia="Times New Roman" w:hAnsi="Times New Roman"/>
          <w:color w:val="000000"/>
          <w:sz w:val="22"/>
          <w:szCs w:val="22"/>
        </w:rPr>
        <w:t xml:space="preserve">The estimate’s geographic scope is the Indian Ocean corridor and the Gulf states from which BRI displacement, Forum institutionalization, and mineral partnership components derive their strategic significance. It does not address European theater dynamics, Taiwan Strait contingencies, or Arctic corridor developments except as secondary leverage variables.</w:t>
      </w:r>
    </w:p>
    <w:p>
      <w:pPr>
        <w:spacing w:after="80" w:before="200"/>
      </w:pPr>
      <w:r>
        <w:rPr>
          <w:rFonts w:ascii="Arial" w:cs="Arial" w:eastAsia="Arial" w:hAnsi="Arial"/>
          <w:b/>
          <w:bCs/>
          <w:color w:val="4A5568"/>
          <w:sz w:val="22"/>
          <w:szCs w:val="22"/>
        </w:rPr>
        <w:t xml:space="preserve">2.2 Tradecraft Standard</w:t>
      </w:r>
    </w:p>
    <w:p>
      <w:pPr>
        <w:spacing w:after="100" w:before="80"/>
        <w:ind w:firstLine="720"/>
      </w:pPr>
      <w:r>
        <w:rPr>
          <w:rFonts w:ascii="Times New Roman" w:cs="Times New Roman" w:eastAsia="Times New Roman" w:hAnsi="Times New Roman"/>
          <w:color w:val="000000"/>
          <w:sz w:val="22"/>
          <w:szCs w:val="22"/>
        </w:rPr>
        <w:t xml:space="preserve">This estimate applies a dual-axis confidence framework that separates evidentiary quality (how strong is the underlying factual record?) from analytic confidence (given that record, how confident is the judgment?). The two axes can diverge: a well-documented structural constraint can support HIGH evidentiary quality with only MODERATE analytic confidence where the causal mechanism is contested. Probability assessments use IC-standard verbal scale: Almost Certainly (&gt;95%), Very Likely (&gt;80%), Likely (60–80%), Roughly Even Odds (40–60%), Unlikely (20–40%), Very Unlikely (&lt;20%), Remote (&lt;5%). Confidence labels: HIGH, MODERATE, LOW-MODERATE, LOW.</w:t>
      </w:r>
    </w:p>
    <w:p>
      <w:pPr>
        <w:spacing w:after="80" w:before="200"/>
      </w:pPr>
      <w:r>
        <w:rPr>
          <w:rFonts w:ascii="Arial" w:cs="Arial" w:eastAsia="Arial" w:hAnsi="Arial"/>
          <w:b/>
          <w:bCs/>
          <w:color w:val="4A5568"/>
          <w:sz w:val="22"/>
          <w:szCs w:val="22"/>
        </w:rPr>
        <w:t xml:space="preserve">2.3 Open-Source Ceiling</w:t>
      </w:r>
    </w:p>
    <w:p>
      <w:pPr>
        <w:spacing w:after="100" w:before="80"/>
        <w:ind w:firstLine="720"/>
      </w:pPr>
      <w:r>
        <w:rPr>
          <w:rFonts w:ascii="Times New Roman" w:cs="Times New Roman" w:eastAsia="Times New Roman" w:hAnsi="Times New Roman"/>
          <w:color w:val="000000"/>
          <w:sz w:val="22"/>
          <w:szCs w:val="22"/>
        </w:rPr>
        <w:t xml:space="preserve">All judgments in this estimate rest on open-source evidentiary foundations. The evidentiary ceiling for several critical variables — particularly Iranian escalation decision-making, Chinese internal deliberations on Forum participation, and Saudi treaty negotiation dynamics — is binding. Judgments dependent on these variables carry LOW to LOW-MODERATE confidence not because the structural logic is weak but because the dispositive data is not available on open sources. Government access to FinCEN data, NSA signals, and allied diplomatic reporting would materially upgrade confidence on KJs 4 and 5 specifically.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4172" w:sz="12"/>
              <w:bottom w:val="none" w:color="FFFFFF" w:sz="0"/>
              <w:right w:val="none" w:color="FFFFFF" w:sz="0"/>
            </w:tcBorders>
            <w:shd w:fill="F4F5F7" w:val="clear"/>
            <w:tcMar>
              <w:top w:type="dxa" w:w="80"/>
              <w:left w:type="dxa" w:w="160"/>
              <w:bottom w:type="dxa" w:w="80"/>
              <w:right w:type="dxa" w:w="160"/>
            </w:tcMar>
          </w:tcPr>
          <w:p>
            <w:pPr>
              <w:spacing w:after="0" w:before="0"/>
            </w:pPr>
            <w:r>
              <w:rPr>
                <w:rFonts w:ascii="Times New Roman" w:cs="Times New Roman" w:eastAsia="Times New Roman" w:hAnsi="Times New Roman"/>
                <w:i/>
                <w:iCs/>
                <w:color w:val="4A5568"/>
                <w:sz w:val="20"/>
                <w:szCs w:val="20"/>
              </w:rPr>
              <w:t xml:space="preserve">Two-Axis Confidence Summary: This estimate’s structurally-derived judgments (KJ 2, 3) carry the highest confidence because they derive from geographic and economic constraints that are publicly documented and not contingent on actor behavior. Scenario-conditioned judgments (KJ 1, 5) carry lower confidence because they depend on concurrence of multiple actor decisions under time pressure. KJ 4 and 6 occupy an intermediate position: the structural incentives are inferable from open sources, but the specific actor choices are not.</w:t>
            </w:r>
          </w:p>
        </w:tc>
      </w:tr>
    </w:tbl>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III.  </w:t>
      </w:r>
      <w:r>
        <w:rPr>
          <w:rFonts w:ascii="Arial" w:cs="Arial" w:eastAsia="Arial" w:hAnsi="Arial"/>
          <w:b/>
          <w:bCs/>
          <w:color w:val="1B2A4A"/>
          <w:sz w:val="22"/>
          <w:szCs w:val="22"/>
        </w:rPr>
        <w:t xml:space="preserve">Baseline Assessment</w:t>
      </w:r>
    </w:p>
    <w:p>
      <w:pPr>
        <w:spacing w:after="80" w:before="200"/>
      </w:pPr>
      <w:r>
        <w:rPr>
          <w:rFonts w:ascii="Arial" w:cs="Arial" w:eastAsia="Arial" w:hAnsi="Arial"/>
          <w:b/>
          <w:bCs/>
          <w:color w:val="4A5568"/>
          <w:sz w:val="22"/>
          <w:szCs w:val="22"/>
        </w:rPr>
        <w:t xml:space="preserve">3.1 The Structural Lever: BRI’s Hormuz Dependency</w:t>
      </w:r>
    </w:p>
    <w:p>
      <w:pPr>
        <w:spacing w:after="100" w:before="80"/>
        <w:ind w:firstLine="720"/>
      </w:pPr>
      <w:r>
        <w:rPr>
          <w:rFonts w:ascii="Times New Roman" w:cs="Times New Roman" w:eastAsia="Times New Roman" w:hAnsi="Times New Roman"/>
          <w:color w:val="000000"/>
          <w:sz w:val="22"/>
          <w:szCs w:val="22"/>
        </w:rPr>
        <w:t xml:space="preserve">BRI’s strategic architecture rests on a physical vulnerability that is structurally determined rather than contingent: the hub-and-spoke configuration of Chinese maritime energy imports converges on the Strait of Hormuz in a way that no Chinese-controlled bypass architecture can fully resolve on a decade planning horizon. Roughly 55–60% of Chinese crude imports transit Hormuz under current routing configurations. The planned Energy China Corridor and CPEC pipeline alternatives can redirect modest volumes but cannot replace the maritime route’s throughput capacity on any timeline under ten years. This dependency is the leverage foundation on which the BRI corridor architecture operates. [HIGH CONFIDENCE, Analytically Inferred]</w:t>
      </w:r>
    </w:p>
    <w:p>
      <w:pPr>
        <w:spacing w:after="100" w:before="80"/>
        <w:ind w:firstLine="720"/>
      </w:pPr>
      <w:r>
        <w:rPr>
          <w:rFonts w:ascii="Times New Roman" w:cs="Times New Roman" w:eastAsia="Times New Roman" w:hAnsi="Times New Roman"/>
          <w:color w:val="000000"/>
          <w:sz w:val="22"/>
          <w:szCs w:val="22"/>
        </w:rPr>
        <w:t xml:space="preserve">The leverage window is finite. IEA electrification scenario modeling projects Chinese fossil fuel’s share of total primary energy declining through the 2030s, reducing the economic coercive value of Hormuz transit control. The combination of declining dependency and bypass architecture development — CPEC, INSTC, Russian Arctic routing — compresses the available window for institutional lock-in. Five to ten years is the analytic range for when the compulsion threshold remains operative; the lower bound reflects accelerated electrification scenarios and Chinese domestic development success. [MODERATE CONFIDENCE, Analytically Inferred]</w:t>
      </w:r>
    </w:p>
    <w:p>
      <w:pPr>
        <w:spacing w:after="80" w:before="200"/>
      </w:pPr>
      <w:r>
        <w:rPr>
          <w:rFonts w:ascii="Arial" w:cs="Arial" w:eastAsia="Arial" w:hAnsi="Arial"/>
          <w:b/>
          <w:bCs/>
          <w:color w:val="4A5568"/>
          <w:sz w:val="22"/>
          <w:szCs w:val="22"/>
        </w:rPr>
        <w:t xml:space="preserve">3.2 The Scenario Trigger: March 2026 Hormuz Crisis</w:t>
      </w:r>
    </w:p>
    <w:p>
      <w:pPr>
        <w:spacing w:after="100" w:before="80"/>
        <w:ind w:firstLine="720"/>
      </w:pPr>
      <w:r>
        <w:rPr>
          <w:rFonts w:ascii="Times New Roman" w:cs="Times New Roman" w:eastAsia="Times New Roman" w:hAnsi="Times New Roman"/>
          <w:color w:val="000000"/>
          <w:sz w:val="22"/>
          <w:szCs w:val="22"/>
        </w:rPr>
        <w:t xml:space="preserve">The March 2026 Hormuz crisis has opened a window that would not otherwise exist. A credible demonstration of US coalition capacity to affect Hormuz transit reliability creates coercive leverage that structural Hormuz dependency alone does not deliver in peacetime. The crisis converts a latent structural asymmetry into an operational one. Simultaneously, it creates the political conditions under which GCC states will consider binding security architecture that they would resist in a steady-state environment. [MODERATE CONFIDENCE, Scenario-Conditioned]</w:t>
      </w:r>
    </w:p>
    <w:p>
      <w:pPr>
        <w:spacing w:after="100" w:before="80"/>
        <w:ind w:firstLine="720"/>
      </w:pPr>
      <w:r>
        <w:rPr>
          <w:rFonts w:ascii="Times New Roman" w:cs="Times New Roman" w:eastAsia="Times New Roman" w:hAnsi="Times New Roman"/>
          <w:color w:val="000000"/>
          <w:sz w:val="22"/>
          <w:szCs w:val="22"/>
        </w:rPr>
        <w:t xml:space="preserve">The crisis-conditioned opportunity window has four distinguishable components, each with independent viability assessments: (1) Saudi security treaty — the highest-value but highest-risk component; (2) GCC mineral partnership offtake agreements — the most tractable and least crisis-dependent; (3) Forum institutionalization for Indian Ocean transit governance — treaty-independent but requiring sustained diplomatic investment; (4) BRI Tier 2/3 node displacement in contestable pre-operational segments — addressable through DFC/JBIC competitive finance regardless of crisis trajectory.</w:t>
      </w:r>
    </w:p>
    <w:p>
      <w:pPr>
        <w:spacing w:after="80" w:before="200"/>
      </w:pPr>
      <w:r>
        <w:rPr>
          <w:rFonts w:ascii="Arial" w:cs="Arial" w:eastAsia="Arial" w:hAnsi="Arial"/>
          <w:b/>
          <w:bCs/>
          <w:color w:val="4A5568"/>
          <w:sz w:val="22"/>
          <w:szCs w:val="22"/>
        </w:rPr>
        <w:t xml:space="preserve">3.3 Russia’s Strategic Position</w:t>
      </w:r>
    </w:p>
    <w:p>
      <w:pPr>
        <w:spacing w:after="100" w:before="80"/>
        <w:ind w:firstLine="720"/>
      </w:pPr>
      <w:r>
        <w:rPr>
          <w:rFonts w:ascii="Times New Roman" w:cs="Times New Roman" w:eastAsia="Times New Roman" w:hAnsi="Times New Roman"/>
          <w:color w:val="000000"/>
          <w:sz w:val="22"/>
          <w:szCs w:val="22"/>
        </w:rPr>
        <w:t xml:space="preserve">Russia’s position in the architecture is primarily structural rather than volitional. Russian energy exports face sustained Western sanctions pressure and require Chinese market absorption to maintain hard-currency revenue. This creates asymmetric dependency: Russia needs China’s market more than China needs Russia’s energy, which constrains Russia’s willingness to support Chinese counter-moves against the Forum architecture. Sustained US-led sanctions enforcement against Russia’s primary alternative energy buyers — India being the most significant — compresses Russia’s strategic flexibility further. Russian isolation through superior alternative provision is the most scenario-independent component of the architecture. [MODERATE CONFIDENCE, Analytically Inferred]</w:t>
      </w:r>
    </w:p>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IV.  </w:t>
      </w:r>
      <w:r>
        <w:rPr>
          <w:rFonts w:ascii="Arial" w:cs="Arial" w:eastAsia="Arial" w:hAnsi="Arial"/>
          <w:b/>
          <w:bCs/>
          <w:color w:val="1B2A4A"/>
          <w:sz w:val="22"/>
          <w:szCs w:val="22"/>
        </w:rPr>
        <w:t xml:space="preserve">Scenario-Conditioned Outcome Estimate</w:t>
      </w:r>
    </w:p>
    <w:p>
      <w:pPr>
        <w:spacing w:after="80" w:before="60"/>
      </w:pPr>
      <w:r>
        <w:rPr>
          <w:rFonts w:ascii="Arial" w:cs="Arial" w:eastAsia="Arial" w:hAnsi="Arial"/>
          <w:color w:val="4A5568"/>
          <w:sz w:val="18"/>
          <w:szCs w:val="18"/>
        </w:rPr>
        <w:t xml:space="preserve">Five scenarios are assessed below in order of probability under scenario-conditioned premises. Probability bands are non-additive approximate analytic ranges, not point estimates; they reflect the analyst’s assessment of relative likelihood under uncertainty rather than a precise probability distribution. All estimates apply only if crisis premises hold through Year 1.</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20"/>
            </w:tcMar>
          </w:tcPr>
          <w:p>
            <w:pPr>
              <w:spacing w:after="40" w:before="0"/>
            </w:pPr>
            <w:r>
              <w:rPr>
                <w:rFonts w:ascii="Arial" w:cs="Arial" w:eastAsia="Arial" w:hAnsi="Arial"/>
                <w:b/>
                <w:bCs/>
                <w:color w:val="FFFFFF"/>
                <w:sz w:val="20"/>
                <w:szCs w:val="20"/>
              </w:rPr>
              <w:t xml:space="preserve">Scenario A</w:t>
            </w:r>
          </w:p>
          <w:p>
            <w:pPr>
              <w:spacing w:after="0" w:before="0"/>
            </w:pPr>
            <w:r>
              <w:rPr>
                <w:rFonts w:ascii="Arial" w:cs="Arial" w:eastAsia="Arial" w:hAnsi="Arial"/>
                <w:b/>
                <w:bCs/>
                <w:color w:val="F4F5F7"/>
                <w:sz w:val="18"/>
                <w:szCs w:val="18"/>
              </w:rPr>
              <w:t xml:space="preserve">35–45% probability</w:t>
            </w:r>
          </w:p>
          <w:p>
            <w:pPr>
              <w:spacing w:after="0" w:before="20"/>
            </w:pPr>
            <w:r>
              <w:rPr>
                <w:rFonts w:ascii="Arial" w:cs="Arial" w:eastAsia="Arial" w:hAnsi="Arial"/>
                <w:i/>
                <w:iCs/>
                <w:color w:val="F4F5F7"/>
                <w:sz w:val="16"/>
                <w:szCs w:val="16"/>
              </w:rPr>
              <w:t xml:space="preserve">Low-Mod Confidence</w:t>
            </w:r>
          </w:p>
        </w:tc>
        <w:tc>
          <w:tcPr>
            <w:tcW w:type="dxa" w:w="7760"/>
            <w:tcBorders>
              <w:top w:val="single" w:color="C8CDD8" w:sz="1"/>
              <w:left w:val="single" w:color="C8CDD8" w:sz="1"/>
              <w:bottom w:val="single" w:color="C8CDD8" w:sz="1"/>
              <w:right w:val="single" w:color="C8CDD8" w:sz="1"/>
            </w:tcBorders>
            <w:shd w:fill="EEF1F8" w:val="clear"/>
            <w:tcMar>
              <w:top w:type="dxa" w:w="80"/>
              <w:left w:type="dxa" w:w="160"/>
              <w:bottom w:type="dxa" w:w="80"/>
              <w:right w:type="dxa" w:w="120"/>
            </w:tcMar>
          </w:tcPr>
          <w:p>
            <w:pPr>
              <w:spacing w:after="40" w:before="0"/>
            </w:pPr>
            <w:r>
              <w:rPr>
                <w:rFonts w:ascii="Times New Roman" w:cs="Times New Roman" w:eastAsia="Times New Roman" w:hAnsi="Times New Roman"/>
                <w:b/>
                <w:bCs/>
                <w:sz w:val="20"/>
                <w:szCs w:val="20"/>
              </w:rPr>
              <w:t xml:space="preserve">Partial execution: GCC mineral partnerships + Forum institutionalization proceed; Saudi treaty stalls after Year 2.</w:t>
            </w:r>
          </w:p>
          <w:p>
            <w:pPr>
              <w:spacing w:after="0" w:before="0"/>
            </w:pPr>
            <w:r>
              <w:rPr>
                <w:rFonts w:ascii="Times New Roman" w:cs="Times New Roman" w:eastAsia="Times New Roman" w:hAnsi="Times New Roman"/>
                <w:color w:val="4A5568"/>
                <w:sz w:val="19"/>
                <w:szCs w:val="19"/>
              </w:rPr>
              <w:t xml:space="preserve">Architecture delivers structural advantage but not decade-level institutional lock-in. Requires active US maintenance rather than self-enforcing institutional design. Chinese counter-moves through ASEAN/SCO alternative frameworks degrade Forum normative authority gradually. Outcome: moderate durable advantage over 3–7 years.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20"/>
            </w:tcMar>
          </w:tcPr>
          <w:p>
            <w:pPr>
              <w:spacing w:after="40" w:before="0"/>
            </w:pPr>
            <w:r>
              <w:rPr>
                <w:rFonts w:ascii="Arial" w:cs="Arial" w:eastAsia="Arial" w:hAnsi="Arial"/>
                <w:b/>
                <w:bCs/>
                <w:color w:val="FFFFFF"/>
                <w:sz w:val="20"/>
                <w:szCs w:val="20"/>
              </w:rPr>
              <w:t xml:space="preserve">Scenario B</w:t>
            </w:r>
          </w:p>
          <w:p>
            <w:pPr>
              <w:spacing w:after="0" w:before="0"/>
            </w:pPr>
            <w:r>
              <w:rPr>
                <w:rFonts w:ascii="Arial" w:cs="Arial" w:eastAsia="Arial" w:hAnsi="Arial"/>
                <w:b/>
                <w:bCs/>
                <w:color w:val="F4F5F7"/>
                <w:sz w:val="18"/>
                <w:szCs w:val="18"/>
              </w:rPr>
              <w:t xml:space="preserve">20–30% probability</w:t>
            </w:r>
          </w:p>
          <w:p>
            <w:pPr>
              <w:spacing w:after="0" w:before="20"/>
            </w:pPr>
            <w:r>
              <w:rPr>
                <w:rFonts w:ascii="Arial" w:cs="Arial" w:eastAsia="Arial" w:hAnsi="Arial"/>
                <w:i/>
                <w:iCs/>
                <w:color w:val="F4F5F7"/>
                <w:sz w:val="16"/>
                <w:szCs w:val="16"/>
              </w:rPr>
              <w:t xml:space="preserve">Moderate Confidence</w:t>
            </w:r>
          </w:p>
        </w:tc>
        <w:tc>
          <w:tcPr>
            <w:tcW w:type="dxa" w:w="7760"/>
            <w:tcBorders>
              <w:top w:val="single" w:color="C8CDD8" w:sz="1"/>
              <w:left w:val="single" w:color="C8CDD8" w:sz="1"/>
              <w:bottom w:val="single" w:color="C8CDD8" w:sz="1"/>
              <w:right w:val="single" w:color="C8CDD8" w:sz="1"/>
            </w:tcBorders>
            <w:shd w:fill="EEF1F8" w:val="clear"/>
            <w:tcMar>
              <w:top w:type="dxa" w:w="80"/>
              <w:left w:type="dxa" w:w="160"/>
              <w:bottom w:type="dxa" w:w="80"/>
              <w:right w:type="dxa" w:w="120"/>
            </w:tcMar>
          </w:tcPr>
          <w:p>
            <w:pPr>
              <w:spacing w:after="40" w:before="0"/>
            </w:pPr>
            <w:r>
              <w:rPr>
                <w:rFonts w:ascii="Times New Roman" w:cs="Times New Roman" w:eastAsia="Times New Roman" w:hAnsi="Times New Roman"/>
                <w:b/>
                <w:bCs/>
                <w:sz w:val="20"/>
                <w:szCs w:val="20"/>
              </w:rPr>
              <w:t xml:space="preserve">Full concurrent execution: all four components proceed within crisis window.</w:t>
            </w:r>
          </w:p>
          <w:p>
            <w:pPr>
              <w:spacing w:after="0" w:before="0"/>
            </w:pPr>
            <w:r>
              <w:rPr>
                <w:rFonts w:ascii="Times New Roman" w:cs="Times New Roman" w:eastAsia="Times New Roman" w:hAnsi="Times New Roman"/>
                <w:color w:val="4A5568"/>
                <w:sz w:val="19"/>
                <w:szCs w:val="19"/>
              </w:rPr>
              <w:t xml:space="preserve">Decade-level institutional lock-in achieved. Saudi treaty converts GCC partnerships from contingent to self-enforcing. India converts from parallel beneficiary to operational coordination under tariff resolution. This is the architecture’s designed outcome but requires the most favorable confluence of actor behavior. Outcome: structural advantage extending to mid-2030s.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20"/>
            </w:tcMar>
          </w:tcPr>
          <w:p>
            <w:pPr>
              <w:spacing w:after="40" w:before="0"/>
            </w:pPr>
            <w:r>
              <w:rPr>
                <w:rFonts w:ascii="Arial" w:cs="Arial" w:eastAsia="Arial" w:hAnsi="Arial"/>
                <w:b/>
                <w:bCs/>
                <w:color w:val="FFFFFF"/>
                <w:sz w:val="20"/>
                <w:szCs w:val="20"/>
              </w:rPr>
              <w:t xml:space="preserve">Scenario C</w:t>
            </w:r>
          </w:p>
          <w:p>
            <w:pPr>
              <w:spacing w:after="0" w:before="0"/>
            </w:pPr>
            <w:r>
              <w:rPr>
                <w:rFonts w:ascii="Arial" w:cs="Arial" w:eastAsia="Arial" w:hAnsi="Arial"/>
                <w:b/>
                <w:bCs/>
                <w:color w:val="F4F5F7"/>
                <w:sz w:val="18"/>
                <w:szCs w:val="18"/>
              </w:rPr>
              <w:t xml:space="preserve">15–25% probability</w:t>
            </w:r>
          </w:p>
          <w:p>
            <w:pPr>
              <w:spacing w:after="0" w:before="20"/>
            </w:pPr>
            <w:r>
              <w:rPr>
                <w:rFonts w:ascii="Arial" w:cs="Arial" w:eastAsia="Arial" w:hAnsi="Arial"/>
                <w:i/>
                <w:iCs/>
                <w:color w:val="F4F5F7"/>
                <w:sz w:val="16"/>
                <w:szCs w:val="16"/>
              </w:rPr>
              <w:t xml:space="preserve">Low Confidence</w:t>
            </w:r>
          </w:p>
        </w:tc>
        <w:tc>
          <w:tcPr>
            <w:tcW w:type="dxa" w:w="7760"/>
            <w:tcBorders>
              <w:top w:val="single" w:color="C8CDD8" w:sz="1"/>
              <w:left w:val="single" w:color="C8CDD8" w:sz="1"/>
              <w:bottom w:val="single" w:color="C8CDD8" w:sz="1"/>
              <w:right w:val="single" w:color="C8CDD8" w:sz="1"/>
            </w:tcBorders>
            <w:shd w:fill="EEF1F8" w:val="clear"/>
            <w:tcMar>
              <w:top w:type="dxa" w:w="80"/>
              <w:left w:type="dxa" w:w="160"/>
              <w:bottom w:type="dxa" w:w="80"/>
              <w:right w:type="dxa" w:w="120"/>
            </w:tcMar>
          </w:tcPr>
          <w:p>
            <w:pPr>
              <w:spacing w:after="40" w:before="0"/>
            </w:pPr>
            <w:r>
              <w:rPr>
                <w:rFonts w:ascii="Times New Roman" w:cs="Times New Roman" w:eastAsia="Times New Roman" w:hAnsi="Times New Roman"/>
                <w:b/>
                <w:bCs/>
                <w:sz w:val="20"/>
                <w:szCs w:val="20"/>
              </w:rPr>
              <w:t xml:space="preserve">China hedges and delays: Forum alternative institutionalization under ASEAN/SCO rather than confrontational refusal.</w:t>
            </w:r>
          </w:p>
          <w:p>
            <w:pPr>
              <w:spacing w:after="0" w:before="0"/>
            </w:pPr>
            <w:r>
              <w:rPr>
                <w:rFonts w:ascii="Times New Roman" w:cs="Times New Roman" w:eastAsia="Times New Roman" w:hAnsi="Times New Roman"/>
                <w:color w:val="4A5568"/>
                <w:sz w:val="19"/>
                <w:szCs w:val="19"/>
              </w:rPr>
              <w:t xml:space="preserve">Most strategically rational Chinese response. Does not break the architecture’s structural mechanism — Hormuz dependency is a logistics constraint, not a policy variable — but extends the timeline for leverage to accumulate by redirecting diplomatic effort. Outcome: compressed leverage window; architecture partially effective; outcome distribution shifts toward Scenario A.</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20"/>
            </w:tcMar>
          </w:tcPr>
          <w:p>
            <w:pPr>
              <w:spacing w:after="40" w:before="0"/>
            </w:pPr>
            <w:r>
              <w:rPr>
                <w:rFonts w:ascii="Arial" w:cs="Arial" w:eastAsia="Arial" w:hAnsi="Arial"/>
                <w:b/>
                <w:bCs/>
                <w:color w:val="FFFFFF"/>
                <w:sz w:val="20"/>
                <w:szCs w:val="20"/>
              </w:rPr>
              <w:t xml:space="preserve">Scenario D</w:t>
            </w:r>
          </w:p>
          <w:p>
            <w:pPr>
              <w:spacing w:after="0" w:before="0"/>
            </w:pPr>
            <w:r>
              <w:rPr>
                <w:rFonts w:ascii="Arial" w:cs="Arial" w:eastAsia="Arial" w:hAnsi="Arial"/>
                <w:b/>
                <w:bCs/>
                <w:color w:val="F4F5F7"/>
                <w:sz w:val="18"/>
                <w:szCs w:val="18"/>
              </w:rPr>
              <w:t xml:space="preserve">10–15% probability</w:t>
            </w:r>
          </w:p>
          <w:p>
            <w:pPr>
              <w:spacing w:after="0" w:before="20"/>
            </w:pPr>
            <w:r>
              <w:rPr>
                <w:rFonts w:ascii="Arial" w:cs="Arial" w:eastAsia="Arial" w:hAnsi="Arial"/>
                <w:i/>
                <w:iCs/>
                <w:color w:val="F4F5F7"/>
                <w:sz w:val="16"/>
                <w:szCs w:val="16"/>
              </w:rPr>
              <w:t xml:space="preserve">Low Confidence</w:t>
            </w:r>
          </w:p>
        </w:tc>
        <w:tc>
          <w:tcPr>
            <w:tcW w:type="dxa" w:w="7760"/>
            <w:tcBorders>
              <w:top w:val="single" w:color="C8CDD8" w:sz="1"/>
              <w:left w:val="single" w:color="C8CDD8" w:sz="1"/>
              <w:bottom w:val="single" w:color="C8CDD8" w:sz="1"/>
              <w:right w:val="single" w:color="C8CDD8" w:sz="1"/>
            </w:tcBorders>
            <w:shd w:fill="EEF1F8" w:val="clear"/>
            <w:tcMar>
              <w:top w:type="dxa" w:w="80"/>
              <w:left w:type="dxa" w:w="160"/>
              <w:bottom w:type="dxa" w:w="80"/>
              <w:right w:type="dxa" w:w="120"/>
            </w:tcMar>
          </w:tcPr>
          <w:p>
            <w:pPr>
              <w:spacing w:after="40" w:before="0"/>
            </w:pPr>
            <w:r>
              <w:rPr>
                <w:rFonts w:ascii="Times New Roman" w:cs="Times New Roman" w:eastAsia="Times New Roman" w:hAnsi="Times New Roman"/>
                <w:b/>
                <w:bCs/>
                <w:sz w:val="20"/>
                <w:szCs w:val="20"/>
              </w:rPr>
              <w:t xml:space="preserve">India passive: tariff and S-400 friction unresolved, India remains parallel beneficiary without operational conversion.</w:t>
            </w:r>
          </w:p>
          <w:p>
            <w:pPr>
              <w:spacing w:after="0" w:before="0"/>
            </w:pPr>
            <w:r>
              <w:rPr>
                <w:rFonts w:ascii="Times New Roman" w:cs="Times New Roman" w:eastAsia="Times New Roman" w:hAnsi="Times New Roman"/>
                <w:color w:val="4A5568"/>
                <w:sz w:val="19"/>
                <w:szCs w:val="19"/>
              </w:rPr>
              <w:t xml:space="preserve">Forum operates as GCC-centered institution without Indian Ocean depth. Chinese BRI maritime positioning in Sri Lanka and Bangladesh remains more contestable with Indian cooperation. Architecture’s core mechanism unaffected — India’s continued Russian energy imports under scenario conditions actually serve US interests by maintaining the Russia-China wedge. Outcome: structurally sound but regionally shallow.</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20"/>
            </w:tcMar>
          </w:tcPr>
          <w:p>
            <w:pPr>
              <w:spacing w:after="40" w:before="0"/>
            </w:pPr>
            <w:r>
              <w:rPr>
                <w:rFonts w:ascii="Arial" w:cs="Arial" w:eastAsia="Arial" w:hAnsi="Arial"/>
                <w:b/>
                <w:bCs/>
                <w:color w:val="FFFFFF"/>
                <w:sz w:val="20"/>
                <w:szCs w:val="20"/>
              </w:rPr>
              <w:t xml:space="preserve">Scenario E</w:t>
            </w:r>
          </w:p>
          <w:p>
            <w:pPr>
              <w:spacing w:after="0" w:before="0"/>
            </w:pPr>
            <w:r>
              <w:rPr>
                <w:rFonts w:ascii="Arial" w:cs="Arial" w:eastAsia="Arial" w:hAnsi="Arial"/>
                <w:b/>
                <w:bCs/>
                <w:color w:val="F4F5F7"/>
                <w:sz w:val="18"/>
                <w:szCs w:val="18"/>
              </w:rPr>
              <w:t xml:space="preserve">&lt;10% probability</w:t>
            </w:r>
          </w:p>
          <w:p>
            <w:pPr>
              <w:spacing w:after="0" w:before="20"/>
            </w:pPr>
            <w:r>
              <w:rPr>
                <w:rFonts w:ascii="Arial" w:cs="Arial" w:eastAsia="Arial" w:hAnsi="Arial"/>
                <w:i/>
                <w:iCs/>
                <w:color w:val="F4F5F7"/>
                <w:sz w:val="16"/>
                <w:szCs w:val="16"/>
              </w:rPr>
              <w:t xml:space="preserve">Low Confidence</w:t>
            </w:r>
          </w:p>
        </w:tc>
        <w:tc>
          <w:tcPr>
            <w:tcW w:type="dxa" w:w="7760"/>
            <w:tcBorders>
              <w:top w:val="single" w:color="C8CDD8" w:sz="1"/>
              <w:left w:val="single" w:color="C8CDD8" w:sz="1"/>
              <w:bottom w:val="single" w:color="C8CDD8" w:sz="1"/>
              <w:right w:val="single" w:color="C8CDD8" w:sz="1"/>
            </w:tcBorders>
            <w:shd w:fill="EEF1F8" w:val="clear"/>
            <w:tcMar>
              <w:top w:type="dxa" w:w="80"/>
              <w:left w:type="dxa" w:w="160"/>
              <w:bottom w:type="dxa" w:w="80"/>
              <w:right w:type="dxa" w:w="120"/>
            </w:tcMar>
          </w:tcPr>
          <w:p>
            <w:pPr>
              <w:spacing w:after="40" w:before="0"/>
            </w:pPr>
            <w:r>
              <w:rPr>
                <w:rFonts w:ascii="Times New Roman" w:cs="Times New Roman" w:eastAsia="Times New Roman" w:hAnsi="Times New Roman"/>
                <w:b/>
                <w:bCs/>
                <w:sz w:val="20"/>
                <w:szCs w:val="20"/>
              </w:rPr>
              <w:t xml:space="preserve">Architecture collapse: coalition persistence erosion concurrent with Chinese bypass acceleration below compulsion threshold.</w:t>
            </w:r>
          </w:p>
          <w:p>
            <w:pPr>
              <w:spacing w:after="0" w:before="0"/>
            </w:pPr>
            <w:r>
              <w:rPr>
                <w:rFonts w:ascii="Times New Roman" w:cs="Times New Roman" w:eastAsia="Times New Roman" w:hAnsi="Times New Roman"/>
                <w:color w:val="4A5568"/>
                <w:sz w:val="19"/>
                <w:szCs w:val="19"/>
              </w:rPr>
              <w:t xml:space="preserve">Requires concurrent failure of US political will (administration transition de-prioritization) AND successful Chinese bypass architecture reducing Hormuz dependency below the compulsion threshold before institutional lock-in. Neither condition alone collapses the architecture. Their concurrence is the primary catastrophic failure mode. Observable through combination of US diplomatic withdrawal indicators and IEA upward revision to Chinese electrification trajectory.</w:t>
            </w:r>
          </w:p>
        </w:tc>
      </w:tr>
    </w:tbl>
    <w:p>
      <w:pPr>
        <w:spacing w:before="60"/>
      </w:pPr>
    </w:p>
    <w:p>
      <w:pPr>
        <w:spacing w:after="80" w:before="200"/>
      </w:pPr>
      <w:r>
        <w:rPr>
          <w:rFonts w:ascii="Arial" w:cs="Arial" w:eastAsia="Arial" w:hAnsi="Arial"/>
          <w:b/>
          <w:bCs/>
          <w:color w:val="4A5568"/>
          <w:sz w:val="22"/>
          <w:szCs w:val="22"/>
        </w:rPr>
        <w:t xml:space="preserve">4.1 Confidence Matrix by Component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00"/>
            </w:tcMar>
          </w:tcPr>
          <w:p>
            <w:r>
              <w:rPr>
                <w:rFonts w:ascii="Arial" w:cs="Arial" w:eastAsia="Arial" w:hAnsi="Arial"/>
                <w:b/>
                <w:bCs/>
                <w:color w:val="FFFFFF"/>
                <w:sz w:val="19"/>
                <w:szCs w:val="19"/>
              </w:rPr>
              <w:t xml:space="preserve">COMPONENT</w:t>
            </w:r>
          </w:p>
        </w:tc>
        <w:tc>
          <w:tcPr>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00"/>
            </w:tcMar>
          </w:tcPr>
          <w:p>
            <w:r>
              <w:rPr>
                <w:rFonts w:ascii="Arial" w:cs="Arial" w:eastAsia="Arial" w:hAnsi="Arial"/>
                <w:b/>
                <w:bCs/>
                <w:color w:val="FFFFFF"/>
                <w:sz w:val="19"/>
                <w:szCs w:val="19"/>
              </w:rPr>
              <w:t xml:space="preserve">SCENARIO-CONDITIONED</w:t>
            </w:r>
          </w:p>
        </w:tc>
        <w:tc>
          <w:tcPr>
            <w:tcBorders>
              <w:top w:val="single" w:color="C8CDD8" w:sz="1"/>
              <w:left w:val="single" w:color="C8CDD8" w:sz="1"/>
              <w:bottom w:val="single" w:color="C8CDD8" w:sz="1"/>
              <w:right w:val="single" w:color="C8CDD8" w:sz="1"/>
            </w:tcBorders>
            <w:shd w:fill="2E4172" w:val="clear"/>
            <w:tcMar>
              <w:top w:type="dxa" w:w="80"/>
              <w:left w:type="dxa" w:w="120"/>
              <w:bottom w:type="dxa" w:w="80"/>
              <w:right w:type="dxa" w:w="100"/>
            </w:tcMar>
          </w:tcPr>
          <w:p>
            <w:r>
              <w:rPr>
                <w:rFonts w:ascii="Arial" w:cs="Arial" w:eastAsia="Arial" w:hAnsi="Arial"/>
                <w:b/>
                <w:bCs/>
                <w:color w:val="FFFFFF"/>
                <w:sz w:val="19"/>
                <w:szCs w:val="19"/>
              </w:rPr>
              <w:t xml:space="preserve">ANALYTICALLY INFERRED</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b/>
                <w:bCs/>
                <w:color w:val="1B2A4A"/>
                <w:sz w:val="19"/>
                <w:szCs w:val="19"/>
              </w:rPr>
              <w:t xml:space="preserve">Hormuz leverage window (structural)</w:t>
            </w:r>
          </w:p>
        </w:tc>
        <w:tc>
          <w:tcPr>
            <w:tcBorders>
              <w:top w:val="single" w:color="C8CDD8" w:sz="1"/>
              <w:left w:val="single" w:color="C8CDD8" w:sz="1"/>
              <w:bottom w:val="single" w:color="C8CDD8" w:sz="1"/>
              <w:right w:val="single" w:color="C8CDD8" w:sz="1"/>
            </w:tcBorders>
            <w:shd w:fill="F0F7F3"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HIGH CONFIDENCE (crisis-conditioned)</w:t>
            </w:r>
          </w:p>
        </w:tc>
        <w:tc>
          <w:tcPr>
            <w:tcBorders>
              <w:top w:val="single" w:color="C8CDD8" w:sz="1"/>
              <w:left w:val="single" w:color="C8CDD8" w:sz="1"/>
              <w:bottom w:val="single" w:color="C8CDD8" w:sz="1"/>
              <w:right w:val="single" w:color="C8CDD8" w:sz="1"/>
            </w:tcBorders>
            <w:shd w:fill="F0F7F3"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HIGH CONFIDENCE (BRI architecture)</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b/>
                <w:bCs/>
                <w:color w:val="1B2A4A"/>
                <w:sz w:val="19"/>
                <w:szCs w:val="19"/>
              </w:rPr>
              <w:t xml:space="preserve">Saudi treaty viability</w:t>
            </w:r>
          </w:p>
        </w:tc>
        <w:tc>
          <w:tcPr>
            <w:tcBorders>
              <w:top w:val="single" w:color="C8CDD8" w:sz="1"/>
              <w:left w:val="single" w:color="C8CDD8" w:sz="1"/>
              <w:bottom w:val="single" w:color="C8CDD8" w:sz="1"/>
              <w:right w:val="single" w:color="C8CDD8" w:sz="1"/>
            </w:tcBorders>
            <w:shd w:fill="FDF0F0"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LOW-MOD CONFIDENCE</w:t>
            </w:r>
          </w:p>
        </w:tc>
        <w:tc>
          <w:tcPr>
            <w:tcBorders>
              <w:top w:val="single" w:color="C8CDD8" w:sz="1"/>
              <w:left w:val="single" w:color="C8CDD8" w:sz="1"/>
              <w:bottom w:val="single" w:color="C8CDD8" w:sz="1"/>
              <w:right w:val="single" w:color="C8CDD8" w:sz="1"/>
            </w:tcBorders>
            <w:shd w:fill="FDF8EE"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MODERATE CONFIDENCE (structural incentives)</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b/>
                <w:bCs/>
                <w:color w:val="1B2A4A"/>
                <w:sz w:val="19"/>
                <w:szCs w:val="19"/>
              </w:rPr>
              <w:t xml:space="preserve">India conversion (active to operational)</w:t>
            </w:r>
          </w:p>
        </w:tc>
        <w:tc>
          <w:tcPr>
            <w:tcBorders>
              <w:top w:val="single" w:color="C8CDD8" w:sz="1"/>
              <w:left w:val="single" w:color="C8CDD8" w:sz="1"/>
              <w:bottom w:val="single" w:color="C8CDD8" w:sz="1"/>
              <w:right w:val="single" w:color="C8CDD8" w:sz="1"/>
            </w:tcBorders>
            <w:shd w:fill="FDF0F0"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LOW CONFIDENCE (autonomy constraint)</w:t>
            </w:r>
          </w:p>
        </w:tc>
        <w:tc>
          <w:tcPr>
            <w:tcBorders>
              <w:top w:val="single" w:color="C8CDD8" w:sz="1"/>
              <w:left w:val="single" w:color="C8CDD8" w:sz="1"/>
              <w:bottom w:val="single" w:color="C8CDD8" w:sz="1"/>
              <w:right w:val="single" w:color="C8CDD8" w:sz="1"/>
            </w:tcBorders>
            <w:shd w:fill="FDF8EE"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MODERATE CONFIDENCE (parallel beneficiary)</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b/>
                <w:bCs/>
                <w:color w:val="1B2A4A"/>
                <w:sz w:val="19"/>
                <w:szCs w:val="19"/>
              </w:rPr>
              <w:t xml:space="preserve">Forum institutionalization</w:t>
            </w:r>
          </w:p>
        </w:tc>
        <w:tc>
          <w:tcPr>
            <w:tcBorders>
              <w:top w:val="single" w:color="C8CDD8" w:sz="1"/>
              <w:left w:val="single" w:color="C8CDD8" w:sz="1"/>
              <w:bottom w:val="single" w:color="C8CDD8" w:sz="1"/>
              <w:right w:val="single" w:color="C8CDD8" w:sz="1"/>
            </w:tcBorders>
            <w:shd w:fill="FDF8EE"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MODERATE CONFIDENCE</w:t>
            </w:r>
          </w:p>
        </w:tc>
        <w:tc>
          <w:tcPr>
            <w:tcBorders>
              <w:top w:val="single" w:color="C8CDD8" w:sz="1"/>
              <w:left w:val="single" w:color="C8CDD8" w:sz="1"/>
              <w:bottom w:val="single" w:color="C8CDD8" w:sz="1"/>
              <w:right w:val="single" w:color="C8CDD8" w:sz="1"/>
            </w:tcBorders>
            <w:shd w:fill="FDF8EE"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MODERATE CONFIDENCE (treaty-independent)</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b/>
                <w:bCs/>
                <w:color w:val="1B2A4A"/>
                <w:sz w:val="19"/>
                <w:szCs w:val="19"/>
              </w:rPr>
              <w:t xml:space="preserve">Full concurrent 5-year execution</w:t>
            </w:r>
          </w:p>
        </w:tc>
        <w:tc>
          <w:tcPr>
            <w:tcBorders>
              <w:top w:val="single" w:color="C8CDD8" w:sz="1"/>
              <w:left w:val="single" w:color="C8CDD8" w:sz="1"/>
              <w:bottom w:val="single" w:color="C8CDD8" w:sz="1"/>
              <w:right w:val="single" w:color="C8CDD8" w:sz="1"/>
            </w:tcBorders>
            <w:shd w:fill="FDF0F0"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LOW-MOD CONFIDENCE (~even odds)</w:t>
            </w:r>
          </w:p>
        </w:tc>
        <w:tc>
          <w:tcPr>
            <w:tcBorders>
              <w:top w:val="single" w:color="C8CDD8" w:sz="1"/>
              <w:left w:val="single" w:color="C8CDD8" w:sz="1"/>
              <w:bottom w:val="single" w:color="C8CDD8" w:sz="1"/>
              <w:right w:val="single" w:color="C8CDD8" w:sz="1"/>
            </w:tcBorders>
            <w:shd w:fill="FDF0F0" w:val="clear"/>
            <w:tcMar>
              <w:top w:type="dxa" w:w="60"/>
              <w:left w:type="dxa" w:w="120"/>
              <w:bottom w:type="dxa" w:w="60"/>
              <w:right w:type="dxa" w:w="100"/>
            </w:tcMar>
          </w:tcPr>
          <w:p>
            <w:r>
              <w:rPr>
                <w:rFonts w:ascii="Times New Roman" w:cs="Times New Roman" w:eastAsia="Times New Roman" w:hAnsi="Times New Roman"/>
                <w:b w:val="false"/>
                <w:bCs w:val="false"/>
                <w:color w:val="000000"/>
                <w:sz w:val="19"/>
                <w:szCs w:val="19"/>
              </w:rPr>
              <w:t xml:space="preserve">LOW-MOD CONFIDENCE (variable interdependence)</w:t>
            </w:r>
          </w:p>
        </w:tc>
      </w:tr>
    </w:tbl>
    <w:p>
      <w:pPr>
        <w:spacing w:before="80"/>
      </w:pPr>
    </w:p>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V.  </w:t>
      </w:r>
      <w:r>
        <w:rPr>
          <w:rFonts w:ascii="Arial" w:cs="Arial" w:eastAsia="Arial" w:hAnsi="Arial"/>
          <w:b/>
          <w:bCs/>
          <w:color w:val="1B2A4A"/>
          <w:sz w:val="22"/>
          <w:szCs w:val="22"/>
        </w:rPr>
        <w:t xml:space="preserve">Alternative Hypotheses and Competing Analytic Frames</w:t>
      </w:r>
    </w:p>
    <w:p>
      <w:pPr>
        <w:spacing w:after="80" w:before="200"/>
      </w:pPr>
      <w:r>
        <w:rPr>
          <w:rFonts w:ascii="Arial" w:cs="Arial" w:eastAsia="Arial" w:hAnsi="Arial"/>
          <w:b/>
          <w:bCs/>
          <w:color w:val="4A5568"/>
          <w:sz w:val="22"/>
          <w:szCs w:val="22"/>
        </w:rPr>
        <w:t xml:space="preserve">5.1 The Overextension Hypothesis</w:t>
      </w:r>
    </w:p>
    <w:p>
      <w:pPr>
        <w:spacing w:after="100" w:before="80"/>
        <w:ind w:firstLine="720"/>
      </w:pPr>
      <w:r>
        <w:rPr>
          <w:rFonts w:ascii="Times New Roman" w:cs="Times New Roman" w:eastAsia="Times New Roman" w:hAnsi="Times New Roman"/>
          <w:color w:val="000000"/>
          <w:sz w:val="22"/>
          <w:szCs w:val="22"/>
        </w:rPr>
        <w:t xml:space="preserve">The primary competing analytic frame holds that the architecture’s concurrent execution demands exceed realistic US political and institutional capacity — that the estimate overestimates US coalition management capability, underestimates GCC risk aversion, and fails to account for the political costs of sustained Hormuz forward posture. On this hypothesis, the realistic assessment is Scenario D or E rather than Scenario A or B.</w:t>
      </w:r>
    </w:p>
    <w:p>
      <w:pPr>
        <w:spacing w:after="100" w:before="80"/>
        <w:ind w:firstLine="720"/>
      </w:pPr>
      <w:r>
        <w:rPr>
          <w:rFonts w:ascii="Times New Roman" w:cs="Times New Roman" w:eastAsia="Times New Roman" w:hAnsi="Times New Roman"/>
          <w:color w:val="000000"/>
          <w:sz w:val="22"/>
          <w:szCs w:val="22"/>
        </w:rPr>
        <w:t xml:space="preserve">Assessment: The overextension hypothesis identifies real constraints but does not engage the minimum coalition-effective architecture argument. The architecture does not require concurrent execution of all four components at full fidelity. GCC mineral partnerships and BRI node displacement at Tier 2/3 are executable without the treaty and without Indian conversion. These components create structural switching costs in Chinese supply chains regardless of broader architecture performance. The overextension hypothesis is valid as a critique of Scenario B; it does not defeat Scenario A. [MODERATE CONFIDENCE]</w:t>
      </w:r>
    </w:p>
    <w:p>
      <w:pPr>
        <w:spacing w:after="80" w:before="200"/>
      </w:pPr>
      <w:r>
        <w:rPr>
          <w:rFonts w:ascii="Arial" w:cs="Arial" w:eastAsia="Arial" w:hAnsi="Arial"/>
          <w:b/>
          <w:bCs/>
          <w:color w:val="4A5568"/>
          <w:sz w:val="22"/>
          <w:szCs w:val="22"/>
        </w:rPr>
        <w:t xml:space="preserve">5.2 The Chinese Adaptation Hypothesis</w:t>
      </w:r>
    </w:p>
    <w:p>
      <w:pPr>
        <w:spacing w:after="100" w:before="80"/>
        <w:ind w:firstLine="720"/>
      </w:pPr>
      <w:r>
        <w:rPr>
          <w:rFonts w:ascii="Times New Roman" w:cs="Times New Roman" w:eastAsia="Times New Roman" w:hAnsi="Times New Roman"/>
          <w:color w:val="000000"/>
          <w:sz w:val="22"/>
          <w:szCs w:val="22"/>
        </w:rPr>
        <w:t xml:space="preserve">A second competing frame holds that Chinese bypass architecture development will outpace US institutional lock-in, reducing Hormuz leverage below the compulsion threshold before the Forum architecture can mature. CPEC pipeline capacity expansion, INSTC deepening through post-sanctions Iran, and Arctic routing investment under the Russia relationship collectively represent a bypass portfolio that could shift the dependency calculus within the leverage window.</w:t>
      </w:r>
    </w:p>
    <w:p>
      <w:pPr>
        <w:spacing w:after="100" w:before="80"/>
        <w:ind w:firstLine="720"/>
      </w:pPr>
      <w:r>
        <w:rPr>
          <w:rFonts w:ascii="Times New Roman" w:cs="Times New Roman" w:eastAsia="Times New Roman" w:hAnsi="Times New Roman"/>
          <w:color w:val="000000"/>
          <w:sz w:val="22"/>
          <w:szCs w:val="22"/>
        </w:rPr>
        <w:t xml:space="preserve">Assessment: The bypass portfolio faces engineering constraints that are publicly documented and not contingent on political choices. CPEC pipeline throughput capacity is limited by Pakistani infrastructure bottlenecks and security risk. INSTC deepening requires Iranian cooperation that secondary sanctions pressure complicates. Arctic routing is seasonal and volume-limited. The aggregate bypass effect is real but measured in marginal percentage points on a decade timeline — sufficient to compress the leverage window but not to defeat it. Chinese domestic electrification is the more credible long-term leverage-reduction mechanism, which is why KJ 3 explicitly acknowledges the finite leverage window. [MODERATE CONFIDENCE on structural constraints; LOW-MODERATE on specific bypass timeline]</w:t>
      </w:r>
    </w:p>
    <w:p>
      <w:pPr>
        <w:spacing w:after="80" w:before="200"/>
      </w:pPr>
      <w:r>
        <w:rPr>
          <w:rFonts w:ascii="Arial" w:cs="Arial" w:eastAsia="Arial" w:hAnsi="Arial"/>
          <w:b/>
          <w:bCs/>
          <w:color w:val="4A5568"/>
          <w:sz w:val="22"/>
          <w:szCs w:val="22"/>
        </w:rPr>
        <w:t xml:space="preserve">5.3 The Forum Legitimacy Hypothesis</w:t>
      </w:r>
    </w:p>
    <w:p>
      <w:pPr>
        <w:spacing w:after="100" w:before="80"/>
        <w:ind w:firstLine="720"/>
      </w:pPr>
      <w:r>
        <w:rPr>
          <w:rFonts w:ascii="Times New Roman" w:cs="Times New Roman" w:eastAsia="Times New Roman" w:hAnsi="Times New Roman"/>
          <w:color w:val="000000"/>
          <w:sz w:val="22"/>
          <w:szCs w:val="22"/>
        </w:rPr>
        <w:t xml:space="preserve">A third competing frame holds that a US-led Forum lacks the normative legitimacy to function as a genuine international institution rather than a US preference-laundering mechanism, and that non-Western states will recognize and resist this. On this view, Forum institutionalization is likely to produce formal membership without substantive compliance, creating an institutional shell rather than a genuine governance mechanism.</w:t>
      </w:r>
    </w:p>
    <w:p>
      <w:pPr>
        <w:spacing w:after="100" w:before="80"/>
        <w:ind w:firstLine="720"/>
      </w:pPr>
      <w:r>
        <w:rPr>
          <w:rFonts w:ascii="Times New Roman" w:cs="Times New Roman" w:eastAsia="Times New Roman" w:hAnsi="Times New Roman"/>
          <w:color w:val="000000"/>
          <w:sz w:val="22"/>
          <w:szCs w:val="22"/>
        </w:rPr>
        <w:t xml:space="preserve">Assessment: The legitimacy concern is structurally present but manageable through design. Forum effectiveness does not require Chinese membership or universal endorsement — it requires that the states whose Hormuz transit matters most (GCC, India, Southeast Asian importers) find the Forum’s governance functions valuable enough to comply with its norms even under Chinese pressure. The minimum effectiveness threshold is functional compliance by transit-dependent states, not normative legitimacy in the abstract. This is achievable through instrumental design even absent US soft power credibility. [MODERATE CONFIDENCE]</w:t>
      </w:r>
    </w:p>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VI.  </w:t>
      </w:r>
      <w:r>
        <w:rPr>
          <w:rFonts w:ascii="Arial" w:cs="Arial" w:eastAsia="Arial" w:hAnsi="Arial"/>
          <w:b/>
          <w:bCs/>
          <w:color w:val="1B2A4A"/>
          <w:sz w:val="22"/>
          <w:szCs w:val="22"/>
        </w:rPr>
        <w:t xml:space="preserve">Indicators and Signposts</w:t>
      </w:r>
    </w:p>
    <w:p>
      <w:pPr>
        <w:spacing w:after="80" w:before="60"/>
      </w:pPr>
      <w:r>
        <w:rPr>
          <w:rFonts w:ascii="Arial" w:cs="Arial" w:eastAsia="Arial" w:hAnsi="Arial"/>
          <w:color w:val="4A5568"/>
          <w:sz w:val="18"/>
          <w:szCs w:val="18"/>
        </w:rPr>
        <w:t xml:space="preserve">The following indicators, if observed, would update confidence on specific key judgments. All are assessable from open-source reporting within the lag constraints noted.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8CDD8" w:sz="1"/>
              <w:left w:val="single" w:color="C8CDD8" w:sz="1"/>
              <w:bottom w:val="single" w:color="C8CDD8" w:sz="1"/>
              <w:right w:val="single" w:color="C8CDD8" w:sz="1"/>
            </w:tcBorders>
            <w:shd w:fill="1B2A4A" w:val="clear"/>
            <w:tcMar>
              <w:top w:type="dxa" w:w="80"/>
              <w:left w:type="dxa" w:w="120"/>
              <w:bottom w:type="dxa" w:w="80"/>
              <w:right w:type="dxa" w:w="100"/>
            </w:tcMar>
          </w:tcPr>
          <w:p>
            <w:r>
              <w:rPr>
                <w:rFonts w:ascii="Arial" w:cs="Arial" w:eastAsia="Arial" w:hAnsi="Arial"/>
                <w:b/>
                <w:bCs/>
                <w:color w:val="FFFFFF"/>
                <w:sz w:val="19"/>
                <w:szCs w:val="19"/>
              </w:rPr>
              <w:t xml:space="preserve">INDICATOR / SIGNPOST</w:t>
            </w:r>
          </w:p>
        </w:tc>
        <w:tc>
          <w:tcPr>
            <w:tcW w:type="dxa" w:w="3000"/>
            <w:tcBorders>
              <w:top w:val="single" w:color="C8CDD8" w:sz="1"/>
              <w:left w:val="single" w:color="C8CDD8" w:sz="1"/>
              <w:bottom w:val="single" w:color="C8CDD8" w:sz="1"/>
              <w:right w:val="single" w:color="C8CDD8" w:sz="1"/>
            </w:tcBorders>
            <w:shd w:fill="1B2A4A" w:val="clear"/>
            <w:tcMar>
              <w:top w:type="dxa" w:w="80"/>
              <w:left w:type="dxa" w:w="120"/>
              <w:bottom w:type="dxa" w:w="80"/>
              <w:right w:type="dxa" w:w="100"/>
            </w:tcMar>
          </w:tcPr>
          <w:p>
            <w:r>
              <w:rPr>
                <w:rFonts w:ascii="Arial" w:cs="Arial" w:eastAsia="Arial" w:hAnsi="Arial"/>
                <w:b/>
                <w:bCs/>
                <w:color w:val="FFFFFF"/>
                <w:sz w:val="19"/>
                <w:szCs w:val="19"/>
              </w:rPr>
              <w:t xml:space="preserve">SCENARIO RELEVANCE</w:t>
            </w:r>
          </w:p>
        </w:tc>
        <w:tc>
          <w:tcPr>
            <w:tcW w:type="dxa" w:w="3560"/>
            <w:tcBorders>
              <w:top w:val="single" w:color="C8CDD8" w:sz="1"/>
              <w:left w:val="single" w:color="C8CDD8" w:sz="1"/>
              <w:bottom w:val="single" w:color="C8CDD8" w:sz="1"/>
              <w:right w:val="single" w:color="C8CDD8" w:sz="1"/>
            </w:tcBorders>
            <w:shd w:fill="1B2A4A" w:val="clear"/>
            <w:tcMar>
              <w:top w:type="dxa" w:w="80"/>
              <w:left w:type="dxa" w:w="120"/>
              <w:bottom w:type="dxa" w:w="80"/>
              <w:right w:type="dxa" w:w="100"/>
            </w:tcMar>
          </w:tcPr>
          <w:p>
            <w:r>
              <w:rPr>
                <w:rFonts w:ascii="Arial" w:cs="Arial" w:eastAsia="Arial" w:hAnsi="Arial"/>
                <w:b/>
                <w:bCs/>
                <w:color w:val="FFFFFF"/>
                <w:sz w:val="19"/>
                <w:szCs w:val="19"/>
              </w:rPr>
              <w:t xml:space="preserve">OBSERVABLE SOURCE</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Saudi-US security negotiations: formal framework announcement</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Scenario B confidence upgrade; KJ 6 (treaty viability)</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color w:val="4A5568"/>
                <w:sz w:val="19"/>
                <w:szCs w:val="19"/>
              </w:rPr>
              <w:t xml:space="preserve">US/Saudi official statements; State Dept. briefings; Saudi MOFA</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Saudi negotiations stall or are postponed past Year 2</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Scenario A confirmation; KJ 6 confidence upgrade</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color w:val="4A5568"/>
                <w:sz w:val="19"/>
                <w:szCs w:val="19"/>
              </w:rPr>
              <w:t xml:space="preserve">Diplomatic reporting; Saudi royal court public statements</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Indian government DFC or JBIC co-investment in corridor project</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India conversion from passive to operational; KJ 4 upgrade</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color w:val="4A5568"/>
                <w:sz w:val="19"/>
                <w:szCs w:val="19"/>
              </w:rPr>
              <w:t xml:space="preserve">DFC press releases; Indian MEA; JBIC project announcements</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Chinese Forum alternative proposal under ASEAN or SCO auspices</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Scenario C activation; Chinese hedging strategy confirmed</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color w:val="4A5568"/>
                <w:sz w:val="19"/>
                <w:szCs w:val="19"/>
              </w:rPr>
              <w:t xml:space="preserve">Chinese MFA statements; ASEAN/SCO summit communiques</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CPEC pipeline capacity expansion (above 10 Bcm/yr)</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Chinese bypass acceleration; KJ 3 leverage window compression</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color w:val="4A5568"/>
                <w:sz w:val="19"/>
                <w:szCs w:val="19"/>
              </w:rPr>
              <w:t xml:space="preserve">Pakistani energy ministry; commercial infrastructure reporting</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IEA upward revision to Chinese 2030 electrification trajectory</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Leverage window compression; KJ 3 timeline shortening</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color w:val="4A5568"/>
                <w:sz w:val="19"/>
                <w:szCs w:val="19"/>
              </w:rPr>
              <w:t xml:space="preserve">IEA World Energy Outlook; BloombergNEF; Wood Mackenzie</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Iranian escalation beyond JCPOA-equivalent threshold</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Architecture crisis trigger; scenario premises extension</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color w:val="4A5568"/>
                <w:sz w:val="19"/>
                <w:szCs w:val="19"/>
              </w:rPr>
              <w:t xml:space="preserve">IAEA; CENTCOM; commercial satellite imagery</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US administration transition with explicit de-prioritization of Forum</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Coalition persistence erosion; Scenario E activation indicator</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color w:val="4A5568"/>
                <w:sz w:val="19"/>
                <w:szCs w:val="19"/>
              </w:rPr>
              <w:t xml:space="preserve">Presidential transition documents; NSC senior appointments</w:t>
            </w:r>
          </w:p>
        </w:tc>
      </w:tr>
      <w:tr>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sz w:val="19"/>
                <w:szCs w:val="19"/>
              </w:rPr>
              <w:t xml:space="preserve">GCC mineral offtake agreements with US/allied DFC financing (signed)</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Architecture lock-in at mineral component; KJ 5 upgrade</w:t>
            </w:r>
          </w:p>
        </w:tc>
        <w:tc>
          <w:tcPr>
            <w:tcBorders>
              <w:top w:val="single" w:color="C8CDD8" w:sz="1"/>
              <w:left w:val="single" w:color="C8CDD8" w:sz="1"/>
              <w:bottom w:val="single" w:color="C8CDD8" w:sz="1"/>
              <w:right w:val="single" w:color="C8CDD8" w:sz="1"/>
            </w:tcBorders>
            <w:shd w:fill="F4F5F7" w:val="clear"/>
            <w:tcMar>
              <w:top w:type="dxa" w:w="60"/>
              <w:left w:type="dxa" w:w="120"/>
              <w:bottom w:type="dxa" w:w="60"/>
              <w:right w:type="dxa" w:w="100"/>
            </w:tcMar>
          </w:tcPr>
          <w:p>
            <w:r>
              <w:rPr>
                <w:rFonts w:ascii="Arial" w:cs="Arial" w:eastAsia="Arial" w:hAnsi="Arial"/>
                <w:color w:val="4A5568"/>
                <w:sz w:val="19"/>
                <w:szCs w:val="19"/>
              </w:rPr>
              <w:t xml:space="preserve">DFC announcements; GCC sovereign wealth fund reporting</w:t>
            </w:r>
          </w:p>
        </w:tc>
      </w:tr>
      <w:tr>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sz w:val="19"/>
                <w:szCs w:val="19"/>
              </w:rPr>
              <w:t xml:space="preserve">Chinese BRI node displacement at Bolivia lithium or comparable Tier 2 site</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Times New Roman" w:cs="Times New Roman" w:eastAsia="Times New Roman" w:hAnsi="Times New Roman"/>
                <w:i/>
                <w:iCs/>
                <w:color w:val="4A5568"/>
                <w:sz w:val="19"/>
                <w:szCs w:val="19"/>
              </w:rPr>
              <w:t xml:space="preserve">BRI displacement component confirmed; architecture partial execution</w:t>
            </w:r>
          </w:p>
        </w:tc>
        <w:tc>
          <w:tcPr>
            <w:tcBorders>
              <w:top w:val="single" w:color="C8CDD8" w:sz="1"/>
              <w:left w:val="single" w:color="C8CDD8" w:sz="1"/>
              <w:bottom w:val="single" w:color="C8CDD8" w:sz="1"/>
              <w:right w:val="single" w:color="C8CDD8" w:sz="1"/>
            </w:tcBorders>
            <w:shd w:fill="FFFFFF" w:val="clear"/>
            <w:tcMar>
              <w:top w:type="dxa" w:w="60"/>
              <w:left w:type="dxa" w:w="120"/>
              <w:bottom w:type="dxa" w:w="60"/>
              <w:right w:type="dxa" w:w="100"/>
            </w:tcMar>
          </w:tcPr>
          <w:p>
            <w:r>
              <w:rPr>
                <w:rFonts w:ascii="Arial" w:cs="Arial" w:eastAsia="Arial" w:hAnsi="Arial"/>
                <w:color w:val="4A5568"/>
                <w:sz w:val="19"/>
                <w:szCs w:val="19"/>
              </w:rPr>
              <w:t xml:space="preserve">DFC/JBIC press releases; host government announcements</w:t>
            </w:r>
          </w:p>
        </w:tc>
      </w:tr>
    </w:tbl>
    <w:p>
      <w:pPr>
        <w:spacing w:before="80"/>
      </w:pPr>
    </w:p>
    <w:p>
      <w:pPr>
        <w:pBdr>
          <w:bottom w:val="single" w:color="CCCCCC" w:sz="4" w:space="1"/>
        </w:pBdr>
        <w:spacing w:after="140" w:before="140"/>
      </w:pPr>
    </w:p>
    <w:p>
      <w:pPr>
        <w:pageBreakBefore/>
      </w:pPr>
    </w:p>
    <w:p>
      <w:pPr>
        <w:pBdr>
          <w:bottom w:val="single" w:color="E2E4E9" w:sz="2" w:space="1"/>
        </w:pBdr>
        <w:spacing w:after="120" w:before="360"/>
      </w:pPr>
      <w:r>
        <w:rPr>
          <w:rFonts w:ascii="Arial" w:cs="Arial" w:eastAsia="Arial" w:hAnsi="Arial"/>
          <w:b/>
          <w:bCs/>
          <w:caps/>
          <w:color w:val="2E4172"/>
          <w:sz w:val="22"/>
          <w:szCs w:val="22"/>
        </w:rPr>
        <w:t xml:space="preserve">VII.  </w:t>
      </w:r>
      <w:r>
        <w:rPr>
          <w:rFonts w:ascii="Arial" w:cs="Arial" w:eastAsia="Arial" w:hAnsi="Arial"/>
          <w:b/>
          <w:bCs/>
          <w:color w:val="1B2A4A"/>
          <w:sz w:val="22"/>
          <w:szCs w:val="22"/>
        </w:rPr>
        <w:t xml:space="preserve">Implications Under Scenario Conditions</w:t>
      </w:r>
    </w:p>
    <w:p>
      <w:pPr>
        <w:spacing w:after="80" w:before="60"/>
      </w:pPr>
      <w:r>
        <w:rPr>
          <w:rFonts w:ascii="Arial" w:cs="Arial" w:eastAsia="Arial" w:hAnsi="Arial"/>
          <w:color w:val="4A5568"/>
          <w:sz w:val="18"/>
          <w:szCs w:val="18"/>
        </w:rPr>
        <w:t xml:space="preserve">The implications below follow analytically from the judgments in Sections III–VI under scenario conditions. They identify where the estimate’s findings bear most directly on decision-relevant considerations. They do not constitute policy advice or recommendations.</w:t>
      </w:r>
    </w:p>
    <w:p>
      <w:pPr>
        <w:spacing w:before="40"/>
      </w:pPr>
    </w:p>
    <w:p>
      <w:pPr>
        <w:spacing w:after="80" w:before="200"/>
      </w:pPr>
      <w:r>
        <w:rPr>
          <w:rFonts w:ascii="Arial" w:cs="Arial" w:eastAsia="Arial" w:hAnsi="Arial"/>
          <w:b/>
          <w:bCs/>
          <w:color w:val="4A5568"/>
          <w:sz w:val="22"/>
          <w:szCs w:val="22"/>
        </w:rPr>
        <w:t xml:space="preserve">7.1 Immediate Priority: Front-Load Institutional Lock-In</w:t>
      </w:r>
    </w:p>
    <w:p>
      <w:pPr>
        <w:spacing w:after="100" w:before="80"/>
        <w:ind w:firstLine="720"/>
      </w:pPr>
      <w:r>
        <w:rPr>
          <w:rFonts w:ascii="Times New Roman" w:cs="Times New Roman" w:eastAsia="Times New Roman" w:hAnsi="Times New Roman"/>
          <w:color w:val="000000"/>
          <w:sz w:val="22"/>
          <w:szCs w:val="22"/>
        </w:rPr>
        <w:t xml:space="preserve">The estimate’s institutional lock-in logic has a sequencing implication: components that can be locked in through commercially structured agreements — GCC mineral offtake agreements, BRI Tier 2/3 node displacement — are less vulnerable to coalition persistence erosion than components requiring sustained political commitment (Saudi treaty, Forum institutionalization). Under Scenario E assumptions, the analysis indicates that early lock-in of commercially-structured components is what preserves partial architecture function through an administration transition. This sequencing implication is robust across Scenarios A, B, and D.</w:t>
      </w:r>
    </w:p>
    <w:p>
      <w:pPr>
        <w:spacing w:after="80" w:before="200"/>
      </w:pPr>
      <w:r>
        <w:rPr>
          <w:rFonts w:ascii="Arial" w:cs="Arial" w:eastAsia="Arial" w:hAnsi="Arial"/>
          <w:b/>
          <w:bCs/>
          <w:color w:val="4A5568"/>
          <w:sz w:val="22"/>
          <w:szCs w:val="22"/>
        </w:rPr>
        <w:t xml:space="preserve">7.2 India: Parallel Beneficiary, Not Coalition Partner</w:t>
      </w:r>
    </w:p>
    <w:p>
      <w:pPr>
        <w:spacing w:after="100" w:before="80"/>
        <w:ind w:firstLine="720"/>
      </w:pPr>
      <w:r>
        <w:rPr>
          <w:rFonts w:ascii="Times New Roman" w:cs="Times New Roman" w:eastAsia="Times New Roman" w:hAnsi="Times New Roman"/>
          <w:color w:val="000000"/>
          <w:sz w:val="22"/>
          <w:szCs w:val="22"/>
        </w:rPr>
        <w:t xml:space="preserve">The India analysis yields a counterintuitive implication. India’s continued Russian energy imports under scenario conditions serve the architecture’s structural interests by maintaining the Russia-China energy pricing wedge. The analysis suggests that architecture designs requiring Indian formal coalition alignment are less likely to succeed — and potentially counterproductive — compared to designs that achieve the same structural outcomes through parallel beneficiary arrangements that preserve Indian strategic autonomy.</w:t>
      </w:r>
    </w:p>
    <w:p>
      <w:pPr>
        <w:spacing w:after="80" w:before="200"/>
      </w:pPr>
      <w:r>
        <w:rPr>
          <w:rFonts w:ascii="Arial" w:cs="Arial" w:eastAsia="Arial" w:hAnsi="Arial"/>
          <w:b/>
          <w:bCs/>
          <w:color w:val="4A5568"/>
          <w:sz w:val="22"/>
          <w:szCs w:val="22"/>
        </w:rPr>
        <w:t xml:space="preserve">7.3 Tariff Instrument Conflict and Coalition Durability</w:t>
      </w:r>
    </w:p>
    <w:p>
      <w:pPr>
        <w:spacing w:after="100" w:before="80"/>
        <w:ind w:firstLine="720"/>
      </w:pPr>
      <w:r>
        <w:rPr>
          <w:rFonts w:ascii="Times New Roman" w:cs="Times New Roman" w:eastAsia="Times New Roman" w:hAnsi="Times New Roman"/>
          <w:color w:val="000000"/>
          <w:sz w:val="22"/>
          <w:szCs w:val="22"/>
        </w:rPr>
        <w:t xml:space="preserve">The most significant near-term risk to the architecture is self-inflicted instrument conflict. Tariff measures directed at GCC states, Japan, South Korea, or the Netherlands during the crisis window would degrade the coalition durability on which technology-denial coordination, Forum participation, and mineral partnership follow-through depend. The policy implication follows the Coalition Conflict Resolution Protocol logic developed in WP-2026-SHIELD-01: before tariff escalation affecting primary coalition partners exceeds a defined threshold, the relevant export-control and diplomatic authorities should certify that coalition coordination is not materially impaired. Absent this mechanism, tariff and coercive architecture instruments will continue to resolve in favor of whichever has the more immediate political constituency.</w:t>
      </w:r>
    </w:p>
    <w:p>
      <w:pPr>
        <w:spacing w:after="80" w:before="200"/>
      </w:pPr>
      <w:r>
        <w:rPr>
          <w:rFonts w:ascii="Arial" w:cs="Arial" w:eastAsia="Arial" w:hAnsi="Arial"/>
          <w:b/>
          <w:bCs/>
          <w:color w:val="4A5568"/>
          <w:sz w:val="22"/>
          <w:szCs w:val="22"/>
        </w:rPr>
        <w:t xml:space="preserve">7.4 China Engagement: Forum Participation Preferred; Adjacent Compliance Sufficient</w:t>
      </w:r>
    </w:p>
    <w:p>
      <w:pPr>
        <w:spacing w:after="100" w:before="80"/>
        <w:ind w:firstLine="720"/>
      </w:pPr>
      <w:r>
        <w:rPr>
          <w:rFonts w:ascii="Times New Roman" w:cs="Times New Roman" w:eastAsia="Times New Roman" w:hAnsi="Times New Roman"/>
          <w:color w:val="000000"/>
          <w:sz w:val="22"/>
          <w:szCs w:val="22"/>
        </w:rPr>
        <w:t xml:space="preserve">Chinese Forum membership is the preferred outcome; Forum-adjacent compliance through self-interest in Hormuz transit reliability is the minimum effective outcome. US policy should not foreclose Chinese participation — Forum design that makes Chinese membership rational (through access to transit reliability governance and dispute resolution mechanisms) is more likely to achieve lock-in than exclusionary design that triggers Chinese counter-institutionalization. The architecture’s leverage over China is structural (Hormuz dependency), not coercive (Forum exclusion). The analysis indicates that inclusive Forum design — structured to make Chinese membership rational rather than exclusionary — is more likely to achieve durable institutional lock-in under Scenario C conditions.</w:t>
      </w:r>
    </w:p>
    <w:p>
      <w:pPr>
        <w:pBdr>
          <w:bottom w:val="single" w:color="CCCCCC" w:sz="4" w:space="1"/>
        </w:pBdr>
        <w:spacing w:after="140" w:before="140"/>
      </w:pPr>
    </w:p>
    <w:p>
      <w:pPr>
        <w:spacing w:after="100" w:before="80"/>
      </w:pPr>
      <w:r>
        <w:rPr>
          <w:rFonts w:ascii="Arial" w:cs="Arial" w:eastAsia="Arial" w:hAnsi="Arial"/>
          <w:color w:val="7B1C1C"/>
          <w:sz w:val="16"/>
          <w:szCs w:val="16"/>
        </w:rPr>
        <w:t xml:space="preserve">UNCLASSIFIED // OPEN SOURCE ANALYSIS  ·  WP-2026-EST-01  ·  Collin Blaine George, Center for Competitive Statecraft and Strategic Policy  ·  March 2026</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4E9" w:sz="2" w:space="1"/>
      </w:pBdr>
      <w:spacing w:before="80"/>
      <w:jc w:val="center"/>
    </w:pPr>
    <w:r>
      <w:rPr>
        <w:rFonts w:ascii="Arial" w:cs="Arial" w:eastAsia="Arial" w:hAnsi="Arial"/>
        <w:b/>
        <w:bCs/>
        <w:color w:val="7B1C1C"/>
        <w:sz w:val="16"/>
        <w:szCs w:val="16"/>
      </w:rPr>
      <w:t xml:space="preserve">UNCLASSIFIED // OPEN SOURCE  ·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4E9" w:sz="4" w:space="1"/>
      </w:pBdr>
      <w:spacing w:after="80" w:before="0"/>
    </w:pPr>
    <w:r>
      <w:rPr>
        <w:rFonts w:ascii="Arial" w:cs="Arial" w:eastAsia="Arial" w:hAnsi="Arial"/>
        <w:b/>
        <w:bCs/>
        <w:color w:val="7B1C1C"/>
        <w:sz w:val="16"/>
        <w:szCs w:val="16"/>
      </w:rPr>
      <w:t xml:space="preserve">UNCLASSIFIED // OPEN SOURCE  ·  </w:t>
    </w:r>
    <w:r>
      <w:rPr>
        <w:rFonts w:ascii="Arial" w:cs="Arial" w:eastAsia="Arial" w:hAnsi="Arial"/>
        <w:color w:val="4A5568"/>
        <w:sz w:val="16"/>
        <w:szCs w:val="16"/>
      </w:rPr>
      <w:t xml:space="preserve">George — BRI Corridor Strategic Estimate  ·  WP-2026-EST-01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2026-03-17T13:56:24.377Z</dcterms:created>
  <dcterms:modified xsi:type="dcterms:W3CDTF">2026-03-17T13:56:24.378Z</dcterms:modified>
</cp:coreProperties>
</file>

<file path=docProps/custom.xml><?xml version="1.0" encoding="utf-8"?>
<Properties xmlns="http://schemas.openxmlformats.org/officeDocument/2006/custom-properties" xmlns:vt="http://schemas.openxmlformats.org/officeDocument/2006/docPropsVTypes"/>
</file>