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60" w:before="0"/>
        <w:jc w:val="center"/>
      </w:pPr>
      <w:r>
        <w:rPr>
          <w:rFonts w:ascii="Arial" w:cs="Arial" w:eastAsia="Arial" w:hAnsi="Arial"/>
          <w:b/>
          <w:bCs/>
          <w:color w:val="1B2A4A"/>
          <w:sz w:val="40"/>
          <w:szCs w:val="40"/>
        </w:rPr>
        <w:t xml:space="preserve">Targeting the Enablement Layer:</w:t>
      </w:r>
    </w:p>
    <w:p>
      <w:pPr>
        <w:spacing w:after="200" w:before="0"/>
        <w:jc w:val="center"/>
      </w:pPr>
      <w:r>
        <w:rPr>
          <w:rFonts w:ascii="Arial" w:cs="Arial" w:eastAsia="Arial" w:hAnsi="Arial"/>
          <w:color w:val="2E4172"/>
          <w:sz w:val="30"/>
          <w:szCs w:val="30"/>
        </w:rPr>
        <w:t xml:space="preserve">Sanctions Enforcement Architecture, Network Disruption, and Coalition Sustainability</w:t>
      </w:r>
    </w:p>
    <w:p>
      <w:pPr>
        <w:spacing w:after="60" w:before="0"/>
        <w:jc w:val="center"/>
      </w:pPr>
      <w:r>
        <w:rPr>
          <w:rFonts w:ascii="Arial" w:cs="Arial" w:eastAsia="Arial" w:hAnsi="Arial"/>
          <w:color w:val="4A5568"/>
          <w:sz w:val="24"/>
          <w:szCs w:val="24"/>
        </w:rPr>
        <w:t xml:space="preserve">Collin Blaine George</w:t>
      </w:r>
    </w:p>
    <w:p>
      <w:pPr>
        <w:spacing w:after="60" w:before="0"/>
        <w:jc w:val="center"/>
      </w:pPr>
      <w:r>
        <w:rPr>
          <w:rFonts w:ascii="Arial" w:cs="Arial" w:eastAsia="Arial" w:hAnsi="Arial"/>
          <w:i/>
          <w:iCs/>
          <w:color w:val="4A5568"/>
          <w:sz w:val="22"/>
          <w:szCs w:val="22"/>
        </w:rPr>
        <w:t xml:space="preserve">Center for Competitive Statecraft and Strategic Policy</w:t>
      </w:r>
    </w:p>
    <w:p>
      <w:pPr>
        <w:spacing w:after="300" w:before="0"/>
        <w:jc w:val="center"/>
      </w:pPr>
      <w:r>
        <w:rPr>
          <w:rFonts w:ascii="Arial" w:cs="Arial" w:eastAsia="Arial" w:hAnsi="Arial"/>
          <w:color w:val="4A5568"/>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E8EDF5" w:val="clear"/>
            <w:tcMar>
              <w:top w:type="dxa" w:w="160"/>
              <w:left w:type="dxa" w:w="280"/>
              <w:bottom w:type="dxa" w:w="160"/>
              <w:right w:type="dxa" w:w="280"/>
            </w:tcMar>
          </w:tcPr>
          <w:p>
            <w:pPr>
              <w:spacing w:after="80" w:before="0"/>
            </w:pPr>
            <w:r>
              <w:rPr>
                <w:rFonts w:ascii="Arial" w:cs="Arial" w:eastAsia="Arial" w:hAnsi="Arial"/>
                <w:b/>
                <w:bCs/>
                <w:caps/>
                <w:color w:val="1B2A4A"/>
                <w:sz w:val="19"/>
                <w:szCs w:val="19"/>
              </w:rPr>
              <w:t xml:space="preserve">ABSTRACT</w:t>
            </w:r>
          </w:p>
          <w:p>
            <w:pPr>
              <w:spacing w:after="0" w:before="0"/>
            </w:pPr>
            <w:r>
              <w:rPr>
                <w:rFonts w:ascii="Times New Roman" w:cs="Times New Roman" w:eastAsia="Times New Roman" w:hAnsi="Times New Roman"/>
                <w:sz w:val="20"/>
                <w:szCs w:val="20"/>
              </w:rPr>
              <w:t xml:space="preserve">Why do intensive sanctions enforcement cycles produce measurable cost imposition on sanctioned states without producing durable behavioral change? This article argues that the answer lies in misdirected intensity rather than insufficient pressure. Enforcement directed at sanctioned-state actors and their most proximate contractors produces reconstitution through the enabling layer; enforcement directed at the Enablement tier itself — the commercial intermediaries whose structures provide the jurisdictional insulation and concealment utility that make evasion feasible at scale — removes the reconstitution mechanism. This article develops three contributions. First, using comparative evidence from the 2018–2020 Iran enforcement cycle, the DPRK shipping designation series, and the semiconductor denial case, it demonstrates that simultaneous multi-authority action directed at the Enablement tier produces more durable disruption than fragmented approaches against direct-pressure targets. Second, it identifies a structural coordination failure in which tariff escalation and technology-denial coordination stress the same bilateral relationships simultaneously without an institutional mechanism assigning priority between them, and develops the Coalition Conflict Resolution Protocol as a mechanism-design argument about the functional properties any adequate response would require. Third, it maps the evidentiary ceiling that open-source sanctions scholarship systematically faces, identifying where structured government data access would most materially advance the field.</w:t>
            </w:r>
          </w:p>
        </w:tc>
      </w:tr>
    </w:tbl>
    <w:p>
      <w:pPr>
        <w:pBdr>
          <w:bottom w:val="single" w:color="CCCCCC" w:sz="4" w:space="1"/>
        </w:pBdr>
        <w:spacing w:after="160" w:before="160"/>
      </w:pPr>
    </w:p>
    <w:p>
      <w:pPr>
        <w:pageBreakBefore/>
      </w:pPr>
    </w:p>
    <w:p>
      <w:pPr>
        <w:pStyle w:val="Heading1"/>
        <w:spacing w:after="160" w:before="480"/>
      </w:pPr>
      <w:r>
        <w:rPr>
          <w:rFonts w:ascii="Arial" w:cs="Arial" w:eastAsia="Arial" w:hAnsi="Arial"/>
          <w:b/>
          <w:bCs/>
          <w:color w:val="1B2A4A"/>
          <w:sz w:val="28"/>
          <w:szCs w:val="28"/>
        </w:rPr>
        <w:t xml:space="preserve">Introduction</w:t>
      </w:r>
    </w:p>
    <w:p>
      <w:pPr>
        <w:spacing w:after="120" w:before="100"/>
        <w:ind w:firstLine="720"/>
      </w:pPr>
      <w:r>
        <w:rPr>
          <w:rFonts w:ascii="Times New Roman" w:cs="Times New Roman" w:eastAsia="Times New Roman" w:hAnsi="Times New Roman"/>
          <w:color w:val="000000"/>
          <w:sz w:val="22"/>
          <w:szCs w:val="22"/>
        </w:rPr>
        <w:t xml:space="preserve">In July 2025, the U.S. Treasury Department designated more than 115 Iranian shipping entities in a single enforcement action — one of the largest single-wave designation sequences in the Office of Foreign Assets Control’s history. Commercial maritime analytics showed Iranian crude exports recovering toward pre-sanctions levels within months, routed through shadow-fleet tankers with recycled flag registrations, alternative insurance arrangements, and new trading-house intermediaries. The designation wave had imposed costs. The evasion architecture had adapted. This pattern — intensive enforcement producing measurable direct-channel suppression concurrent with enabling-layer expansion — is not unique to Iran. It recurs across the most resilient PRC-linked sanctions-evasion networks, wherever the enabling layer remains largely intact.</w:t>
      </w:r>
    </w:p>
    <w:p>
      <w:pPr>
        <w:spacing w:after="120" w:before="100"/>
        <w:ind w:firstLine="720"/>
      </w:pPr>
      <w:r>
        <w:rPr>
          <w:rFonts w:ascii="Times New Roman" w:cs="Times New Roman" w:eastAsia="Times New Roman" w:hAnsi="Times New Roman"/>
          <w:color w:val="000000"/>
          <w:sz w:val="22"/>
          <w:szCs w:val="22"/>
        </w:rPr>
        <w:t xml:space="preserve">The dominant explanation in the sanctions literature treats this failure as a function of enforcement intensity, coalition breadth, or target-state domestic capacity.</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color w:val="000000"/>
          <w:sz w:val="22"/>
          <w:szCs w:val="22"/>
        </w:rPr>
        <w:t xml:space="preserve"> Each explanation captures part of the picture. None disaggregates the variable that this article identifies as the more proximate cause: not the intensity or breadth of enforcement, but which layer of the network it is directed at. Fragmented enforcement directed at sanctioned-state actors and their most proximate contractors addresses the nodes the enabling architecture was built to protect. It leaves intact the commercial intermediaries — the shipping facilitators, trading houses, financial institutions, and technology brokers — whose structures provide the reconstitution capacity that makes the network resilient to designation.</w:t>
      </w:r>
    </w:p>
    <w:p>
      <w:pPr>
        <w:spacing w:after="120" w:before="100"/>
        <w:ind w:firstLine="720"/>
      </w:pPr>
      <w:r>
        <w:rPr>
          <w:rFonts w:ascii="Times New Roman" w:cs="Times New Roman" w:eastAsia="Times New Roman" w:hAnsi="Times New Roman"/>
          <w:color w:val="000000"/>
          <w:sz w:val="22"/>
          <w:szCs w:val="22"/>
        </w:rPr>
        <w:t xml:space="preserve">This article argues that enforcement directed at the Enablement tier — the layer of commercial actors whose structures are specifically integrated into sanctioned-state operational requirements and provide concealment or jurisdictional insulation the state cannot easily replicate directly — produces more durable disruption for three structural reasons: higher target substitution cost, greater legal durability of conduct-based designations, and stronger coalition-participation value compared to direct-pressure approaches. This differential degrades under a specific condition: when the instruments the enforcement architecture deploys stress the same bilateral relationships that coalition coordination requires. That conflict is structural, and its resolution requires an institutional mechanism the current architecture does not provide.</w:t>
      </w:r>
    </w:p>
    <w:p>
      <w:pPr>
        <w:spacing w:after="120" w:before="100"/>
        <w:ind w:firstLine="720"/>
      </w:pPr>
      <w:r>
        <w:rPr>
          <w:rFonts w:ascii="Times New Roman" w:cs="Times New Roman" w:eastAsia="Times New Roman" w:hAnsi="Times New Roman"/>
          <w:color w:val="000000"/>
          <w:sz w:val="22"/>
          <w:szCs w:val="22"/>
        </w:rPr>
        <w:t xml:space="preserve">The article develops three contributions, structured across five sections and a conclusion. Section I develops the Enablement-tier targeting thesis and its three structural advantages. Section II tests the thesis against comparative evidence from three enforcement cycles. Section III diagnoses the coalition-degradation mechanism: coalition costs generated endogenously by the sender’s own policy portfolio rather than by disagreement over the enforcement objective, a failure mode conventional diplomatic management tools do not reach. Section IV develops the Coalition Conflict Resolution Protocol as a mechanism-design argument about the functional properties any adequate institutional response must have: prioritization, visibility, and assigned resolution authority. Section V maps the evidentiary ceiling that open-source sanctions scholarship systematically faces, identifying where structured government data access would most materially improve analytical precision.</w:t>
      </w:r>
    </w:p>
    <w:p>
      <w:pPr>
        <w:spacing w:after="120" w:before="100"/>
        <w:ind w:firstLine="720"/>
      </w:pPr>
      <w:r>
        <w:rPr>
          <w:rFonts w:ascii="Times New Roman" w:cs="Times New Roman" w:eastAsia="Times New Roman" w:hAnsi="Times New Roman"/>
          <w:color w:val="000000"/>
          <w:sz w:val="22"/>
          <w:szCs w:val="22"/>
        </w:rPr>
        <w:t xml:space="preserve">This article enters three active debates in the sanctions literature. On enforcement effectiveness, it advances the argument that target-type disaggregation — which layer of the network is targeted — explains differential enforcement durability better than intensity or coalition breadth alone.</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color w:val="000000"/>
          <w:sz w:val="22"/>
          <w:szCs w:val="22"/>
        </w:rPr>
        <w:t xml:space="preserve"> On coalition management, it identifies a coordination failure not previously theorized in the literature: coalition degradation generated endogenously by instrument conflict within the sender coalition, producing fragmentation without preference divergence.</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color w:val="000000"/>
          <w:sz w:val="22"/>
          <w:szCs w:val="22"/>
        </w:rPr>
        <w:t xml:space="preserve"> On research methodology, it provides a systematic mapping of the open-source ceiling in sanctions-network analysis, distinguishing tasks assessable from commercial open sources from those requiring classified intelligence corroboration.</w:t>
      </w:r>
    </w:p>
    <w:p>
      <w:pPr>
        <w:spacing w:after="120" w:before="100"/>
        <w:ind w:firstLine="720"/>
      </w:pPr>
      <w:r>
        <w:rPr>
          <w:rFonts w:ascii="Times New Roman" w:cs="Times New Roman" w:eastAsia="Times New Roman" w:hAnsi="Times New Roman"/>
          <w:color w:val="000000"/>
          <w:sz w:val="22"/>
          <w:szCs w:val="22"/>
        </w:rPr>
        <w:t xml:space="preserve">Two scope conditions bear stating. The article’s comparative findings are differential and relative, not absolute: Enablement-tier targeting produces more durable disruption than fragmented direct-pressure approaches, not disruption sufficient for sanctioned-state behavioral change in every case. And the three partner-country pairings developed in Section IV — Netherlands/ASML, Japan/Tokyo Electron and Shin-Etsu, South Korea/Samsung and SK Hynix — illustrate the structural coordination problem rather than providing an exhaustive account of every coalition friction point in the enforcement architecture.</w:t>
      </w:r>
    </w:p>
    <w:p>
      <w:pPr>
        <w:pBdr>
          <w:bottom w:val="single" w:color="CCCCCC" w:sz="4" w:space="1"/>
        </w:pBdr>
        <w:spacing w:after="160" w:before="160"/>
      </w:pPr>
    </w:p>
    <w:p>
      <w:pPr>
        <w:pageBreakBefore/>
      </w:pPr>
    </w:p>
    <w:p>
      <w:pPr>
        <w:spacing w:after="60" w:before="40"/>
      </w:pPr>
      <w:r>
        <w:rPr>
          <w:rFonts w:ascii="Times New Roman" w:cs="Times New Roman" w:eastAsia="Times New Roman" w:hAnsi="Times New Roman"/>
          <w:color w:val="4A5568"/>
          <w:sz w:val="18"/>
          <w:szCs w:val="18"/>
          <w:vertAlign w:val="superscript"/>
        </w:rPr>
        <w:t xml:space="preserve">1 </w:t>
      </w:r>
      <w:r>
        <w:rPr>
          <w:rFonts w:ascii="Times New Roman" w:cs="Times New Roman" w:eastAsia="Times New Roman" w:hAnsi="Times New Roman"/>
          <w:color w:val="4A5568"/>
          <w:sz w:val="18"/>
          <w:szCs w:val="18"/>
        </w:rPr>
        <w:t xml:space="preserve">The canonical empirical treatment of sanctions effectiveness is Gary Clyde Hufbauer, Jeffrey J. Schott, and Kimberly Ann Elliott, Economic Sanctions Reconsidered, 3rd ed. (Washington: Peterson Institute for International Economics, 2007). On enforcement intensity and coalition breadth, see Daniel W. Drezner, ‘Bargaining, Enforcement, and Multilateral Sanctions: When Is Cooperation Counterproductive?’ International Organization 54, no. 1 (2000): 73-102. On domestic adaptation capacity, see Richard Nephew, The Art of Sanctions: A View from the Field (New York: Columbia University Press, 2017), ch. 6.</w:t>
      </w:r>
    </w:p>
    <w:p>
      <w:pPr>
        <w:spacing w:after="60" w:before="40"/>
      </w:pPr>
      <w:r>
        <w:rPr>
          <w:rFonts w:ascii="Times New Roman" w:cs="Times New Roman" w:eastAsia="Times New Roman" w:hAnsi="Times New Roman"/>
          <w:color w:val="4A5568"/>
          <w:sz w:val="18"/>
          <w:szCs w:val="18"/>
          <w:vertAlign w:val="superscript"/>
        </w:rPr>
        <w:t xml:space="preserve">2 </w:t>
      </w:r>
      <w:r>
        <w:rPr>
          <w:rFonts w:ascii="Times New Roman" w:cs="Times New Roman" w:eastAsia="Times New Roman" w:hAnsi="Times New Roman"/>
          <w:color w:val="4A5568"/>
          <w:sz w:val="18"/>
          <w:szCs w:val="18"/>
        </w:rPr>
        <w:t xml:space="preserve">The target-type disaggregation argument builds on but extends existing network-disruption literature. Juan Zarate, Treasury’s War: The Unleashing of a New Era of Financial Warfare (New York: PublicAffairs, 2013), addresses network disruption logic at the practitioner level; the comparative evidence in this article provides empirical support for the mechanism-level claim that Enablement-tier targeting produces differential reconstitution-timeline effects.</w:t>
      </w:r>
    </w:p>
    <w:p>
      <w:pPr>
        <w:spacing w:after="60" w:before="40"/>
      </w:pPr>
      <w:r>
        <w:rPr>
          <w:rFonts w:ascii="Times New Roman" w:cs="Times New Roman" w:eastAsia="Times New Roman" w:hAnsi="Times New Roman"/>
          <w:color w:val="4A5568"/>
          <w:sz w:val="18"/>
          <w:szCs w:val="18"/>
          <w:vertAlign w:val="superscript"/>
        </w:rPr>
        <w:t xml:space="preserve">3 </w:t>
      </w:r>
      <w:r>
        <w:rPr>
          <w:rFonts w:ascii="Times New Roman" w:cs="Times New Roman" w:eastAsia="Times New Roman" w:hAnsi="Times New Roman"/>
          <w:color w:val="4A5568"/>
          <w:sz w:val="18"/>
          <w:szCs w:val="18"/>
        </w:rPr>
        <w:t xml:space="preserve">Prior coalition management literature addresses defection risk as a function of enforcement costs and preference alignment. See Daniel W. Drezner, ‘The Hidden Hand of Economic Coercion,’ International Organization 57, no. 3 (2003): 643-659; Lisa L. Martin, Coercive Cooperation: Explaining Multilateral Economic Sanctions (Princeton: Princeton University Press, 1992). The endogenous-instrument-conflict mechanism developed in Section III is, to the author’s knowledge, not previously theorized in this literature.</w:t>
      </w:r>
    </w:p>
    <w:p>
      <w:pPr>
        <w:pBdr>
          <w:bottom w:val="single" w:color="CCCCCC" w:sz="4" w:space="1"/>
        </w:pBdr>
        <w:spacing w:after="160" w:before="160"/>
      </w:pPr>
    </w:p>
    <w:p>
      <w:pPr>
        <w:pStyle w:val="Heading1"/>
        <w:spacing w:after="160" w:before="480"/>
      </w:pPr>
      <w:r>
        <w:rPr>
          <w:rFonts w:ascii="Arial" w:cs="Arial" w:eastAsia="Arial" w:hAnsi="Arial"/>
          <w:b/>
          <w:bCs/>
          <w:color w:val="1B2A4A"/>
          <w:sz w:val="28"/>
          <w:szCs w:val="28"/>
        </w:rPr>
        <w:t xml:space="preserve">I. Targeting the Enablement Layer: A Framework for Differential Enforcement Effectiveness</w:t>
      </w:r>
    </w:p>
    <w:p>
      <w:pPr>
        <w:spacing w:after="120" w:before="100"/>
        <w:ind w:firstLine="720"/>
      </w:pPr>
      <w:r>
        <w:rPr>
          <w:rFonts w:ascii="Times New Roman" w:cs="Times New Roman" w:eastAsia="Times New Roman" w:hAnsi="Times New Roman"/>
          <w:color w:val="000000"/>
          <w:sz w:val="22"/>
          <w:szCs w:val="22"/>
        </w:rPr>
        <w:t xml:space="preserve">The central puzzle in sanctions scholarship is not whether economic coercion produces costs for target states — it demonstrably does — but why those costs so rarely translate into the behavioral change the coercing sender intends. Hufbauer, Schott, and Elliott’s foundational dataset codes success in approximately thirty percent of cases under a stringent standard, even under favorable conditions of multilateral coordination and credible economic alternatives.</w:t>
      </w:r>
    </w:p>
    <w:p>
      <w:pPr>
        <w:spacing w:after="120" w:before="100"/>
        <w:ind w:firstLine="720"/>
      </w:pPr>
      <w:r>
        <w:rPr>
          <w:rFonts w:ascii="Times New Roman" w:cs="Times New Roman" w:eastAsia="Times New Roman" w:hAnsi="Times New Roman"/>
          <w:color w:val="000000"/>
          <w:sz w:val="22"/>
          <w:szCs w:val="22"/>
        </w:rPr>
        <w:t xml:space="preserve">Drezner’s influential refinement identifies sender credibility and target vulnerability as the joint determinants of compliance outcomes, and shows that coalition cohesion materially improves performance by closing the target’s substitution pathways.</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color w:val="000000"/>
          <w:sz w:val="22"/>
          <w:szCs w:val="22"/>
        </w:rPr>
        <w:t xml:space="preserve"> Both accounts treat the target as a unitary actor whose costs accumulate at the state level. Neither disaggregates the enforcement question that practitioners and scholars have increasingly recognized as the more tractable one: not whether to sanction the target state, but which layer of the network sustaining its evasion architecture is most effectively disrupted under coalition-constrained enforcement conditions.</w:t>
      </w:r>
    </w:p>
    <w:p>
      <w:pPr>
        <w:spacing w:after="120" w:before="100"/>
        <w:ind w:firstLine="720"/>
      </w:pPr>
      <w:r>
        <w:rPr>
          <w:rFonts w:ascii="Times New Roman" w:cs="Times New Roman" w:eastAsia="Times New Roman" w:hAnsi="Times New Roman"/>
          <w:color w:val="000000"/>
          <w:sz w:val="22"/>
          <w:szCs w:val="22"/>
        </w:rPr>
        <w:t xml:space="preserve">This article addresses that question. The argument is that enforcement directed at what this article terms the “Enablement tier” of sanctions-enabling networks — commercial intermediaries whose structures provide the jurisdictional insulation and concealment utility that make sanctioned-state evasion feasible at scale — produces more durable cost imposition than fragmented approaches against sanctioned-state actors directly. This differential holds for three structural reasons. It also degrades under a specific condition: when the enforcement architecture’s coalition requirements conflict with coercive-instrument demands that the same partner states face through a separate policy channel simultaneously. Section IV develops an institutional mechanism for addressing that coordination failure.</w:t>
      </w:r>
    </w:p>
    <w:p>
      <w:pPr>
        <w:pStyle w:val="Heading2"/>
        <w:spacing w:after="100" w:before="320"/>
      </w:pPr>
      <w:r>
        <w:rPr>
          <w:rFonts w:ascii="Arial" w:cs="Arial" w:eastAsia="Arial" w:hAnsi="Arial"/>
          <w:b/>
          <w:bCs/>
          <w:color w:val="1B2A4A"/>
          <w:sz w:val="24"/>
          <w:szCs w:val="24"/>
        </w:rPr>
        <w:t xml:space="preserve">The Enablement Tier</w:t>
      </w:r>
    </w:p>
    <w:p>
      <w:pPr>
        <w:spacing w:after="120" w:before="100"/>
        <w:ind w:firstLine="720"/>
      </w:pPr>
      <w:r>
        <w:rPr>
          <w:rFonts w:ascii="Times New Roman" w:cs="Times New Roman" w:eastAsia="Times New Roman" w:hAnsi="Times New Roman"/>
          <w:color w:val="000000"/>
          <w:sz w:val="22"/>
          <w:szCs w:val="22"/>
        </w:rPr>
        <w:t xml:space="preserve">The commercial layer sustaining sanctions evasion across Iran, North Korea, and Venezuela is not a monolith. It ranges from entities with documented direct-tasking relationships to state operational requirements, through entities whose structures provide jurisdictional insulation while operating primarily on commercial logic, to entities merely proximate to sanctioned activity without documented facilitation. The enforcement error most consequential for sustained pressure is treating these categories as equivalent: designating on the basis of commercial proximity rather than documented facilitation produces designations that simultaneously fail legal challenge and fracture coalition participation.</w:t>
      </w:r>
    </w:p>
    <w:p>
      <w:pPr>
        <w:spacing w:after="120" w:before="100"/>
        <w:ind w:firstLine="720"/>
      </w:pPr>
      <w:r>
        <w:rPr>
          <w:rFonts w:ascii="Times New Roman" w:cs="Times New Roman" w:eastAsia="Times New Roman" w:hAnsi="Times New Roman"/>
          <w:color w:val="000000"/>
          <w:sz w:val="22"/>
          <w:szCs w:val="22"/>
        </w:rPr>
        <w:t xml:space="preserve">This article employs a five-tier classification distinguishing Direct Tasking, Enablement, Support, Linkage, and Presence.</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color w:val="000000"/>
          <w:sz w:val="22"/>
          <w:szCs w:val="22"/>
        </w:rPr>
        <w:t xml:space="preserve"> Enablement-tier entities are those whose commercial structures are specifically integrated into sanctioned-state operational requirements and provide concealment or jurisdictional insulation the state cannot easily replicate directly. The other tiers define the attribution boundaries on which valid Enablement-tier designation depends.</w:t>
      </w:r>
    </w:p>
    <w:p>
      <w:pPr>
        <w:pStyle w:val="Heading2"/>
        <w:spacing w:after="100" w:before="320"/>
      </w:pPr>
      <w:r>
        <w:rPr>
          <w:rFonts w:ascii="Arial" w:cs="Arial" w:eastAsia="Arial" w:hAnsi="Arial"/>
          <w:b/>
          <w:bCs/>
          <w:color w:val="1B2A4A"/>
          <w:sz w:val="24"/>
          <w:szCs w:val="24"/>
        </w:rPr>
        <w:t xml:space="preserve">Three Structural Advantages</w:t>
      </w:r>
    </w:p>
    <w:p>
      <w:pPr>
        <w:spacing w:after="120" w:before="100"/>
        <w:ind w:firstLine="720"/>
      </w:pPr>
      <w:r>
        <w:rPr>
          <w:rFonts w:ascii="Times New Roman" w:cs="Times New Roman" w:eastAsia="Times New Roman" w:hAnsi="Times New Roman"/>
          <w:color w:val="000000"/>
          <w:sz w:val="22"/>
          <w:szCs w:val="22"/>
        </w:rPr>
        <w:t xml:space="preserve">The first advantage is substitution cost. Enablement-tier intermediaries occupy network positions that are difficult to replace rapidly after designation, because their value derives from characteristics not easily reproduced: established correspondent banking relationships, flag-registry access, insurance arrangements that survive ordinary scrutiny, and procurement channels with documented delivery records. Direct-pressure targets — sanctioned-state ministries, state-owned enterprises, their most proximate contractors — face low substitution cost in the shadow network precisely because the enabling layer exists to provide reconstitution capacity. Targeting the enabling layer removes that reconstitution mechanism; targeting direct-pressure actors above it does not.</w:t>
      </w:r>
    </w:p>
    <w:p>
      <w:pPr>
        <w:spacing w:after="120" w:before="100"/>
        <w:ind w:firstLine="720"/>
      </w:pPr>
      <w:r>
        <w:rPr>
          <w:rFonts w:ascii="Times New Roman" w:cs="Times New Roman" w:eastAsia="Times New Roman" w:hAnsi="Times New Roman"/>
          <w:color w:val="000000"/>
          <w:sz w:val="22"/>
          <w:szCs w:val="22"/>
        </w:rPr>
        <w:t xml:space="preserve">The second advantage is legal durability. Designations grounded in documented enabling conduct — specific transactions, verified beneficial-ownership chains, identified concealment functions — withstand judicial review and coalition scrutiny in ways that nationality-based or sector-wide measures do not.</w:t>
      </w:r>
      <w:r>
        <w:rPr>
          <w:rFonts w:ascii="Times New Roman" w:cs="Times New Roman" w:eastAsia="Times New Roman" w:hAnsi="Times New Roman"/>
          <w:sz w:val="18"/>
          <w:szCs w:val="18"/>
          <w:vertAlign w:val="superscript"/>
        </w:rPr>
        <w:t xml:space="preserve">7</w:t>
      </w:r>
      <w:r>
        <w:rPr>
          <w:rFonts w:ascii="Times New Roman" w:cs="Times New Roman" w:eastAsia="Times New Roman" w:hAnsi="Times New Roman"/>
          <w:color w:val="000000"/>
          <w:sz w:val="22"/>
          <w:szCs w:val="22"/>
        </w:rPr>
        <w:t xml:space="preserve"> The IEEPA nexus requirement conditions the validity of OFAC designations on documented connection between the designated conduct and the declared national emergency, effectively demanding the evidentiary specificity that Enablement-tier targeting produces as a methodological feature. Over-broad designations that collapse the Enablement/Support boundary generate adverse judicial precedent that weakens subsequent legitimate enforcement.</w:t>
      </w:r>
    </w:p>
    <w:p>
      <w:pPr>
        <w:spacing w:after="120" w:before="100"/>
        <w:ind w:firstLine="720"/>
      </w:pPr>
      <w:r>
        <w:rPr>
          <w:rFonts w:ascii="Times New Roman" w:cs="Times New Roman" w:eastAsia="Times New Roman" w:hAnsi="Times New Roman"/>
          <w:color w:val="000000"/>
          <w:sz w:val="22"/>
          <w:szCs w:val="22"/>
        </w:rPr>
        <w:t xml:space="preserve">The third advantage is coalition preservation. Allied governments can coordinate on conduct-based enforcement targeted at documented enabling behavior where they cannot coordinate on measures implicating their own commercial relationships with China broadly. The Netherlands, Japan, South Korea, and EU member states have demonstrated willingness to mirror U.S. designations when those designations are grounded in specific documented transactions sufficient to survive domestic legal review. The same partners have demonstrated resistance to sector-wide or nationality-based pressure, on grounds that such measures impose disproportionate costs relative to enforcement benefit.</w:t>
      </w:r>
    </w:p>
    <w:p>
      <w:pPr>
        <w:spacing w:after="120" w:before="100"/>
        <w:ind w:firstLine="720"/>
      </w:pPr>
      <w:r>
        <w:rPr>
          <w:rFonts w:ascii="Times New Roman" w:cs="Times New Roman" w:eastAsia="Times New Roman" w:hAnsi="Times New Roman"/>
          <w:color w:val="000000"/>
          <w:sz w:val="22"/>
          <w:szCs w:val="22"/>
        </w:rPr>
        <w:t xml:space="preserve">Drezner establishes that coalition durability depends on alignment between participating states’ cost-benefit calculations and the perceived threat of the targeted conduct.</w:t>
      </w:r>
      <w:r>
        <w:rPr>
          <w:rFonts w:ascii="Times New Roman" w:cs="Times New Roman" w:eastAsia="Times New Roman" w:hAnsi="Times New Roman"/>
          <w:sz w:val="18"/>
          <w:szCs w:val="18"/>
          <w:vertAlign w:val="superscript"/>
        </w:rPr>
        <w:t xml:space="preserve">8</w:t>
      </w:r>
      <w:r>
        <w:rPr>
          <w:rFonts w:ascii="Times New Roman" w:cs="Times New Roman" w:eastAsia="Times New Roman" w:hAnsi="Times New Roman"/>
          <w:color w:val="000000"/>
          <w:sz w:val="22"/>
          <w:szCs w:val="22"/>
        </w:rPr>
        <w:t xml:space="preserve"> Enablement-tier targeting produces that alignment by directing coalition enforcement at documented facilitation conduct rather than at bilateral economic relationships coalition partners have independent interests in preserving.</w:t>
      </w:r>
    </w:p>
    <w:p>
      <w:pPr>
        <w:pStyle w:val="Heading2"/>
        <w:spacing w:after="100" w:before="320"/>
      </w:pPr>
      <w:r>
        <w:rPr>
          <w:rFonts w:ascii="Arial" w:cs="Arial" w:eastAsia="Arial" w:hAnsi="Arial"/>
          <w:b/>
          <w:bCs/>
          <w:color w:val="1B2A4A"/>
          <w:sz w:val="24"/>
          <w:szCs w:val="24"/>
        </w:rPr>
        <w:t xml:space="preserve">The Boundary Condition: Coalition Constraint Under Instrument Conflict</w:t>
      </w:r>
    </w:p>
    <w:p>
      <w:pPr>
        <w:spacing w:after="120" w:before="100"/>
        <w:ind w:firstLine="720"/>
      </w:pPr>
      <w:r>
        <w:rPr>
          <w:rFonts w:ascii="Times New Roman" w:cs="Times New Roman" w:eastAsia="Times New Roman" w:hAnsi="Times New Roman"/>
          <w:color w:val="000000"/>
          <w:sz w:val="22"/>
          <w:szCs w:val="22"/>
        </w:rPr>
        <w:t xml:space="preserve">The three advantages hold under sustained coalition coordination — the argument’s primary boundary condition. The enforcement architecture depends critically on partner states whose export-control cooperation is simultaneously being strained by trade instruments operating through the same bilateral relationships. The Netherlands, Japan, and South Korea are simultaneously the most important partners for technology-denial coordination against PRC-linked dual-use procurement networks and primary targets of tariff measures that erode their willingness to sustain that coordination. This is not a contingent political problem; it is a structural coordination failure: two distinct coercive instruments operate on different administrative timelines, through different interagency leads, and without a mechanism assigning priority when they simultaneously stress the same relationships.</w:t>
      </w:r>
    </w:p>
    <w:p>
      <w:pPr>
        <w:spacing w:after="120" w:before="100"/>
        <w:ind w:firstLine="720"/>
      </w:pPr>
      <w:r>
        <w:rPr>
          <w:rFonts w:ascii="Times New Roman" w:cs="Times New Roman" w:eastAsia="Times New Roman" w:hAnsi="Times New Roman"/>
          <w:color w:val="000000"/>
          <w:sz w:val="22"/>
          <w:szCs w:val="22"/>
        </w:rPr>
        <w:t xml:space="preserve">Koremenos, Lipson, and Snidal’s analysis of rational institutional design establishes that effective enforcement coalitions require not only shared interests in the targeted conduct, but institutional mechanisms that manage conflicts between participating states’ independent policy objectives.</w:t>
      </w:r>
      <w:r>
        <w:rPr>
          <w:rFonts w:ascii="Times New Roman" w:cs="Times New Roman" w:eastAsia="Times New Roman" w:hAnsi="Times New Roman"/>
          <w:sz w:val="18"/>
          <w:szCs w:val="18"/>
          <w:vertAlign w:val="superscript"/>
        </w:rPr>
        <w:t xml:space="preserve">9</w:t>
      </w:r>
      <w:r>
        <w:rPr>
          <w:rFonts w:ascii="Times New Roman" w:cs="Times New Roman" w:eastAsia="Times New Roman" w:hAnsi="Times New Roman"/>
          <w:color w:val="000000"/>
          <w:sz w:val="22"/>
          <w:szCs w:val="22"/>
        </w:rPr>
        <w:t xml:space="preserve"> The trade-friction/technology-denial contradiction is precisely the unmanaged conflict that, left unresolved, produces the coalition-fatigue and substitution-pathway reopening that degrades Enablement-tier targeting discipline over time. Section IV develops a mechanism-design response to this coordination failure.</w:t>
      </w:r>
    </w:p>
    <w:p>
      <w:pPr>
        <w:pStyle w:val="Heading2"/>
        <w:spacing w:after="100" w:before="320"/>
      </w:pPr>
      <w:r>
        <w:rPr>
          <w:rFonts w:ascii="Arial" w:cs="Arial" w:eastAsia="Arial" w:hAnsi="Arial"/>
          <w:b/>
          <w:bCs/>
          <w:color w:val="1B2A4A"/>
          <w:sz w:val="24"/>
          <w:szCs w:val="24"/>
        </w:rPr>
        <w:t xml:space="preserve">What This Framework Does Not Claim</w:t>
      </w:r>
    </w:p>
    <w:p>
      <w:pPr>
        <w:spacing w:after="120" w:before="100"/>
        <w:ind w:firstLine="720"/>
      </w:pPr>
      <w:r>
        <w:rPr>
          <w:rFonts w:ascii="Times New Roman" w:cs="Times New Roman" w:eastAsia="Times New Roman" w:hAnsi="Times New Roman"/>
          <w:color w:val="000000"/>
          <w:sz w:val="22"/>
          <w:szCs w:val="22"/>
        </w:rPr>
        <w:t xml:space="preserve">Three scope limitations bear stating. First, the thesis does not predict network collapse; it predicts more durable cost imposition and slower reconstitution relative to fragmented direct-pressure approaches. Sophisticated enabling networks have invested in resilience and jurisdictional diversification specifically because they have observed prior enforcement cycles. Second, Enablement-tier enforcement does not address PRC sovereign interests in sanctioned-state energy relationships. Those interests operate at the state level; the target is the commercial architecture providing concealment utility for transactions the PRC state cannot easily conduct directly without sovereign-level exposure.</w:t>
      </w:r>
    </w:p>
    <w:p>
      <w:pPr>
        <w:spacing w:after="120" w:before="100"/>
        <w:ind w:firstLine="720"/>
      </w:pPr>
      <w:r>
        <w:rPr>
          <w:rFonts w:ascii="Times New Roman" w:cs="Times New Roman" w:eastAsia="Times New Roman" w:hAnsi="Times New Roman"/>
          <w:color w:val="000000"/>
          <w:sz w:val="22"/>
          <w:szCs w:val="22"/>
        </w:rPr>
        <w:t xml:space="preserve">Third, the evidentiary basis for key outcome claims in the case analysis is moderate rather than high confidence. The most consequential enforcement threshold — the evidence required for a CISADA § 104 determination against a major PRC-linked financial institution to survive both judicial review and coalition scrutiny simultaneously — has not been tested in litigation.</w:t>
      </w:r>
      <w:r>
        <w:rPr>
          <w:rFonts w:ascii="Times New Roman" w:cs="Times New Roman" w:eastAsia="Times New Roman" w:hAnsi="Times New Roman"/>
          <w:sz w:val="18"/>
          <w:szCs w:val="18"/>
          <w:vertAlign w:val="superscript"/>
        </w:rPr>
        <w:t xml:space="preserve">10</w:t>
      </w:r>
      <w:r>
        <w:rPr>
          <w:rFonts w:ascii="Times New Roman" w:cs="Times New Roman" w:eastAsia="Times New Roman" w:hAnsi="Times New Roman"/>
          <w:color w:val="000000"/>
          <w:sz w:val="22"/>
          <w:szCs w:val="22"/>
        </w:rPr>
        <w:t xml:space="preserve"> Section V addresses the systematic limitations of open-source evidence for the analytical tasks the framework requires.</w:t>
      </w:r>
    </w:p>
    <w:p>
      <w:pPr>
        <w:pBdr>
          <w:bottom w:val="single" w:color="CCCCCC" w:sz="4" w:space="1"/>
        </w:pBdr>
        <w:spacing w:after="160" w:before="160"/>
      </w:pPr>
    </w:p>
    <w:p>
      <w:pPr>
        <w:pageBreakBefore/>
      </w:pPr>
    </w:p>
    <w:p>
      <w:pPr>
        <w:spacing w:after="60" w:before="40"/>
      </w:pPr>
      <w:r>
        <w:rPr>
          <w:rFonts w:ascii="Times New Roman" w:cs="Times New Roman" w:eastAsia="Times New Roman" w:hAnsi="Times New Roman"/>
          <w:color w:val="4A5568"/>
          <w:sz w:val="18"/>
          <w:szCs w:val="18"/>
          <w:vertAlign w:val="superscript"/>
        </w:rPr>
        <w:t xml:space="preserve">4 </w:t>
      </w:r>
      <w:r>
        <w:rPr>
          <w:rFonts w:ascii="Times New Roman" w:cs="Times New Roman" w:eastAsia="Times New Roman" w:hAnsi="Times New Roman"/>
          <w:color w:val="4A5568"/>
          <w:sz w:val="18"/>
          <w:szCs w:val="18"/>
        </w:rPr>
        <w:t xml:space="preserve">Gary Clyde Hufbauer, Jeffrey J. Schott, and Kimberly Ann Elliott, Economic Sanctions Reconsidered, 3rd ed. (Washington: Peterson Institute for International Economics, 2007). The dataset codes 174 sanctions episodes from 1914 to 2000, finding success in approximately 30 percent of cases under a stringent coding standard, with success rates higher for modest policy goals, multilateral application, and economically dependent targets.</w:t>
      </w:r>
    </w:p>
    <w:p>
      <w:pPr>
        <w:spacing w:after="60" w:before="40"/>
      </w:pPr>
      <w:r>
        <w:rPr>
          <w:rFonts w:ascii="Times New Roman" w:cs="Times New Roman" w:eastAsia="Times New Roman" w:hAnsi="Times New Roman"/>
          <w:color w:val="4A5568"/>
          <w:sz w:val="18"/>
          <w:szCs w:val="18"/>
          <w:vertAlign w:val="superscript"/>
        </w:rPr>
        <w:t xml:space="preserve">5 </w:t>
      </w:r>
      <w:r>
        <w:rPr>
          <w:rFonts w:ascii="Times New Roman" w:cs="Times New Roman" w:eastAsia="Times New Roman" w:hAnsi="Times New Roman"/>
          <w:color w:val="4A5568"/>
          <w:sz w:val="18"/>
          <w:szCs w:val="18"/>
        </w:rPr>
        <w:t xml:space="preserve">Daniel W. Drezner, 'Bargaining, Enforcement, and Multilateral Sanctions: When Is Cooperation Counterproductive?' International Organization 54, no. 1 (2000): 73-102. Drezner argues that sender credibility and target vulnerability are the primary determinants of compliance outcomes, and that multilateral sanctions improve outcomes by increasing sender credibility and closing substitution pathways, but only when coalitions are internally cohesive.</w:t>
      </w:r>
    </w:p>
    <w:p>
      <w:pPr>
        <w:spacing w:after="60" w:before="40"/>
      </w:pPr>
      <w:r>
        <w:rPr>
          <w:rFonts w:ascii="Times New Roman" w:cs="Times New Roman" w:eastAsia="Times New Roman" w:hAnsi="Times New Roman"/>
          <w:color w:val="4A5568"/>
          <w:sz w:val="18"/>
          <w:szCs w:val="18"/>
          <w:vertAlign w:val="superscript"/>
        </w:rPr>
        <w:t xml:space="preserve">6 </w:t>
      </w:r>
      <w:r>
        <w:rPr>
          <w:rFonts w:ascii="Times New Roman" w:cs="Times New Roman" w:eastAsia="Times New Roman" w:hAnsi="Times New Roman"/>
          <w:color w:val="4A5568"/>
          <w:sz w:val="18"/>
          <w:szCs w:val="18"/>
        </w:rPr>
        <w:t xml:space="preserve">This five-tier classification builds on published work on corporate attribution and beneficial-ownership analysis in sanctions enforcement. See Richard Nephew, The Art of Sanctions: A View from the Field (New York: Columbia University Press, 2017), ch. 4; Juan Zarate, Treasury’s War: The Unleashing of a New Era of Financial Warfare (New York: PublicAffairs, 2013), pp. 289-312. The two conjunctive evidentiary criteria — functional integration into sanctioned-state operational requirements, and concealment utility whose removal would impose meaningful jurisdictional cost — are developed more fully in a companion working paper, WP-2026-CSE-01 (author, March 2026).</w:t>
      </w:r>
    </w:p>
    <w:p>
      <w:pPr>
        <w:spacing w:after="60" w:before="40"/>
      </w:pPr>
      <w:r>
        <w:rPr>
          <w:rFonts w:ascii="Times New Roman" w:cs="Times New Roman" w:eastAsia="Times New Roman" w:hAnsi="Times New Roman"/>
          <w:color w:val="4A5568"/>
          <w:sz w:val="18"/>
          <w:szCs w:val="18"/>
          <w:vertAlign w:val="superscript"/>
        </w:rPr>
        <w:t xml:space="preserve">7 </w:t>
      </w:r>
      <w:r>
        <w:rPr>
          <w:rFonts w:ascii="Times New Roman" w:cs="Times New Roman" w:eastAsia="Times New Roman" w:hAnsi="Times New Roman"/>
          <w:color w:val="4A5568"/>
          <w:sz w:val="18"/>
          <w:szCs w:val="18"/>
        </w:rPr>
        <w:t xml:space="preserve">The IEEPA nexus requirement is codified at 50 U.S.C. § 1701. For the arbitrary-and-capricious review standard applied to OFAC designation records, see Rakhimov v. OFAC, No. 20-CV-02953 (D.D.C. 2022), and Al-Aqeel v. Paulson, 568 F. Supp. 2d 64 (D.D.C. 2008). On evidentiary record quality and long-run program sustainability, see Brenda Shaffer, 'The Limits of Coercive Sanctions on Iran,' Survival 62, no. 3 (2020): 169-188.</w:t>
      </w:r>
    </w:p>
    <w:p>
      <w:pPr>
        <w:spacing w:after="60" w:before="40"/>
      </w:pPr>
      <w:r>
        <w:rPr>
          <w:rFonts w:ascii="Times New Roman" w:cs="Times New Roman" w:eastAsia="Times New Roman" w:hAnsi="Times New Roman"/>
          <w:color w:val="4A5568"/>
          <w:sz w:val="18"/>
          <w:szCs w:val="18"/>
          <w:vertAlign w:val="superscript"/>
        </w:rPr>
        <w:t xml:space="preserve">8 </w:t>
      </w:r>
      <w:r>
        <w:rPr>
          <w:rFonts w:ascii="Times New Roman" w:cs="Times New Roman" w:eastAsia="Times New Roman" w:hAnsi="Times New Roman"/>
          <w:color w:val="4A5568"/>
          <w:sz w:val="18"/>
          <w:szCs w:val="18"/>
        </w:rPr>
        <w:t xml:space="preserve">Daniel W. Drezner, 'The Hidden Hand of Economic Coercion,' International Organization 57, no. 3 (2003): 643-659.</w:t>
      </w:r>
    </w:p>
    <w:p>
      <w:pPr>
        <w:spacing w:after="60" w:before="40"/>
      </w:pPr>
      <w:r>
        <w:rPr>
          <w:rFonts w:ascii="Times New Roman" w:cs="Times New Roman" w:eastAsia="Times New Roman" w:hAnsi="Times New Roman"/>
          <w:color w:val="4A5568"/>
          <w:sz w:val="18"/>
          <w:szCs w:val="18"/>
          <w:vertAlign w:val="superscript"/>
        </w:rPr>
        <w:t xml:space="preserve">9 </w:t>
      </w:r>
      <w:r>
        <w:rPr>
          <w:rFonts w:ascii="Times New Roman" w:cs="Times New Roman" w:eastAsia="Times New Roman" w:hAnsi="Times New Roman"/>
          <w:color w:val="4A5568"/>
          <w:sz w:val="18"/>
          <w:szCs w:val="18"/>
        </w:rPr>
        <w:t xml:space="preserve">Barbara Koremenos, Charles Lipson, and Duncan Snidal, 'The Rational Design of International Institutions,' International Organization 55, no. 4 (2001): 761-799.</w:t>
      </w:r>
    </w:p>
    <w:p>
      <w:pPr>
        <w:spacing w:after="60" w:before="40"/>
      </w:pPr>
      <w:r>
        <w:rPr>
          <w:rFonts w:ascii="Times New Roman" w:cs="Times New Roman" w:eastAsia="Times New Roman" w:hAnsi="Times New Roman"/>
          <w:color w:val="4A5568"/>
          <w:sz w:val="18"/>
          <w:szCs w:val="18"/>
          <w:vertAlign w:val="superscript"/>
        </w:rPr>
        <w:t xml:space="preserve">10 </w:t>
      </w:r>
      <w:r>
        <w:rPr>
          <w:rFonts w:ascii="Times New Roman" w:cs="Times New Roman" w:eastAsia="Times New Roman" w:hAnsi="Times New Roman"/>
          <w:color w:val="4A5568"/>
          <w:sz w:val="18"/>
          <w:szCs w:val="18"/>
        </w:rPr>
        <w:t xml:space="preserve">Section 104 of the Comprehensive Iran Sanctions, Accountability, and Divestment Act of 2010 (CISADA), 22 U.S.C. § 8513, imposes mandatory sanctions on foreign financial institutions knowingly facilitating significant transactions for SDN-designated Iranian parties. To the author’s knowledge, no CISADA § 104 determination against a major PRC-linked financial institution has been made and tested in litigation, leaving the precise evidentiary threshold empirically open.</w:t>
      </w:r>
    </w:p>
    <w:p>
      <w:pPr>
        <w:pBdr>
          <w:bottom w:val="single" w:color="CCCCCC" w:sz="4" w:space="1"/>
        </w:pBdr>
        <w:spacing w:after="160" w:before="160"/>
      </w:pPr>
    </w:p>
    <w:p>
      <w:pPr>
        <w:pStyle w:val="Heading1"/>
        <w:spacing w:after="160" w:before="480"/>
      </w:pPr>
      <w:r>
        <w:rPr>
          <w:rFonts w:ascii="Arial" w:cs="Arial" w:eastAsia="Arial" w:hAnsi="Arial"/>
          <w:b/>
          <w:bCs/>
          <w:color w:val="1B2A4A"/>
          <w:sz w:val="28"/>
          <w:szCs w:val="28"/>
        </w:rPr>
        <w:t xml:space="preserve">II. Comparative Case Evidence: Three Enforcement Cycles</w:t>
      </w:r>
    </w:p>
    <w:p>
      <w:pPr>
        <w:spacing w:after="120" w:before="100"/>
        <w:ind w:firstLine="720"/>
      </w:pPr>
      <w:r>
        <w:rPr>
          <w:rFonts w:ascii="Times New Roman" w:cs="Times New Roman" w:eastAsia="Times New Roman" w:hAnsi="Times New Roman"/>
          <w:color w:val="000000"/>
          <w:sz w:val="22"/>
          <w:szCs w:val="22"/>
        </w:rPr>
        <w:t xml:space="preserve">The three cases examined in this section are selected on two criteria: they provide observable outcome data across multiple enforcement approaches against the same network architecture, and they allow comparison of fragmented single-authority targeting against simultaneous multi-authority action at the Enablement tier. Together they constitute neither a random sample nor an exhaustive census; they are the cases in the available open-source record that most directly test the mechanisms identified in Section I.</w:t>
      </w:r>
    </w:p>
    <w:p>
      <w:pPr>
        <w:spacing w:after="120" w:before="100"/>
        <w:ind w:firstLine="720"/>
      </w:pPr>
      <w:r>
        <w:rPr>
          <w:rFonts w:ascii="Times New Roman" w:cs="Times New Roman" w:eastAsia="Times New Roman" w:hAnsi="Times New Roman"/>
          <w:color w:val="000000"/>
          <w:sz w:val="22"/>
          <w:szCs w:val="22"/>
        </w:rPr>
        <w:t xml:space="preserve">The analysis is organized around three questions rather than three sequential narratives. First, what did fragmented enforcement directed primarily at sanctioned-state actors and their most proximate contractors produce? Second, what did simultaneous multi-authority action targeting the Enablement tier specifically produce, where such action is observable? Third, what was the independent contribution of allied coordination to enforcement effectiveness, holding other variables roughly constant? The cases address these questions in order of inferential sharpness: the Iran 2018–2020 cycle provides the clearest evidence on the first; the DPRK shipping designation series provides the most precise quantitative data on substitution dynamics; the semiconductor denial case provides the closest available analogue to a natural experiment on the third. The semiconductor case differs from the other two in targeting technology access rather than financial flows, but is included because the institutional logic is directly analogous: the target sought to reconstitute denied capabilities through an enabling layer of non-U.S. suppliers operating outside initial jurisdictional reach, and the enforcement response was a multi-authority simultaneous closure of that reconstitution pathway. The variable of interest — whether simultaneous multi-authority action closing the Enablement tier outperforms sequential unilateral action — is testable in this case with greater inferential control than either of the sanctions cases permits.</w:t>
      </w:r>
    </w:p>
    <w:p>
      <w:pPr>
        <w:pStyle w:val="Heading2"/>
        <w:spacing w:after="100" w:before="320"/>
      </w:pPr>
      <w:r>
        <w:rPr>
          <w:rFonts w:ascii="Arial" w:cs="Arial" w:eastAsia="Arial" w:hAnsi="Arial"/>
          <w:b/>
          <w:bCs/>
          <w:color w:val="1B2A4A"/>
          <w:sz w:val="24"/>
          <w:szCs w:val="24"/>
        </w:rPr>
        <w:t xml:space="preserve">II.A The Iran 2018–2020 Maximum Pressure Cycle: Fragmented Direct Pressure and Network Adaptation</w:t>
      </w:r>
    </w:p>
    <w:p>
      <w:pPr>
        <w:spacing w:after="120" w:before="100"/>
        <w:ind w:firstLine="720"/>
      </w:pPr>
      <w:r>
        <w:rPr>
          <w:rFonts w:ascii="Times New Roman" w:cs="Times New Roman" w:eastAsia="Times New Roman" w:hAnsi="Times New Roman"/>
          <w:color w:val="000000"/>
          <w:sz w:val="22"/>
          <w:szCs w:val="22"/>
        </w:rPr>
        <w:t xml:space="preserve">The 2018–2020 Iran maximum pressure cycle is the most consequential recent test of high-intensity fragmented enforcement against a sophisticated evasion architecture. Following U.S. withdrawal from the Joint Comprehensive Plan of Action in May 2018 and the re-imposition of comprehensive Iran sanctions, OFAC undertook a sustained designation campaign that ultimately targeted more than a thousand entities and vessels across multiple waves. The outcome data on this cycle are the most internally contested in the enforcement literature, but on the specific question this article addresses — what targeting approach produced more durable network disruption — the record is informative.</w:t>
      </w:r>
    </w:p>
    <w:p>
      <w:pPr>
        <w:spacing w:after="120" w:before="100"/>
        <w:ind w:firstLine="720"/>
      </w:pPr>
      <w:r>
        <w:rPr>
          <w:rFonts w:ascii="Times New Roman" w:cs="Times New Roman" w:eastAsia="Times New Roman" w:hAnsi="Times New Roman"/>
          <w:color w:val="000000"/>
          <w:sz w:val="22"/>
          <w:szCs w:val="22"/>
        </w:rPr>
        <w:t xml:space="preserve">Documented effects in declared channels were real. Iranian oil exports fell sharply through 2019; hard-currency revenue declined materially; and multiple Iranian financial institutions lost access to the U.S. dollar correspondent system. The maximum pressure designation waves produced measurable cost imposition on Iran’s state-level energy revenues and on the formal financial institutions through which those revenues had previously flowed.</w:t>
      </w:r>
      <w:r>
        <w:rPr>
          <w:rFonts w:ascii="Times New Roman" w:cs="Times New Roman" w:eastAsia="Times New Roman" w:hAnsi="Times New Roman"/>
          <w:sz w:val="18"/>
          <w:szCs w:val="18"/>
          <w:vertAlign w:val="superscript"/>
        </w:rPr>
        <w:t xml:space="preserve">11</w:t>
      </w:r>
    </w:p>
    <w:p>
      <w:pPr>
        <w:spacing w:after="120" w:before="100"/>
        <w:ind w:firstLine="720"/>
      </w:pPr>
      <w:r>
        <w:rPr>
          <w:rFonts w:ascii="Times New Roman" w:cs="Times New Roman" w:eastAsia="Times New Roman" w:hAnsi="Times New Roman"/>
          <w:color w:val="000000"/>
          <w:sz w:val="22"/>
          <w:szCs w:val="22"/>
        </w:rPr>
        <w:t xml:space="preserve">The concurrent adaptation pattern, however, is equally well documented. Shadow-fleet operations expanded during the same period, with AIS manipulation, ship-to-ship transfer in international waters, and multi-flag registry cycling becoming normalized features of Iranian crude export logistics rather than exceptional evasion tactics. Crypto-enabled settlement channels that had been marginal prior to 2018 achieved operational scale. Alternative crude-clearing arrangements through non-dollar systems grew. The available commercial analytics record — including Kpler and Vortexa tracking of sanctioned-origin crude movements — is consistent with the judgment that Iranian crude export volumes recovered toward prior levels by 2020-2021 through the shadow architecture even as declared-channel revenues remained suppressed.</w:t>
      </w:r>
    </w:p>
    <w:p>
      <w:pPr>
        <w:spacing w:after="120" w:before="100"/>
        <w:ind w:firstLine="720"/>
      </w:pPr>
      <w:r>
        <w:rPr>
          <w:rFonts w:ascii="Times New Roman" w:cs="Times New Roman" w:eastAsia="Times New Roman" w:hAnsi="Times New Roman"/>
          <w:color w:val="000000"/>
          <w:sz w:val="22"/>
          <w:szCs w:val="22"/>
        </w:rPr>
        <w:t xml:space="preserve">The critical analytical question is whether this adaptation pattern reflects the limits of economic coercion generally, or the specific limits of fragmented enforcement directed primarily at sanctioned-state actors and their direct contractors rather than at the Enablement-tier layer sustaining the shadow architecture. The evidence is consistent with the latter interpretation, though it cannot fully exclude the former.</w:t>
      </w:r>
      <w:r>
        <w:rPr>
          <w:rFonts w:ascii="Times New Roman" w:cs="Times New Roman" w:eastAsia="Times New Roman" w:hAnsi="Times New Roman"/>
          <w:sz w:val="18"/>
          <w:szCs w:val="18"/>
          <w:vertAlign w:val="superscript"/>
        </w:rPr>
        <w:t xml:space="preserve">12</w:t>
      </w:r>
      <w:r>
        <w:rPr>
          <w:rFonts w:ascii="Times New Roman" w:cs="Times New Roman" w:eastAsia="Times New Roman" w:hAnsi="Times New Roman"/>
          <w:color w:val="000000"/>
          <w:sz w:val="22"/>
          <w:szCs w:val="22"/>
        </w:rPr>
        <w:t xml:space="preserve"> The enforcement record from 2018–2020 shows sustained OFAC designation activity directed at Iranian shipping entities, Iranian financial institutions, and Iranian state-owned enterprises. These are actors at or above the Support/Direct Tasking level in the nexus framework — entities with documented sanctioned-state relationships that are legally and politically more straightforward designation targets than the Enablement-tier layer sustaining their operations. The Enablement-tier layer — the classification societies providing flag-of-convenience certificates, the insurance intermediaries underwriting shadow-fleet operations, the trading houses absorbing sanctioned-origin crude at discount for PRC-linked downstream refiners — received materially less enforcement attention during the same period. The relative underenforcement against this layer reflects a combination of evidentiary difficulty (beneficial-ownership chains through opaque jurisdictions are harder to document to the IEEPA nexus standard than direct sanctioned-entity transactions), jurisdictional reach constraints at the non-U.S. service provider level, and the strategic prioritization of high-visibility state-level targets that dominated the political narrative of the maximum-pressure campaign. The available record suggests this layer continued to function with greater operational continuity than the direct-pressure targets it served.</w:t>
      </w:r>
    </w:p>
    <w:p>
      <w:pPr>
        <w:spacing w:after="120" w:before="100"/>
        <w:ind w:firstLine="720"/>
      </w:pPr>
      <w:r>
        <w:rPr>
          <w:rFonts w:ascii="Times New Roman" w:cs="Times New Roman" w:eastAsia="Times New Roman" w:hAnsi="Times New Roman"/>
          <w:color w:val="000000"/>
          <w:sz w:val="22"/>
          <w:szCs w:val="22"/>
        </w:rPr>
        <w:t xml:space="preserve">This pattern is consistent with the substitution-cost mechanism identified in Section I. Direct-pressure targets in Iran’s evasion network faced high formal-channel substitution cost but could reconstitute through the enabling layer, which remained largely intact. The enforcement cycle produced revenue suppression in formal channels concurrent with enabling-layer expansion in shadow channels — precisely the outcome the substitution-cost argument predicts for fragmented direct-pressure approaches against a network with a functional Enablement tier. The limiting factor, in other words, was not enforcement intensity — the 2018–2020 campaign was among the most intensive designation sequences in OFAC history — but the concentration of that intensity on layers of the network that could still reconstitute through a functioning enabling infrastructure the enforcement approach largely left intact.</w:t>
      </w:r>
    </w:p>
    <w:p>
      <w:pPr>
        <w:pStyle w:val="Heading2"/>
        <w:spacing w:after="100" w:before="320"/>
      </w:pPr>
      <w:r>
        <w:rPr>
          <w:rFonts w:ascii="Arial" w:cs="Arial" w:eastAsia="Arial" w:hAnsi="Arial"/>
          <w:b/>
          <w:bCs/>
          <w:color w:val="1B2A4A"/>
          <w:sz w:val="24"/>
          <w:szCs w:val="24"/>
        </w:rPr>
        <w:t xml:space="preserve">II.B The DPRK Shipping Designation Series: Substitution Dynamics and Multi-Authority Reconstitution Timelines</w:t>
      </w:r>
    </w:p>
    <w:p>
      <w:pPr>
        <w:spacing w:after="120" w:before="100"/>
        <w:ind w:firstLine="720"/>
      </w:pPr>
      <w:r>
        <w:rPr>
          <w:rFonts w:ascii="Times New Roman" w:cs="Times New Roman" w:eastAsia="Times New Roman" w:hAnsi="Times New Roman"/>
          <w:color w:val="000000"/>
          <w:sz w:val="22"/>
          <w:szCs w:val="22"/>
        </w:rPr>
        <w:t xml:space="preserve">The DPRK case provides the most precise quantitative evidence available in the open-source record on how substitution dynamics differ between single-entity sequential designation and multi-authority simultaneous action. The comparison is imperfect — DPRK’s closed-loop substitution architecture is more constrained than Iran’s, and enforcement resources and political attention varied across cycles — but the observable outcome differences are substantial enough to support the mechanism claims in Section I.</w:t>
      </w:r>
    </w:p>
    <w:p>
      <w:pPr>
        <w:spacing w:after="120" w:before="100"/>
        <w:ind w:firstLine="720"/>
      </w:pPr>
      <w:r>
        <w:rPr>
          <w:rFonts w:ascii="Times New Roman" w:cs="Times New Roman" w:eastAsia="Times New Roman" w:hAnsi="Times New Roman"/>
          <w:color w:val="000000"/>
          <w:sz w:val="22"/>
          <w:szCs w:val="22"/>
        </w:rPr>
        <w:t xml:space="preserve">OFAC’s 2018–2022 DPRK shipping designation series produced measurable operational complexity increases. Average flag-registry cycling for DPRK-linked vessels increased from 1.2 registry changes per year in 2017 to 3.1 per year in 2020, reflecting elevated operational cost as designated vessels required new registration structures to continue operating.</w:t>
      </w:r>
      <w:r>
        <w:rPr>
          <w:rFonts w:ascii="Times New Roman" w:cs="Times New Roman" w:eastAsia="Times New Roman" w:hAnsi="Times New Roman"/>
          <w:sz w:val="18"/>
          <w:szCs w:val="18"/>
          <w:vertAlign w:val="superscript"/>
        </w:rPr>
        <w:t xml:space="preserve">13</w:t>
      </w:r>
      <w:r>
        <w:rPr>
          <w:rFonts w:ascii="Times New Roman" w:cs="Times New Roman" w:eastAsia="Times New Roman" w:hAnsi="Times New Roman"/>
          <w:color w:val="000000"/>
          <w:sz w:val="22"/>
          <w:szCs w:val="22"/>
        </w:rPr>
        <w:t xml:space="preserve"> This is evidence of enforcement-induced cost imposition. It is also evidence of the substitution-cost dynamic the Enablement-tier thesis predicts: the network reconstituted around designated nodes rather than collapsing, and did so relatively quickly.</w:t>
      </w:r>
    </w:p>
    <w:p>
      <w:pPr>
        <w:spacing w:after="120" w:before="100"/>
        <w:ind w:firstLine="720"/>
      </w:pPr>
      <w:r>
        <w:rPr>
          <w:rFonts w:ascii="Times New Roman" w:cs="Times New Roman" w:eastAsia="Times New Roman" w:hAnsi="Times New Roman"/>
          <w:color w:val="000000"/>
          <w:sz w:val="22"/>
          <w:szCs w:val="22"/>
        </w:rPr>
        <w:t xml:space="preserve">The reconstitution timeline data are the more analytically significant finding. Following major single-authority OFAC designation actions, new shell structures serving the same network functions typically appeared within 30–60 days. This reconstitution speed is consistent with the presence of an intact Enablement tier — specifically, the flag-registry intermediaries, vessel-management companies, and insurance facilitators that provide the service infrastructure new shell structures require. Designation of individual DPRK-linked vessels or trading companies produced observable disruption followed by reconstitution through the enabling layer, rather than durable network degradation.</w:t>
      </w:r>
    </w:p>
    <w:p>
      <w:pPr>
        <w:spacing w:after="120" w:before="100"/>
        <w:ind w:firstLine="720"/>
      </w:pPr>
      <w:r>
        <w:rPr>
          <w:rFonts w:ascii="Times New Roman" w:cs="Times New Roman" w:eastAsia="Times New Roman" w:hAnsi="Times New Roman"/>
          <w:color w:val="000000"/>
          <w:sz w:val="22"/>
          <w:szCs w:val="22"/>
        </w:rPr>
        <w:t xml:space="preserve">Multi-vector simultaneous action — combining OFAC financial designation, BIS Entity List addition, nonproliferation sanctions authority, and Section 311 class designation targeting specific transaction classes used in DPRK petroleum transfers — is associated with materially longer observed reconstitution timelines than sequential single-authority actions against the same network segments.</w:t>
      </w:r>
      <w:r>
        <w:rPr>
          <w:rFonts w:ascii="Times New Roman" w:cs="Times New Roman" w:eastAsia="Times New Roman" w:hAnsi="Times New Roman"/>
          <w:sz w:val="18"/>
          <w:szCs w:val="18"/>
          <w:vertAlign w:val="superscript"/>
        </w:rPr>
        <w:t xml:space="preserve">14</w:t>
      </w:r>
      <w:r>
        <w:rPr>
          <w:rFonts w:ascii="Times New Roman" w:cs="Times New Roman" w:eastAsia="Times New Roman" w:hAnsi="Times New Roman"/>
          <w:color w:val="000000"/>
          <w:sz w:val="22"/>
          <w:szCs w:val="22"/>
        </w:rPr>
        <w:t xml:space="preserve"> This pattern is consistent with the substitution-cost mechanism: simultaneous closure of multiple enabling pathways would be expected to reduce reconstitution options more than serial pressure that the network can adapt to one action at a time. The comparison does not directly isolate the targeting-approach variable from other differences between enforcement cycles, but the observable timeline differential is consistent with the mechanism and not easily explained by the available alternative accounts.</w:t>
      </w:r>
    </w:p>
    <w:p>
      <w:pPr>
        <w:spacing w:after="120" w:before="100"/>
        <w:ind w:firstLine="720"/>
      </w:pPr>
      <w:r>
        <w:rPr>
          <w:rFonts w:ascii="Times New Roman" w:cs="Times New Roman" w:eastAsia="Times New Roman" w:hAnsi="Times New Roman"/>
          <w:color w:val="000000"/>
          <w:sz w:val="22"/>
          <w:szCs w:val="22"/>
        </w:rPr>
        <w:t xml:space="preserve">Two alternative explanations require acknowledgment. First, the longer reconstitution timelines under multi-vector action may partly reflect resource constraints on DPRK’s network managers rather than differential targeting architecture — it is possible that any sustained intensive enforcement pressure, regardless of targeting approach, would produce similar timeline effects. Second, DPRK’s smaller economic scale and more constrained international access make it a potentially unrepresentative case for generalizing to Iran’s larger and more geographically distributed enabling architecture. The DPRK data support the substitution-cost mechanism but do not establish it with the evidentiary confidence that a broader comparative dataset would provide.</w:t>
      </w:r>
    </w:p>
    <w:p>
      <w:pPr>
        <w:pStyle w:val="Heading2"/>
        <w:spacing w:after="100" w:before="320"/>
      </w:pPr>
      <w:r>
        <w:rPr>
          <w:rFonts w:ascii="Arial" w:cs="Arial" w:eastAsia="Arial" w:hAnsi="Arial"/>
          <w:b/>
          <w:bCs/>
          <w:color w:val="1B2A4A"/>
          <w:sz w:val="24"/>
          <w:szCs w:val="24"/>
        </w:rPr>
        <w:t xml:space="preserve">II.C The Semiconductor Denial Case: Allied Coordination as an Independent Variable</w:t>
      </w:r>
    </w:p>
    <w:p>
      <w:pPr>
        <w:spacing w:after="120" w:before="100"/>
        <w:ind w:firstLine="720"/>
      </w:pPr>
      <w:r>
        <w:rPr>
          <w:rFonts w:ascii="Times New Roman" w:cs="Times New Roman" w:eastAsia="Times New Roman" w:hAnsi="Times New Roman"/>
          <w:color w:val="000000"/>
          <w:sz w:val="22"/>
          <w:szCs w:val="22"/>
        </w:rPr>
        <w:t xml:space="preserve">The semiconductor denial case — BIS Entity List actions against Huawei Technologies (May 2019, updated 2020) and SMIC (December 2020), combined with the Foreign Direct Product Rule expansion and subsequent Dutch and Japanese export-control alignment — provides the closest available analogue to a natural experiment on the independent contribution of allied coordination to enforcement effectiveness. The mechanism being tested differs from the Iran and DPRK cases: this is not sanctions enforcement against a sanctioned state, but export-control enforcement against a technology-denial target. The case is included to test the coordination mechanism — specifically, whether simultaneous multi-authority action closing the Enablement-tier reconstitution pathway outperforms sequential unilateral approaches — not to claim that sanctions and export controls are interchangeable policy instruments. The institutional logic for the comparison is direct: in both domains, the target sought to reconstitute access to denied resources through an enabling layer operating outside initial jurisdictional reach, and the enforcement question is the same. The target sought to reconstitute access to denied capabilities through the Enablement tier of its supply network — non-U.S. foundries, component suppliers, and equipment vendors operating outside the initial U.S. jurisdictional reach.</w:t>
      </w:r>
    </w:p>
    <w:p>
      <w:pPr>
        <w:spacing w:after="120" w:before="100"/>
        <w:ind w:firstLine="720"/>
      </w:pPr>
      <w:r>
        <w:rPr>
          <w:rFonts w:ascii="Times New Roman" w:cs="Times New Roman" w:eastAsia="Times New Roman" w:hAnsi="Times New Roman"/>
          <w:color w:val="000000"/>
          <w:sz w:val="22"/>
          <w:szCs w:val="22"/>
        </w:rPr>
        <w:t xml:space="preserve">The initial BIS Entity List actions produced observable procurement disruption. Huawei’s access to EAR-controlled components was restricted, and its supply chain for advanced semiconductor design and manufacturing was materially degraded. The target’s response followed the pattern the Enablement-tier framework predicts: it sought reconstitution through the enabling layer, routing procurement through non-U.S. foundries and component suppliers whose products contained U.S.-origin technology but fell outside the initial scope of U.S. unilateral jurisdiction.</w:t>
      </w:r>
      <w:r>
        <w:rPr>
          <w:rFonts w:ascii="Times New Roman" w:cs="Times New Roman" w:eastAsia="Times New Roman" w:hAnsi="Times New Roman"/>
          <w:sz w:val="18"/>
          <w:szCs w:val="18"/>
          <w:vertAlign w:val="superscript"/>
        </w:rPr>
        <w:t xml:space="preserve">15</w:t>
      </w:r>
    </w:p>
    <w:p>
      <w:pPr>
        <w:spacing w:after="120" w:before="100"/>
        <w:ind w:firstLine="720"/>
      </w:pPr>
      <w:r>
        <w:rPr>
          <w:rFonts w:ascii="Times New Roman" w:cs="Times New Roman" w:eastAsia="Times New Roman" w:hAnsi="Times New Roman"/>
          <w:color w:val="000000"/>
          <w:sz w:val="22"/>
          <w:szCs w:val="22"/>
        </w:rPr>
        <w:t xml:space="preserve">The FDPR expansion addressed this reconstitution pathway directly. By extending U.S. jurisdiction to items produced anywhere using U.S. semiconductor equipment, software, or design IP — regardless of the producer’s nationality or location — the rule simultaneously closed the primary Enablement-tier substitution pathway that the initial Entity List action had left open. TSMC, Samsung, and other non-U.S. foundries serving the designated entities became subject to the same license requirements as U.S. producers, eliminating the jurisdictional arbitrage that had sustained the reconstitution pathway.</w:t>
      </w:r>
    </w:p>
    <w:p>
      <w:pPr>
        <w:spacing w:after="120" w:before="100"/>
        <w:ind w:firstLine="720"/>
      </w:pPr>
      <w:r>
        <w:rPr>
          <w:rFonts w:ascii="Times New Roman" w:cs="Times New Roman" w:eastAsia="Times New Roman" w:hAnsi="Times New Roman"/>
          <w:color w:val="000000"/>
          <w:sz w:val="22"/>
          <w:szCs w:val="22"/>
        </w:rPr>
        <w:t xml:space="preserve">Allied coordination was a necessary practical condition for sustained FDPR effectiveness. The rule’s extraterritorial reach was legally available to the United States unilaterally, but its operational effectiveness depended on Dutch and Japanese export-control alignment. Without ASML’s restriction on DUV lithography equipment shipments — which the Netherlands implemented progressively through 2023 under diplomatic engagement that predated the U.S. FDPR — the denied entity retained access to the equipment necessary for mature-node fabrication. Without Japanese alignment on specialty chemicals and precision equipment, alternative sourcing remained viable.</w:t>
      </w:r>
      <w:r>
        <w:rPr>
          <w:rFonts w:ascii="Times New Roman" w:cs="Times New Roman" w:eastAsia="Times New Roman" w:hAnsi="Times New Roman"/>
          <w:sz w:val="18"/>
          <w:szCs w:val="18"/>
          <w:vertAlign w:val="superscript"/>
        </w:rPr>
        <w:t xml:space="preserve">16</w:t>
      </w:r>
      <w:r>
        <w:rPr>
          <w:rFonts w:ascii="Times New Roman" w:cs="Times New Roman" w:eastAsia="Times New Roman" w:hAnsi="Times New Roman"/>
          <w:color w:val="000000"/>
          <w:sz w:val="22"/>
          <w:szCs w:val="22"/>
        </w:rPr>
        <w:t xml:space="preserve"> The combination of FDPR and allied coordination produced a denial window that the U.S. unilateral action alone could not have sustained: the target’s domestic development investment accelerated in response, but the timeline for domestically produced alternatives — estimated at 3–5 years for mature nodes, 7–10 for advanced nodes — exceeded what unilateral U.S. action would have produced.</w:t>
      </w:r>
    </w:p>
    <w:p>
      <w:pPr>
        <w:spacing w:after="120" w:before="100"/>
        <w:ind w:firstLine="720"/>
      </w:pPr>
      <w:r>
        <w:rPr>
          <w:rFonts w:ascii="Times New Roman" w:cs="Times New Roman" w:eastAsia="Times New Roman" w:hAnsi="Times New Roman"/>
          <w:color w:val="000000"/>
          <w:sz w:val="22"/>
          <w:szCs w:val="22"/>
        </w:rPr>
        <w:t xml:space="preserve">The semiconductor case also illustrates the boundary condition identified in Section I. The same Dutch and Japanese partners essential to FDPR effectiveness were simultaneously subject to U.S. tariff measures affecting semiconductor manufacturing inputs and electronics trade. The available record indicates that allied willingness to sustain export-control coordination was contingent, in part, on confidence that trade-friction pressures would not escalate to the point of degrading the bilateral relationships on which technical coordination depended. This is not merely a political observation: it is structural evidence for the coalition-constraint mechanism that Section IV addresses. The effectiveness of simultaneous multi-authority Enablement-tier action depended on partner-state participation, and that participation was subject to erosion through a separate instrument operating on the same bilateral relationships.</w:t>
      </w:r>
    </w:p>
    <w:p>
      <w:pPr>
        <w:pStyle w:val="Heading2"/>
        <w:spacing w:after="100" w:before="320"/>
      </w:pPr>
      <w:r>
        <w:rPr>
          <w:rFonts w:ascii="Arial" w:cs="Arial" w:eastAsia="Arial" w:hAnsi="Arial"/>
          <w:b/>
          <w:bCs/>
          <w:color w:val="1B2A4A"/>
          <w:sz w:val="24"/>
          <w:szCs w:val="24"/>
        </w:rPr>
        <w:t xml:space="preserve">II.D Cross-Case Synthesis: What the Evidence Supports and What It Does Not</w:t>
      </w:r>
    </w:p>
    <w:p>
      <w:pPr>
        <w:spacing w:after="120" w:before="100"/>
        <w:ind w:firstLine="720"/>
      </w:pPr>
      <w:r>
        <w:rPr>
          <w:rFonts w:ascii="Times New Roman" w:cs="Times New Roman" w:eastAsia="Times New Roman" w:hAnsi="Times New Roman"/>
          <w:color w:val="000000"/>
          <w:sz w:val="22"/>
          <w:szCs w:val="22"/>
        </w:rPr>
        <w:t xml:space="preserve">Taken together, the three cases support the central claim in Section I: targeted enforcement at the Enablement tier, particularly when executed through simultaneous multi-authority action that closes multiple reconstitution pathways concurrently, produces more durable disruption than fragmented direct-pressure approaches against sanctioned-state actors and their most proximate contractors. The cases map onto the three structural advantages identified in Section I in a way that clarifies the empirical scope of each. The Iran cycle, where the enabling layer remained largely intact through the maximum pressure period, provides the strongest evidence on substitution cost — direct-pressure designation produced reconstitution through the enabling layer rather than durable network degradation. The DPRK series provides the most direct evidence on reconstitution durability — single-entity sequential designation produced 30–60 day reconstitution timelines, while multi-authority simultaneous action is associated with longer disruption windows, consistent with the mechanism the thesis predicts. The semiconductor case provides the clearest evidence on coalition preservation as an independent variable: allied coordination was necessary for sustained denial effectiveness, and the same bilateral relationships on which that coordination depended were simultaneously subject to erosion through trade friction — demonstrating the coalition-constraint boundary condition in observable form.</w:t>
      </w:r>
    </w:p>
    <w:p>
      <w:pPr>
        <w:spacing w:after="120" w:before="100"/>
        <w:ind w:firstLine="720"/>
      </w:pPr>
      <w:r>
        <w:rPr>
          <w:rFonts w:ascii="Times New Roman" w:cs="Times New Roman" w:eastAsia="Times New Roman" w:hAnsi="Times New Roman"/>
          <w:color w:val="000000"/>
          <w:sz w:val="22"/>
          <w:szCs w:val="22"/>
        </w:rPr>
        <w:t xml:space="preserve">The evidence does not support stronger claims. Network collapse, total cutoff of enabling-layer functions, and permanent exclusion of sanctioned-state actors from global markets are not outcomes the available record establishes as achievable through any targeting approach. The claim is differential and relative: Enablement-tier simultaneous multi-authority action outperforms fragmented direct-pressure approaches on cost durability and reconstitution timeline, not that it achieves the strategic effects sometimes attributed to maximum-pressure campaigns in the policy literature.</w:t>
      </w:r>
    </w:p>
    <w:p>
      <w:pPr>
        <w:spacing w:after="120" w:before="100"/>
        <w:ind w:firstLine="720"/>
      </w:pPr>
      <w:r>
        <w:rPr>
          <w:rFonts w:ascii="Times New Roman" w:cs="Times New Roman" w:eastAsia="Times New Roman" w:hAnsi="Times New Roman"/>
          <w:color w:val="000000"/>
          <w:sz w:val="22"/>
          <w:szCs w:val="22"/>
        </w:rPr>
        <w:t xml:space="preserve">Two cross-cutting limitations apply to all three cases. First, the open-source evidentiary record is insufficient to fully isolate the targeting-approach variable from confounding factors — including variation in enforcement resources, political commitment, and network-specific adaptation capacity — that may independently explain some of the outcome differences observed. Second, the cases share a structural feature that limits generalization: all three involve PRC-linked Enablement tiers, which may have specific characteristics — particularly the availability of state-adjacent protection for certain enabling actors — that differ from enabling layers in other network architectures.</w:t>
      </w:r>
      <w:r>
        <w:rPr>
          <w:rFonts w:ascii="Times New Roman" w:cs="Times New Roman" w:eastAsia="Times New Roman" w:hAnsi="Times New Roman"/>
          <w:sz w:val="18"/>
          <w:szCs w:val="18"/>
          <w:vertAlign w:val="superscript"/>
        </w:rPr>
        <w:t xml:space="preserve">17</w:t>
      </w:r>
      <w:r>
        <w:rPr>
          <w:rFonts w:ascii="Times New Roman" w:cs="Times New Roman" w:eastAsia="Times New Roman" w:hAnsi="Times New Roman"/>
          <w:color w:val="000000"/>
          <w:sz w:val="22"/>
          <w:szCs w:val="22"/>
        </w:rPr>
        <w:t xml:space="preserve"> Section V addresses the evidentiary ceiling problem specifically. The cross-case limitations are acknowledged and qualify the generalizability of the findings beyond PRC-linked enabling architectures. They do not, however, undermine the observable outcome patterns on which the within-sample comparison rests. Across all three cases, simultaneous multi-authority action directed at the Enablement tier is associated with more durable disruption than fragmented approaches against direct-pressure targets alone — the central comparative finding the article advances.</w:t>
      </w:r>
    </w:p>
    <w:p>
      <w:pPr>
        <w:pBdr>
          <w:bottom w:val="single" w:color="CCCCCC" w:sz="4" w:space="1"/>
        </w:pBdr>
        <w:spacing w:after="160" w:before="160"/>
      </w:pPr>
    </w:p>
    <w:p>
      <w:pPr>
        <w:pageBreakBefore/>
      </w:pPr>
    </w:p>
    <w:p>
      <w:pPr>
        <w:spacing w:after="60" w:before="40"/>
      </w:pPr>
      <w:r>
        <w:rPr>
          <w:rFonts w:ascii="Times New Roman" w:cs="Times New Roman" w:eastAsia="Times New Roman" w:hAnsi="Times New Roman"/>
          <w:color w:val="4A5568"/>
          <w:sz w:val="18"/>
          <w:szCs w:val="18"/>
          <w:vertAlign w:val="superscript"/>
        </w:rPr>
        <w:t xml:space="preserve">11 </w:t>
      </w:r>
      <w:r>
        <w:rPr>
          <w:rFonts w:ascii="Times New Roman" w:cs="Times New Roman" w:eastAsia="Times New Roman" w:hAnsi="Times New Roman"/>
          <w:color w:val="4A5568"/>
          <w:sz w:val="18"/>
          <w:szCs w:val="18"/>
        </w:rPr>
        <w:t xml:space="preserve">For the documented revenue-reduction effects on declared-channel Iranian oil exports during the 2018-2020 period, see Congressional Research Service, Iran Sanctions (2020), and IMF Article IV consultations with Iran (2019-2020). Commercial analytics on declared-channel volume decline: Kpler, Iran Crude Export Tracker, 2018-2020 reporting. The OFAC July 2025 designation of 115+ Iranian shipping entities and the April 2025 maritime guidance on deceptive shipping practices are cited for the scale of the subsequent enforcement effort, not for the 2018-2020 period specifically.</w:t>
      </w:r>
    </w:p>
    <w:p>
      <w:pPr>
        <w:spacing w:after="60" w:before="40"/>
      </w:pPr>
      <w:r>
        <w:rPr>
          <w:rFonts w:ascii="Times New Roman" w:cs="Times New Roman" w:eastAsia="Times New Roman" w:hAnsi="Times New Roman"/>
          <w:color w:val="4A5568"/>
          <w:sz w:val="18"/>
          <w:szCs w:val="18"/>
          <w:vertAlign w:val="superscript"/>
        </w:rPr>
        <w:t xml:space="preserve">12 </w:t>
      </w:r>
      <w:r>
        <w:rPr>
          <w:rFonts w:ascii="Times New Roman" w:cs="Times New Roman" w:eastAsia="Times New Roman" w:hAnsi="Times New Roman"/>
          <w:color w:val="4A5568"/>
          <w:sz w:val="18"/>
          <w:szCs w:val="18"/>
        </w:rPr>
        <w:t xml:space="preserve">The alternative explanation — that shadow-fleet normalization and alternative settlement growth reflect Iranian domestic adaptation capacity independent of the specific targeting approach — cannot be excluded on open-source evidence alone. This limitation is explicitly acknowledged in the working-paper companion to this article. See also Richard Nephew, The Art of Sanctions, ch. 6, on the general limits of maximum-pressure campaign assessments using publicly available data. The inferential claim here is more modest: the observable pattern is consistent with the substitution-cost mechanism, and the Enablement-tier targeting hypothesis provides a parsimonious explanation for why direct-pressure intensity produced concurrent channel-substitution expansion.</w:t>
      </w:r>
    </w:p>
    <w:p>
      <w:pPr>
        <w:spacing w:after="60" w:before="40"/>
      </w:pPr>
      <w:r>
        <w:rPr>
          <w:rFonts w:ascii="Times New Roman" w:cs="Times New Roman" w:eastAsia="Times New Roman" w:hAnsi="Times New Roman"/>
          <w:color w:val="4A5568"/>
          <w:sz w:val="18"/>
          <w:szCs w:val="18"/>
          <w:vertAlign w:val="superscript"/>
        </w:rPr>
        <w:t xml:space="preserve">13 </w:t>
      </w:r>
      <w:r>
        <w:rPr>
          <w:rFonts w:ascii="Times New Roman" w:cs="Times New Roman" w:eastAsia="Times New Roman" w:hAnsi="Times New Roman"/>
          <w:color w:val="4A5568"/>
          <w:sz w:val="18"/>
          <w:szCs w:val="18"/>
        </w:rPr>
        <w:t xml:space="preserve">UN Panel of Experts on DPRK reports (2019, 2020, 2021) document the flag-registry cycling pattern and provide vessel-level data on the DPRK-linked shadow fleet. The 1.2-to-3.1 registry-change-per-year figure is drawn from OFAC designation records cross-referenced against commercial AIS analytics (MarineTraffic, Windward) and the UN Panel of Experts reporting. Confidence: MODERATE on the directional trend; individual vessel-level attribution carries analytical uncertainty.</w:t>
      </w:r>
    </w:p>
    <w:p>
      <w:pPr>
        <w:spacing w:after="60" w:before="40"/>
      </w:pPr>
      <w:r>
        <w:rPr>
          <w:rFonts w:ascii="Times New Roman" w:cs="Times New Roman" w:eastAsia="Times New Roman" w:hAnsi="Times New Roman"/>
          <w:color w:val="4A5568"/>
          <w:sz w:val="18"/>
          <w:szCs w:val="18"/>
          <w:vertAlign w:val="superscript"/>
        </w:rPr>
        <w:t xml:space="preserve">14 </w:t>
      </w:r>
      <w:r>
        <w:rPr>
          <w:rFonts w:ascii="Times New Roman" w:cs="Times New Roman" w:eastAsia="Times New Roman" w:hAnsi="Times New Roman"/>
          <w:color w:val="4A5568"/>
          <w:sz w:val="18"/>
          <w:szCs w:val="18"/>
        </w:rPr>
        <w:t xml:space="preserve">The multi-vector reconstitution timeline differential is documented in the DPRK enforcement record through comparison of single-authority OFAC designation waves (2018, 2019) against the more integrated 2021-2022 enforcement sequences that combined OFAC, BIS, and INKSNA actions against overlapping target sets. UN Panel of Experts (2022) and OFAC public enforcement releases provide the primary data. The reconstitution timeline comparison carries MODERATE CONFIDENCE; the counterfactual — what sequential action against the same targets would have produced — is not directly observable.</w:t>
      </w:r>
    </w:p>
    <w:p>
      <w:pPr>
        <w:spacing w:after="60" w:before="40"/>
      </w:pPr>
      <w:r>
        <w:rPr>
          <w:rFonts w:ascii="Times New Roman" w:cs="Times New Roman" w:eastAsia="Times New Roman" w:hAnsi="Times New Roman"/>
          <w:color w:val="4A5568"/>
          <w:sz w:val="18"/>
          <w:szCs w:val="18"/>
          <w:vertAlign w:val="superscript"/>
        </w:rPr>
        <w:t xml:space="preserve">15 </w:t>
      </w:r>
      <w:r>
        <w:rPr>
          <w:rFonts w:ascii="Times New Roman" w:cs="Times New Roman" w:eastAsia="Times New Roman" w:hAnsi="Times New Roman"/>
          <w:color w:val="4A5568"/>
          <w:sz w:val="18"/>
          <w:szCs w:val="18"/>
        </w:rPr>
        <w:t xml:space="preserve">BIS Entity List additions: Huawei Technologies, 84 Fed. Reg. 22961 (May 21, 2019), updated 85 Fed. Reg. 29849 (May 19, 2020); SMIC, 85 Fed. Reg. 83372 (Dec. 22, 2020). FDPR expansion: 85 Fed. Reg. 29622 (May 19, 2020), further amended 87 Fed. Reg. 62186 (Oct. 13, 2022). The reconstitution-through-non-U.S.-foundry pattern is documented in BIS public enforcement releases and in public reporting on TSMC and Samsung compliance with the FDPR requirements.</w:t>
      </w:r>
    </w:p>
    <w:p>
      <w:pPr>
        <w:spacing w:after="60" w:before="40"/>
      </w:pPr>
      <w:r>
        <w:rPr>
          <w:rFonts w:ascii="Times New Roman" w:cs="Times New Roman" w:eastAsia="Times New Roman" w:hAnsi="Times New Roman"/>
          <w:color w:val="4A5568"/>
          <w:sz w:val="18"/>
          <w:szCs w:val="18"/>
          <w:vertAlign w:val="superscript"/>
        </w:rPr>
        <w:t xml:space="preserve">16 </w:t>
      </w:r>
      <w:r>
        <w:rPr>
          <w:rFonts w:ascii="Times New Roman" w:cs="Times New Roman" w:eastAsia="Times New Roman" w:hAnsi="Times New Roman"/>
          <w:color w:val="4A5568"/>
          <w:sz w:val="18"/>
          <w:szCs w:val="18"/>
        </w:rPr>
        <w:t xml:space="preserve">The Netherlands’ progressive restriction of ASML DUV lithography equipment shipments to PRC advanced-node fabs is documented in Dutch government export-control communications and public reporting (2022-2023). Japan’s export-control alignment on clean-room equipment and specialty chemicals: Ministry of Economy, Trade and Industry (METI) export-control amendments, July 2023. The characterization of allied coordination as a necessary practical condition for sustained FDPR effectiveness carries MODERATE CONFIDENCE; the counterfactual — what unilateral U.S. FDPR application without Dutch and Japanese alignment would have produced — requires estimation from the pre-2023 period when ASML restrictions had not yet been fully implemented.</w:t>
      </w:r>
    </w:p>
    <w:p>
      <w:pPr>
        <w:spacing w:after="60" w:before="40"/>
      </w:pPr>
      <w:r>
        <w:rPr>
          <w:rFonts w:ascii="Times New Roman" w:cs="Times New Roman" w:eastAsia="Times New Roman" w:hAnsi="Times New Roman"/>
          <w:color w:val="4A5568"/>
          <w:sz w:val="18"/>
          <w:szCs w:val="18"/>
          <w:vertAlign w:val="superscript"/>
        </w:rPr>
        <w:t xml:space="preserve">17 </w:t>
      </w:r>
      <w:r>
        <w:rPr>
          <w:rFonts w:ascii="Times New Roman" w:cs="Times New Roman" w:eastAsia="Times New Roman" w:hAnsi="Times New Roman"/>
          <w:color w:val="4A5568"/>
          <w:sz w:val="18"/>
          <w:szCs w:val="18"/>
        </w:rPr>
        <w:t xml:space="preserve">The PRC-linked Enablement tier may have structural features — in particular, the availability of CCP-adjacent legal protection and state-directed non-cooperation with foreign enforcement requests — that make it more resilient to certain enforcement approaches than enabling tiers in other network architectures. This is a genuine scope limitation on the generalizability of the article’s comparative findings. It does not affect the within-sample comparison between fragmented and Enablement-tier enforcement approaches across the three cases, because the PRC-linked feature is present in all three and thus does not explain the within-case outcome variation.</w:t>
      </w:r>
    </w:p>
    <w:p>
      <w:pPr>
        <w:pBdr>
          <w:bottom w:val="single" w:color="CCCCCC" w:sz="4" w:space="1"/>
        </w:pBdr>
        <w:spacing w:after="160" w:before="160"/>
      </w:pPr>
    </w:p>
    <w:p>
      <w:pPr>
        <w:pStyle w:val="Heading1"/>
        <w:spacing w:after="160" w:before="480"/>
      </w:pPr>
      <w:r>
        <w:rPr>
          <w:rFonts w:ascii="Arial" w:cs="Arial" w:eastAsia="Arial" w:hAnsi="Arial"/>
          <w:b/>
          <w:bCs/>
          <w:color w:val="1B2A4A"/>
          <w:sz w:val="28"/>
          <w:szCs w:val="28"/>
        </w:rPr>
        <w:t xml:space="preserve">III. Why Enablement-Tier Targeting Discipline Degrades: The Coalition Constraint</w:t>
      </w:r>
    </w:p>
    <w:p>
      <w:pPr>
        <w:spacing w:after="120" w:before="100"/>
        <w:ind w:firstLine="720"/>
      </w:pPr>
      <w:r>
        <w:rPr>
          <w:rFonts w:ascii="Times New Roman" w:cs="Times New Roman" w:eastAsia="Times New Roman" w:hAnsi="Times New Roman"/>
          <w:color w:val="000000"/>
          <w:sz w:val="22"/>
          <w:szCs w:val="22"/>
        </w:rPr>
        <w:t xml:space="preserve">Section II established that simultaneous multi-authority action directed at the Enablement tier produces more durable disruption than fragmented approaches against direct-pressure targets alone. That comparative advantage holds under a condition the cases also made visible: the partner states whose participation the architecture requires are simultaneously subject to coercive instruments operating through the same bilateral relationships. This is not incidental. It is a structural feature of how the enforcement architecture currently operates.</w:t>
      </w:r>
    </w:p>
    <w:p>
      <w:pPr>
        <w:spacing w:after="120" w:before="100"/>
        <w:ind w:firstLine="720"/>
      </w:pPr>
      <w:r>
        <w:rPr>
          <w:rFonts w:ascii="Times New Roman" w:cs="Times New Roman" w:eastAsia="Times New Roman" w:hAnsi="Times New Roman"/>
          <w:color w:val="000000"/>
          <w:sz w:val="22"/>
          <w:szCs w:val="22"/>
        </w:rPr>
        <w:t xml:space="preserve">The existing literature on coalition coercion identifies two pathways through which enforcement coalitions degrade: preference divergence, when member states disagree about the enforcement objective, and cost-induced defection, when the costs of participation exceed a member state’s assessed stake in the outcome.</w:t>
      </w:r>
      <w:r>
        <w:rPr>
          <w:rFonts w:ascii="Times New Roman" w:cs="Times New Roman" w:eastAsia="Times New Roman" w:hAnsi="Times New Roman"/>
          <w:sz w:val="18"/>
          <w:szCs w:val="18"/>
          <w:vertAlign w:val="superscript"/>
        </w:rPr>
        <w:t xml:space="preserve">18</w:t>
      </w:r>
      <w:r>
        <w:rPr>
          <w:rFonts w:ascii="Times New Roman" w:cs="Times New Roman" w:eastAsia="Times New Roman" w:hAnsi="Times New Roman"/>
          <w:color w:val="000000"/>
          <w:sz w:val="22"/>
          <w:szCs w:val="22"/>
        </w:rPr>
        <w:t xml:space="preserve"> Both pathways have been documented and are addressed by conventional coalition management: calibrating demands, providing side payments, adjusting timelines. What the existing literature does not adequately theorize is a third pathway.</w:t>
      </w:r>
      <w:r>
        <w:rPr>
          <w:rFonts w:ascii="Times New Roman" w:cs="Times New Roman" w:eastAsia="Times New Roman" w:hAnsi="Times New Roman"/>
          <w:sz w:val="18"/>
          <w:szCs w:val="18"/>
          <w:vertAlign w:val="superscript"/>
        </w:rPr>
        <w:t xml:space="preserve">19</w:t>
      </w:r>
      <w:r>
        <w:rPr>
          <w:rFonts w:ascii="Times New Roman" w:cs="Times New Roman" w:eastAsia="Times New Roman" w:hAnsi="Times New Roman"/>
          <w:color w:val="000000"/>
          <w:sz w:val="22"/>
          <w:szCs w:val="22"/>
        </w:rPr>
        <w:t xml:space="preserve"> When the primary sender state’s instrument mix imposes costs on coalition partners through instruments independent of the enforcement action itself — tariff escalation, technology transfer restrictions, market-access measures operating on the same bilateral relationships — coalition durability degrades without preference divergence and without direct enforcement costs. The coalition fractures not because allies disagree about the objective but because the sender’s own policy portfolio has altered their cost calculus. That is a different problem, and it requires a different kind of institutional response.</w:t>
      </w:r>
    </w:p>
    <w:p>
      <w:pPr>
        <w:spacing w:after="120" w:before="100"/>
        <w:ind w:firstLine="720"/>
      </w:pPr>
      <w:r>
        <w:rPr>
          <w:rFonts w:ascii="Times New Roman" w:cs="Times New Roman" w:eastAsia="Times New Roman" w:hAnsi="Times New Roman"/>
          <w:color w:val="000000"/>
          <w:sz w:val="22"/>
          <w:szCs w:val="22"/>
        </w:rPr>
        <w:t xml:space="preserve">The semiconductor case makes this mechanism visible. Dutch and Japanese participation in technology-denial coordination depended not only on those governments’ assessment of the PRC military-civil fusion threat — which remained largely stable — but on their confidence that the United States was not simultaneously degrading the bilateral relationships on which that coordination depended. When that confidence became uncertain, cooperation became conditional: states complied on the present action while signaling reduced willingness to sustain enforcement through future cycles. Over a multi-year enforcement horizon, that conditionality is functionally equivalent to defection in slow motion.</w:t>
      </w:r>
    </w:p>
    <w:p>
      <w:pPr>
        <w:spacing w:after="120" w:before="100"/>
        <w:ind w:firstLine="720"/>
      </w:pPr>
      <w:r>
        <w:rPr>
          <w:rFonts w:ascii="Times New Roman" w:cs="Times New Roman" w:eastAsia="Times New Roman" w:hAnsi="Times New Roman"/>
          <w:color w:val="000000"/>
          <w:sz w:val="22"/>
          <w:szCs w:val="22"/>
        </w:rPr>
        <w:t xml:space="preserve">The structural character of this problem is what distinguishes it from ordinary coalition management. Koremenos, Lipson, and Snidal’s rational-design framework establishes that coalitions lacking explicit procedures for managing conflicts between institutional demands and member states’ independent commitments will tend to resolve those conflicts in favor of whichever commitment has the more immediate political constituency.</w:t>
      </w:r>
      <w:r>
        <w:rPr>
          <w:rFonts w:ascii="Times New Roman" w:cs="Times New Roman" w:eastAsia="Times New Roman" w:hAnsi="Times New Roman"/>
          <w:sz w:val="18"/>
          <w:szCs w:val="18"/>
          <w:vertAlign w:val="superscript"/>
        </w:rPr>
        <w:t xml:space="preserve">20</w:t>
      </w:r>
      <w:r>
        <w:rPr>
          <w:rFonts w:ascii="Times New Roman" w:cs="Times New Roman" w:eastAsia="Times New Roman" w:hAnsi="Times New Roman"/>
          <w:color w:val="000000"/>
          <w:sz w:val="22"/>
          <w:szCs w:val="22"/>
        </w:rPr>
        <w:t xml:space="preserve"> Applied to this case: where technology-denial coordination and tariff escalation stress the same bilateral relationships simultaneously, the absence of a priority mechanism between them means that conflicts resolve ad hoc — typically against the instrument with the longer time horizon and the higher long-run enforcement value.</w:t>
      </w:r>
    </w:p>
    <w:p>
      <w:pPr>
        <w:spacing w:after="120" w:before="100"/>
        <w:ind w:firstLine="720"/>
      </w:pPr>
      <w:r>
        <w:rPr>
          <w:rFonts w:ascii="Times New Roman" w:cs="Times New Roman" w:eastAsia="Times New Roman" w:hAnsi="Times New Roman"/>
          <w:color w:val="000000"/>
          <w:sz w:val="22"/>
          <w:szCs w:val="22"/>
        </w:rPr>
        <w:t xml:space="preserve">The asymmetric irreversibility of the two instruments makes the cost of unmanaged conflict asymmetric. Technology-denial coordination rests on bilateral technical agreements and institutional trust built through years of diplomatic engagement; both can be degraded quickly by sustained friction. Tariff measures can be modified or suspended within days. The instrument that takes longer to rebuild loses most when the conflict goes unresolved. Where no such mechanism exists, the enforcement architecture that most requires coalition durability will tend to lose it precisely when enforcement demands are highest. Section IV turns from diagnosis to design, asking what kind of institutional mechanism could prevent that erosion.</w:t>
      </w:r>
    </w:p>
    <w:p>
      <w:pPr>
        <w:pBdr>
          <w:bottom w:val="single" w:color="CCCCCC" w:sz="4" w:space="1"/>
        </w:pBdr>
        <w:spacing w:after="160" w:before="160"/>
      </w:pPr>
    </w:p>
    <w:p>
      <w:pPr>
        <w:pageBreakBefore/>
      </w:pPr>
    </w:p>
    <w:p>
      <w:pPr>
        <w:spacing w:after="60" w:before="40"/>
      </w:pPr>
      <w:r>
        <w:rPr>
          <w:rFonts w:ascii="Times New Roman" w:cs="Times New Roman" w:eastAsia="Times New Roman" w:hAnsi="Times New Roman"/>
          <w:color w:val="4A5568"/>
          <w:sz w:val="18"/>
          <w:szCs w:val="18"/>
          <w:vertAlign w:val="superscript"/>
        </w:rPr>
        <w:t xml:space="preserve">18 </w:t>
      </w:r>
      <w:r>
        <w:rPr>
          <w:rFonts w:ascii="Times New Roman" w:cs="Times New Roman" w:eastAsia="Times New Roman" w:hAnsi="Times New Roman"/>
          <w:color w:val="4A5568"/>
          <w:sz w:val="18"/>
          <w:szCs w:val="18"/>
        </w:rPr>
        <w:t xml:space="preserve">Daniel W. Drezner, 'The Hidden Hand of Economic Coercion,' International Organization 57, no. 3 (2003): 643-659. Drezner identifies three mechanisms through which target states escape enforcement pressure: substitution (finding alternative suppliers), counter-threats (raising the cost of enforcement on sender states), and coalition defection (inducing sender-coalition members to defect from enforcement). The argument here focuses on the third mechanism, specifically the case where defection pressure is generated not by the target state directly but by instrument conflict within the sender coalition.</w:t>
      </w:r>
    </w:p>
    <w:p>
      <w:pPr>
        <w:spacing w:after="60" w:before="40"/>
      </w:pPr>
      <w:r>
        <w:rPr>
          <w:rFonts w:ascii="Times New Roman" w:cs="Times New Roman" w:eastAsia="Times New Roman" w:hAnsi="Times New Roman"/>
          <w:color w:val="4A5568"/>
          <w:sz w:val="18"/>
          <w:szCs w:val="18"/>
          <w:vertAlign w:val="superscript"/>
        </w:rPr>
        <w:t xml:space="preserve">19 </w:t>
      </w:r>
      <w:r>
        <w:rPr>
          <w:rFonts w:ascii="Times New Roman" w:cs="Times New Roman" w:eastAsia="Times New Roman" w:hAnsi="Times New Roman"/>
          <w:color w:val="4A5568"/>
          <w:sz w:val="18"/>
          <w:szCs w:val="18"/>
        </w:rPr>
        <w:t xml:space="preserve">Lisa L. Martin, Coercive Cooperation: Explaining Multilateral Economic Sanctions (Princeton: Princeton University Press, 1992). Martin’s central finding is that the conditions for multilateral sanction coalition formation — primarily alignment of interests and the presence of a hegemon willing to absorb disproportionate costs — are more demanding than the conditions for unilateral coercion. The application here extends her cost-benefit framework to the case where coalition costs derive from within-sender-coalition instrument conflict rather than from the external enforcement action.</w:t>
      </w:r>
    </w:p>
    <w:p>
      <w:pPr>
        <w:spacing w:after="60" w:before="40"/>
      </w:pPr>
      <w:r>
        <w:rPr>
          <w:rFonts w:ascii="Times New Roman" w:cs="Times New Roman" w:eastAsia="Times New Roman" w:hAnsi="Times New Roman"/>
          <w:color w:val="4A5568"/>
          <w:sz w:val="18"/>
          <w:szCs w:val="18"/>
          <w:vertAlign w:val="superscript"/>
        </w:rPr>
        <w:t xml:space="preserve">20 </w:t>
      </w:r>
      <w:r>
        <w:rPr>
          <w:rFonts w:ascii="Times New Roman" w:cs="Times New Roman" w:eastAsia="Times New Roman" w:hAnsi="Times New Roman"/>
          <w:color w:val="4A5568"/>
          <w:sz w:val="18"/>
          <w:szCs w:val="18"/>
        </w:rPr>
        <w:t xml:space="preserve">Koremenos, Lipson, and Snidal, 'The Rational Design of International Institutions,' 761-799. The specific prediction applied here derives from their analysis of flexibility mechanisms: institutions facing recurring conflicts between member-state independent commitments and institutional demands tend to underperform unless they include explicit conflict-resolution procedures. In this article’s application, such conflicts are likely to resolve in favor of whichever commitment has the more immediate political constituency — which, in the present case, is typically tariff escalation rather than technology-denial coordination.</w:t>
      </w:r>
    </w:p>
    <w:p>
      <w:pPr>
        <w:pBdr>
          <w:bottom w:val="single" w:color="CCCCCC" w:sz="4" w:space="1"/>
        </w:pBdr>
        <w:spacing w:after="160" w:before="160"/>
      </w:pPr>
    </w:p>
    <w:p>
      <w:pPr>
        <w:pStyle w:val="Heading1"/>
        <w:spacing w:after="160" w:before="480"/>
      </w:pPr>
      <w:r>
        <w:rPr>
          <w:rFonts w:ascii="Arial" w:cs="Arial" w:eastAsia="Arial" w:hAnsi="Arial"/>
          <w:b/>
          <w:bCs/>
          <w:color w:val="1B2A4A"/>
          <w:sz w:val="28"/>
          <w:szCs w:val="28"/>
        </w:rPr>
        <w:t xml:space="preserve">IV. The Coalition Conflict Resolution Protocol: A Mechanism-Design Response</w:t>
      </w:r>
    </w:p>
    <w:p>
      <w:pPr>
        <w:spacing w:after="120" w:before="100"/>
        <w:ind w:firstLine="720"/>
      </w:pPr>
      <w:r>
        <w:rPr>
          <w:rFonts w:ascii="Times New Roman" w:cs="Times New Roman" w:eastAsia="Times New Roman" w:hAnsi="Times New Roman"/>
          <w:color w:val="000000"/>
          <w:sz w:val="22"/>
          <w:szCs w:val="22"/>
        </w:rPr>
        <w:t xml:space="preserve">Section III established that the coordination failure between technology-denial and tariff escalation degrades Enablement-tier targeting discipline precisely when enforcement demands are highest. The question this section addresses is what kind of institutional mechanism could close that gap. The answer is not another layer of interagency coordination — which the current architecture already attempts and which fails when the conflict is structural rather than episodic. It is a mechanism that does three things: establishes an explicit priority rule between the two instruments when they stress the same bilateral relationships; creates a mandatory notification window before escalation to force visibility of the interaction effects; and assigns institutional ownership of the conflict resolution process so that ad hoc resolution in favor of the more immediately politically salient instrument is replaced by a structured decision.</w:t>
      </w:r>
    </w:p>
    <w:p>
      <w:pPr>
        <w:spacing w:after="120" w:before="100"/>
        <w:ind w:firstLine="720"/>
      </w:pPr>
      <w:r>
        <w:rPr>
          <w:rFonts w:ascii="Times New Roman" w:cs="Times New Roman" w:eastAsia="Times New Roman" w:hAnsi="Times New Roman"/>
          <w:color w:val="000000"/>
          <w:sz w:val="22"/>
          <w:szCs w:val="22"/>
        </w:rPr>
        <w:t xml:space="preserve">This article terms that mechanism the Coalition Conflict Resolution Protocol (CCRP). The claim made here is not that the CCRP is politically achievable in any particular administration, or that it would resolve all coalition-friction problems in Enablement-tier enforcement. The claim is narrower and more structural: the coordination failure identified in Section III is derivable from the design of the current interagency architecture, the specific partner-country pairings at risk are identifiable from the open-source record, and the institutional logic of the mechanism follows from the asymmetric irreversibility established in Section III. Whether it is adopted is a separate question from whether something structurally equivalent is a necessary condition for durable coalition performance. The article’s scholarly contribution is not the specific administrative form of the CCRP but the argument that durable coalition performance under instrument conflict requires a mechanism with three functional properties: prioritization, visibility, and assigned resolution authority.</w:t>
      </w:r>
    </w:p>
    <w:p>
      <w:pPr>
        <w:pStyle w:val="Heading2"/>
        <w:spacing w:after="100" w:before="320"/>
      </w:pPr>
      <w:r>
        <w:rPr>
          <w:rFonts w:ascii="Arial" w:cs="Arial" w:eastAsia="Arial" w:hAnsi="Arial"/>
          <w:b/>
          <w:bCs/>
          <w:color w:val="1B2A4A"/>
          <w:sz w:val="24"/>
          <w:szCs w:val="24"/>
        </w:rPr>
        <w:t xml:space="preserve">IV.A The Priority Rule and Its Normative Foundation</w:t>
      </w:r>
    </w:p>
    <w:p>
      <w:pPr>
        <w:spacing w:after="120" w:before="100"/>
        <w:ind w:firstLine="720"/>
      </w:pPr>
      <w:r>
        <w:rPr>
          <w:rFonts w:ascii="Times New Roman" w:cs="Times New Roman" w:eastAsia="Times New Roman" w:hAnsi="Times New Roman"/>
          <w:color w:val="000000"/>
          <w:sz w:val="22"/>
          <w:szCs w:val="22"/>
        </w:rPr>
        <w:t xml:space="preserve">The CCRP’s core is a priority rule: in coalition-sensitive domains, technology-denial coordination takes precedence over tariff escalation when the two instruments stress the same bilateral relationships simultaneously. The rule is justified not by the comparative importance of the enforcement objectives but by the asymmetric irreversibility of the two instruments established in Section III.</w:t>
      </w:r>
      <w:r>
        <w:rPr>
          <w:rFonts w:ascii="Times New Roman" w:cs="Times New Roman" w:eastAsia="Times New Roman" w:hAnsi="Times New Roman"/>
          <w:sz w:val="18"/>
          <w:szCs w:val="18"/>
          <w:vertAlign w:val="superscript"/>
        </w:rPr>
        <w:t xml:space="preserve">21</w:t>
      </w:r>
      <w:r>
        <w:rPr>
          <w:rFonts w:ascii="Times New Roman" w:cs="Times New Roman" w:eastAsia="Times New Roman" w:hAnsi="Times New Roman"/>
          <w:color w:val="000000"/>
          <w:sz w:val="22"/>
          <w:szCs w:val="22"/>
        </w:rPr>
        <w:t xml:space="preserve"> Tariff measures can be modified, suspended, or waived by executive action within days. Technology-denial coordination rests on bilateral technical agreements, export-control regulatory alignment, and institutional trust whose reconstruction, once degraded, requires sustained diplomatic engagement across years. When these two instruments conflict, the instrument with the shorter damage-repair timeline should yield to the instrument with the longer one. That is the priority rule’s structural foundation.</w:t>
      </w:r>
    </w:p>
    <w:p>
      <w:pPr>
        <w:spacing w:after="120" w:before="100"/>
        <w:ind w:firstLine="720"/>
      </w:pPr>
      <w:r>
        <w:rPr>
          <w:rFonts w:ascii="Times New Roman" w:cs="Times New Roman" w:eastAsia="Times New Roman" w:hAnsi="Times New Roman"/>
          <w:color w:val="000000"/>
          <w:sz w:val="22"/>
          <w:szCs w:val="22"/>
        </w:rPr>
        <w:t xml:space="preserve">The priority rule does not prohibit tariff action against technology-denial partners. It requires that before tariff escalation affecting a primary technology-denial partner exceeds a defined threshold, a structured interagency review certifies that technology-denial coordination is not materially impaired. The precise calibration of that threshold — which instrument categories it covers, at what rate increases it triggers, and whether it applies symmetrically across all three partner-country pairings — would depend on empirical assessment of each relationship’s actual sensitivity and is not established by this article. What the article establishes is the functional requirement: a trigger mechanism calibrated to the instruments’ interaction sensitivity rather than to the political salience of any individual tariff action. Below the sensitivity threshold, the instruments operate independently; above it, the priority rule requires visibility and structured review before action takes effect.</w:t>
      </w:r>
    </w:p>
    <w:p>
      <w:pPr>
        <w:spacing w:after="120" w:before="100"/>
        <w:ind w:firstLine="720"/>
      </w:pPr>
      <w:r>
        <w:rPr>
          <w:rFonts w:ascii="Times New Roman" w:cs="Times New Roman" w:eastAsia="Times New Roman" w:hAnsi="Times New Roman"/>
          <w:color w:val="000000"/>
          <w:sz w:val="22"/>
          <w:szCs w:val="22"/>
        </w:rPr>
        <w:t xml:space="preserve">The conceptual move here distinguishes the article’s contribution from prior work on export-control coalition management. The existing literature identifies the trade-friction contradiction as a political challenge that requires diplomatic management case by case. This article argues that case-by-case diplomatic management is structurally insufficient when the instruments operate on different administrative timelines with different interagency leads and no shared visibility into interaction effects. The structural insufficiency calls for a structural response: not better diplomacy, but an institutional rule that makes the interaction effect visible before it occurs and assigns decision authority to an office that can weigh both instruments simultaneously.</w:t>
      </w:r>
    </w:p>
    <w:p>
      <w:pPr>
        <w:pStyle w:val="Heading2"/>
        <w:spacing w:after="100" w:before="320"/>
      </w:pPr>
      <w:r>
        <w:rPr>
          <w:rFonts w:ascii="Arial" w:cs="Arial" w:eastAsia="Arial" w:hAnsi="Arial"/>
          <w:b/>
          <w:bCs/>
          <w:color w:val="1B2A4A"/>
          <w:sz w:val="24"/>
          <w:szCs w:val="24"/>
        </w:rPr>
        <w:t xml:space="preserve">IV.B The Notification Mechanism and Partner-Country Pairings</w:t>
      </w:r>
    </w:p>
    <w:p>
      <w:pPr>
        <w:spacing w:after="120" w:before="100"/>
        <w:ind w:firstLine="720"/>
      </w:pPr>
      <w:r>
        <w:rPr>
          <w:rFonts w:ascii="Times New Roman" w:cs="Times New Roman" w:eastAsia="Times New Roman" w:hAnsi="Times New Roman"/>
          <w:color w:val="000000"/>
          <w:sz w:val="22"/>
          <w:szCs w:val="22"/>
        </w:rPr>
        <w:t xml:space="preserve">The CCRP’s second property is mandatory visibility: before any tariff action exceeding the sensitivity threshold takes effect against a primary technology-denial partner, the relevant export-control and diplomatic authorities are required to certify that technology-denial coordination is not materially impaired. The coordination window — which would need to be long enough for review but short enough not to function as a veto — is a design parameter rather than a fixed architectural element; a thirty-day window is one plausible calibration. The key institutional property is not the specific duration but the structural requirement of visibility: the interaction effect must be assessed by officials accountable for both instruments before the action takes effect, rather than discovered after it has already degraded the bilateral relationship on which technology-denial coordination depends.</w:t>
      </w:r>
    </w:p>
    <w:p>
      <w:pPr>
        <w:spacing w:after="120" w:before="100"/>
        <w:ind w:firstLine="720"/>
      </w:pPr>
      <w:r>
        <w:rPr>
          <w:rFonts w:ascii="Times New Roman" w:cs="Times New Roman" w:eastAsia="Times New Roman" w:hAnsi="Times New Roman"/>
          <w:color w:val="000000"/>
          <w:sz w:val="22"/>
          <w:szCs w:val="22"/>
        </w:rPr>
        <w:t xml:space="preserve">The three primary technology-denial partners where this structural contradiction is currently observable are identifiable from the open-source record. The following table maps each pairing’s technology-denial dependency against its trade-friction exposure as illustrative evidence of the recurring structural pattern the mechanism is designed to address, not as an operational target list.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auto" w:w="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PARTNER</w:t>
            </w:r>
          </w:p>
        </w:tc>
        <w:tc>
          <w:tcPr>
            <w:tcW w:type="auto" w:w="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TECHNOLOGY-DENIAL DEPENDENCY</w:t>
            </w:r>
          </w:p>
        </w:tc>
        <w:tc>
          <w:tcPr>
            <w:tcW w:type="auto" w:w="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TRADE-FRICTION EXPOSURE</w:t>
            </w:r>
          </w:p>
        </w:tc>
      </w:tr>
      <w:tr>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Netherlands / ASML</w:t>
            </w:r>
          </w:p>
        </w:tc>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Sole global source of EUV lithography equipment; DUV restriction essential to advanced-node denial</w:t>
            </w:r>
          </w:p>
        </w:tc>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Semiconductor manufacturing equipment exports; Dutch financial services and agricultural trade</w:t>
            </w:r>
          </w:p>
        </w:tc>
      </w:tr>
      <w:tr>
        <w:tc>
          <w:tcPr>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Times New Roman" w:cs="Times New Roman" w:eastAsia="Times New Roman" w:hAnsi="Times New Roman"/>
                <w:sz w:val="19"/>
                <w:szCs w:val="19"/>
              </w:rPr>
              <w:t xml:space="preserve">Japan / Tokyo Electron, Shin-Etsu</w:t>
            </w:r>
          </w:p>
        </w:tc>
        <w:tc>
          <w:tcPr>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Times New Roman" w:cs="Times New Roman" w:eastAsia="Times New Roman" w:hAnsi="Times New Roman"/>
                <w:sz w:val="19"/>
                <w:szCs w:val="19"/>
              </w:rPr>
              <w:t xml:space="preserve">CMP equipment and specialty chemicals for semiconductor fabrication; no comparable non-Japanese suppliers for key materials</w:t>
            </w:r>
          </w:p>
        </w:tc>
        <w:tc>
          <w:tcPr>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Times New Roman" w:cs="Times New Roman" w:eastAsia="Times New Roman" w:hAnsi="Times New Roman"/>
                <w:sz w:val="19"/>
                <w:szCs w:val="19"/>
              </w:rPr>
              <w:t xml:space="preserve">Automotive, electronics, and precision machinery exports; sustained diplomatic investment required</w:t>
            </w:r>
          </w:p>
        </w:tc>
      </w:tr>
      <w:tr>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South Korea / Samsung, SK Hynix</w:t>
            </w:r>
          </w:p>
        </w:tc>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High-bandwidth memory (HBM) for AI accelerator hardware; DRAM and NAND supply critical to denial architecture</w:t>
            </w:r>
          </w:p>
        </w:tc>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Steel, automotive, electronics; Alliance cost-sharing dynamics create additional sensitivity</w:t>
            </w:r>
          </w:p>
        </w:tc>
      </w:tr>
    </w:tbl>
    <w:p>
      <w:pPr>
        <w:spacing w:before="80"/>
      </w:pPr>
    </w:p>
    <w:p>
      <w:pPr>
        <w:spacing w:after="120" w:before="100"/>
        <w:ind w:firstLine="720"/>
      </w:pPr>
      <w:r>
        <w:rPr>
          <w:rFonts w:ascii="Times New Roman" w:cs="Times New Roman" w:eastAsia="Times New Roman" w:hAnsi="Times New Roman"/>
          <w:color w:val="000000"/>
          <w:sz w:val="22"/>
          <w:szCs w:val="22"/>
        </w:rPr>
        <w:t xml:space="preserve">Each pairing represents a case where the same bilateral relationship is simultaneously the channel for technology-denial coordination and the target of trade instruments. Netherlands/ASML is the most structurally significant: ASML is the sole global source of extreme ultraviolet lithography equipment, and there is no non-Dutch substitute for EUV equipment on any commercially relevant timeline.</w:t>
      </w:r>
      <w:r>
        <w:rPr>
          <w:rFonts w:ascii="Times New Roman" w:cs="Times New Roman" w:eastAsia="Times New Roman" w:hAnsi="Times New Roman"/>
          <w:sz w:val="18"/>
          <w:szCs w:val="18"/>
          <w:vertAlign w:val="superscript"/>
        </w:rPr>
        <w:t xml:space="preserve">22</w:t>
      </w:r>
      <w:r>
        <w:rPr>
          <w:rFonts w:ascii="Times New Roman" w:cs="Times New Roman" w:eastAsia="Times New Roman" w:hAnsi="Times New Roman"/>
          <w:color w:val="000000"/>
          <w:sz w:val="22"/>
          <w:szCs w:val="22"/>
        </w:rPr>
        <w:t xml:space="preserve"> Dutch cooperation in restricting EUV shipments to PRC advanced-node fabs is a close-to-necessary condition for the technology-denial architecture\u2019s effectiveness against PRC military-civil fusion semiconductor programs on any commercially relevant timeline; any tariff friction with the Netherlands that degrades the bilateral relationship reduces that cooperation without a structural substitute available.</w:t>
      </w:r>
    </w:p>
    <w:p>
      <w:pPr>
        <w:spacing w:after="120" w:before="100"/>
        <w:ind w:firstLine="720"/>
      </w:pPr>
      <w:r>
        <w:rPr>
          <w:rFonts w:ascii="Times New Roman" w:cs="Times New Roman" w:eastAsia="Times New Roman" w:hAnsi="Times New Roman"/>
          <w:color w:val="000000"/>
          <w:sz w:val="22"/>
          <w:szCs w:val="22"/>
        </w:rPr>
        <w:t xml:space="preserve">Japan presents the same structure for chemical mechanical planarization equipment and specialty chemicals: Tokyo Electron and Shin-Etsu Chemical supply inputs for which no alternative supplier can maintain comparable supply at scale on the timelines that technology-denial enforcement requires. South Korea’s Samsung and SK Hynix present the same structure for high-bandwidth memory, which is critical to AI accelerator hardware and whose export restriction to PRC military end-users is directly sensitive to the bilateral trade relationship.</w:t>
      </w:r>
    </w:p>
    <w:p>
      <w:pPr>
        <w:spacing w:after="120" w:before="100"/>
        <w:ind w:firstLine="720"/>
      </w:pPr>
      <w:r>
        <w:rPr>
          <w:rFonts w:ascii="Times New Roman" w:cs="Times New Roman" w:eastAsia="Times New Roman" w:hAnsi="Times New Roman"/>
          <w:color w:val="000000"/>
          <w:sz w:val="22"/>
          <w:szCs w:val="22"/>
        </w:rPr>
        <w:t xml:space="preserve">These pairings make visible the type of recurring structural contradiction to which the mechanism responds. It does not require prediction of how any particular tariff action will affect export-control cooperation; it requires visibility and structured review before the action takes effect, which allows the instruments’ interaction effects to be assessed by officials who are accountable for both.</w:t>
      </w:r>
    </w:p>
    <w:p>
      <w:pPr>
        <w:pStyle w:val="Heading2"/>
        <w:spacing w:after="100" w:before="320"/>
      </w:pPr>
      <w:r>
        <w:rPr>
          <w:rFonts w:ascii="Arial" w:cs="Arial" w:eastAsia="Arial" w:hAnsi="Arial"/>
          <w:b/>
          <w:bCs/>
          <w:color w:val="1B2A4A"/>
          <w:sz w:val="24"/>
          <w:szCs w:val="24"/>
        </w:rPr>
        <w:t xml:space="preserve">IV.C Institutional Home and Objections</w:t>
      </w:r>
    </w:p>
    <w:p>
      <w:pPr>
        <w:spacing w:after="120" w:before="100"/>
        <w:ind w:firstLine="720"/>
      </w:pPr>
      <w:r>
        <w:rPr>
          <w:rFonts w:ascii="Times New Roman" w:cs="Times New Roman" w:eastAsia="Times New Roman" w:hAnsi="Times New Roman"/>
          <w:color w:val="000000"/>
          <w:sz w:val="22"/>
          <w:szCs w:val="22"/>
        </w:rPr>
        <w:t xml:space="preserve">The CCRP requires an assigned institutional home that currently does not exist in the interagency architecture. The proposed structure is minimal: the NSC Senior Director for International Economics and the NSC Senior Director for Technology and National Security jointly hold notification responsibility; the State Department Bureau of Economic and Business Affairs holds the thirty-day review coordination; and disputes unresolved at the Deputy Assistant Secretary level within the thirty-day window are elevated to the Deputies Committee. No new office is created; no new statutory authority is required. The mechanism formalizes a decision-making process that currently occurs ad hoc and typically resolves in favor of the instrument with the more immediate political constituency.</w:t>
      </w:r>
    </w:p>
    <w:p>
      <w:pPr>
        <w:spacing w:after="120" w:before="100"/>
        <w:ind w:firstLine="720"/>
      </w:pPr>
      <w:r>
        <w:rPr>
          <w:rFonts w:ascii="Times New Roman" w:cs="Times New Roman" w:eastAsia="Times New Roman" w:hAnsi="Times New Roman"/>
          <w:color w:val="000000"/>
          <w:sz w:val="22"/>
          <w:szCs w:val="22"/>
        </w:rPr>
        <w:t xml:space="preserve">Two objections are worth addressing directly. The first is that the mechanism is politically unrealistic: administrations that want to escalate tariffs against technology-denial partners will not accept a thirty-day notification requirement that creates political friction for that escalation. Political feasibility is analytically distinct from design adequacy: the argument that a mechanism would be refused does not engage the prior question of what mechanism the problem requires. The claim is not that the CCRP will be adopted; it is that absent something structurally equivalent, the coalition-degradation pattern identified in Sections II and III will recur.</w:t>
      </w:r>
      <w:r>
        <w:rPr>
          <w:rFonts w:ascii="Times New Roman" w:cs="Times New Roman" w:eastAsia="Times New Roman" w:hAnsi="Times New Roman"/>
          <w:sz w:val="18"/>
          <w:szCs w:val="18"/>
          <w:vertAlign w:val="superscript"/>
        </w:rPr>
        <w:t xml:space="preserve">23</w:t>
      </w:r>
      <w:r>
        <w:rPr>
          <w:rFonts w:ascii="Times New Roman" w:cs="Times New Roman" w:eastAsia="Times New Roman" w:hAnsi="Times New Roman"/>
          <w:color w:val="000000"/>
          <w:sz w:val="22"/>
          <w:szCs w:val="22"/>
        </w:rPr>
        <w:t xml:space="preserve"> What would not recur under the mechanism is resolution by default: the conflict would at minimum become visible to officials accountable for both instruments, which is the institutional prerequisite for any durable resolution.</w:t>
      </w:r>
    </w:p>
    <w:p>
      <w:pPr>
        <w:spacing w:after="120" w:before="100"/>
        <w:ind w:firstLine="720"/>
      </w:pPr>
      <w:r>
        <w:rPr>
          <w:rFonts w:ascii="Times New Roman" w:cs="Times New Roman" w:eastAsia="Times New Roman" w:hAnsi="Times New Roman"/>
          <w:color w:val="000000"/>
          <w:sz w:val="22"/>
          <w:szCs w:val="22"/>
        </w:rPr>
        <w:t xml:space="preserve">The second objection is that the notification mechanism imposes transaction costs on legitimate tariff policy without demonstrating that those costs are proportionate to the enforcement benefit. This objection has more force. The article’s response is that the transaction costs of the thirty-day review are bounded and one-time per tariff action, while the enforcement costs of unmanaged coalition degradation are cumulative and extend across the full enforcement horizon. Whether that tradeoff favors the mechanism depends on empirical assessments of how frequently the contradiction is live, how sensitive alliance coordination is to specific tariff actions, and what the enforcement cost of coalition underperformance actually is at the margin. Those are empirical questions the article identifies but cannot resolve on the available open-source record.</w:t>
      </w:r>
    </w:p>
    <w:p>
      <w:pPr>
        <w:spacing w:after="120" w:before="100"/>
        <w:ind w:firstLine="720"/>
      </w:pPr>
      <w:r>
        <w:rPr>
          <w:rFonts w:ascii="Times New Roman" w:cs="Times New Roman" w:eastAsia="Times New Roman" w:hAnsi="Times New Roman"/>
          <w:color w:val="000000"/>
          <w:sz w:val="22"/>
          <w:szCs w:val="22"/>
        </w:rPr>
        <w:t xml:space="preserve">What this section establishes is the structural logic of the mechanism and the functional properties that any adequate response must have: a priority rule grounded in asymmetric irreversibility, a visibility mechanism that makes interaction effects observable before they occur, and assigned institutional ownership that replaces ad hoc resolution. Whether the CCRP as specified here is the right institutional form, or whether a different mechanism with these functional properties would be preferable, is a question that requires the diplomatic and classified record the open-source ceiling does not reach. What does not require that record is the diagnosis: the enforcement architecture that most depends on coalition durability will systematically lose it at the moments enforcement demands are highest, unless the instrument conflict that produces that degradation is given an institutional home.</w:t>
      </w:r>
    </w:p>
    <w:p>
      <w:pPr>
        <w:pBdr>
          <w:bottom w:val="single" w:color="CCCCCC" w:sz="4" w:space="1"/>
        </w:pBdr>
        <w:spacing w:after="160" w:before="160"/>
      </w:pPr>
    </w:p>
    <w:p>
      <w:pPr>
        <w:pageBreakBefore/>
      </w:pPr>
    </w:p>
    <w:p>
      <w:pPr>
        <w:spacing w:after="60" w:before="40"/>
      </w:pPr>
      <w:r>
        <w:rPr>
          <w:rFonts w:ascii="Times New Roman" w:cs="Times New Roman" w:eastAsia="Times New Roman" w:hAnsi="Times New Roman"/>
          <w:color w:val="4A5568"/>
          <w:sz w:val="18"/>
          <w:szCs w:val="18"/>
          <w:vertAlign w:val="superscript"/>
        </w:rPr>
        <w:t xml:space="preserve">21 </w:t>
      </w:r>
      <w:r>
        <w:rPr>
          <w:rFonts w:ascii="Times New Roman" w:cs="Times New Roman" w:eastAsia="Times New Roman" w:hAnsi="Times New Roman"/>
          <w:color w:val="4A5568"/>
          <w:sz w:val="18"/>
          <w:szCs w:val="18"/>
        </w:rPr>
        <w:t xml:space="preserve">The asymmetric irreversibility argument is developed in Section III. For the general theoretical foundation of prioritization rules in institutional design under competing instrument demands, see Koremenos, Lipson, and Snidal, ‘The Rational Design of International Institutions,’ International Organization 55, no. 4 (2001): 761-799, on flexibility mechanisms as instruments for managing unanticipated conflicts between institutional commitments. The application to priority rules between enforcement instruments with different damage-repair timelines is this article’s extension of that framework.</w:t>
      </w:r>
    </w:p>
    <w:p>
      <w:pPr>
        <w:spacing w:after="60" w:before="40"/>
      </w:pPr>
      <w:r>
        <w:rPr>
          <w:rFonts w:ascii="Times New Roman" w:cs="Times New Roman" w:eastAsia="Times New Roman" w:hAnsi="Times New Roman"/>
          <w:color w:val="4A5568"/>
          <w:sz w:val="18"/>
          <w:szCs w:val="18"/>
          <w:vertAlign w:val="superscript"/>
        </w:rPr>
        <w:t xml:space="preserve">22 </w:t>
      </w:r>
      <w:r>
        <w:rPr>
          <w:rFonts w:ascii="Times New Roman" w:cs="Times New Roman" w:eastAsia="Times New Roman" w:hAnsi="Times New Roman"/>
          <w:color w:val="4A5568"/>
          <w:sz w:val="18"/>
          <w:szCs w:val="18"/>
        </w:rPr>
        <w:t xml:space="preserve">ASML’s monopoly on EUV lithography equipment is documented in BIS export-control analyses and in public reporting on the semiconductor capital equipment market. See also Gregory C. Allen, ‘Choking Off China’s Access to the Future of AI,’ Center for Strategic and International Studies, October 2022, for analysis of ASML’s structural position in the technology-denial architecture. The absence of any credible EUV alternative supplier on a commercially relevant timeline is the key structural feature that makes Dutch cooperation a necessary rather than merely useful condition.</w:t>
      </w:r>
    </w:p>
    <w:p>
      <w:pPr>
        <w:spacing w:after="60" w:before="40"/>
      </w:pPr>
      <w:r>
        <w:rPr>
          <w:rFonts w:ascii="Times New Roman" w:cs="Times New Roman" w:eastAsia="Times New Roman" w:hAnsi="Times New Roman"/>
          <w:color w:val="4A5568"/>
          <w:sz w:val="18"/>
          <w:szCs w:val="18"/>
          <w:vertAlign w:val="superscript"/>
        </w:rPr>
        <w:t xml:space="preserve">23 </w:t>
      </w:r>
      <w:r>
        <w:rPr>
          <w:rFonts w:ascii="Times New Roman" w:cs="Times New Roman" w:eastAsia="Times New Roman" w:hAnsi="Times New Roman"/>
          <w:color w:val="4A5568"/>
          <w:sz w:val="18"/>
          <w:szCs w:val="18"/>
        </w:rPr>
        <w:t xml:space="preserve">The claim that the mechanism-design argument is separable from political feasibility follows Koremenos et al.’s approach in the rational-design framework: the question of what institutional design would be optimal under given conditions is analytically prior to the question of whether political actors will choose it. See also the parallel in arms-control scholarship, where scholars routinely analyze optimal verification architectures for agreements that have not been negotiated, as a form of pre-negotiation design work. This article’s argument occupies the same analytical position relative to the CCRP.</w:t>
      </w:r>
    </w:p>
    <w:p>
      <w:pPr>
        <w:pBdr>
          <w:bottom w:val="single" w:color="CCCCCC" w:sz="4" w:space="1"/>
        </w:pBdr>
        <w:spacing w:after="160" w:before="160"/>
      </w:pPr>
    </w:p>
    <w:p>
      <w:pPr>
        <w:pStyle w:val="Heading1"/>
        <w:spacing w:after="160" w:before="480"/>
      </w:pPr>
      <w:r>
        <w:rPr>
          <w:rFonts w:ascii="Arial" w:cs="Arial" w:eastAsia="Arial" w:hAnsi="Arial"/>
          <w:b/>
          <w:bCs/>
          <w:color w:val="1B2A4A"/>
          <w:sz w:val="28"/>
          <w:szCs w:val="28"/>
        </w:rPr>
        <w:t xml:space="preserve">V. The Evidentiary Ceiling: Where Open-Source Analysis Reaches Its Limit</w:t>
      </w:r>
    </w:p>
    <w:p>
      <w:pPr>
        <w:spacing w:after="120" w:before="100"/>
        <w:ind w:firstLine="720"/>
      </w:pPr>
      <w:r>
        <w:rPr>
          <w:rFonts w:ascii="Times New Roman" w:cs="Times New Roman" w:eastAsia="Times New Roman" w:hAnsi="Times New Roman"/>
          <w:color w:val="000000"/>
          <w:sz w:val="22"/>
          <w:szCs w:val="22"/>
        </w:rPr>
        <w:t xml:space="preserve">The arguments in Sections I through IV rest on an evidentiary base that is predominantly open-source: commercial maritime analytics, public enforcement records, Federal Register notices, UN Panel of Experts reports, FATF evaluations, and blockchain analytics. That base is extensive for sanctions-network research, and the directional claims in this article are largely supportable from it. The ceiling it imposes, however, is systematic and consequential. Across the most analytically demanding tasks this framework requires, the gap between open-source capacity and the precision needed for operationally significant conclusions will not close as commercial analytics improve. It is a structural feature of the boundary between public and classified information, not a temporary data availability problem.</w:t>
      </w:r>
    </w:p>
    <w:p>
      <w:pPr>
        <w:spacing w:after="120" w:before="100"/>
        <w:ind w:firstLine="720"/>
      </w:pPr>
      <w:r>
        <w:rPr>
          <w:rFonts w:ascii="Times New Roman" w:cs="Times New Roman" w:eastAsia="Times New Roman" w:hAnsi="Times New Roman"/>
          <w:color w:val="000000"/>
          <w:sz w:val="22"/>
          <w:szCs w:val="22"/>
        </w:rPr>
        <w:t xml:space="preserve">This is not merely a limitation of this article. It is a limitation of sanctions scholarship more broadly. Academic research on enforcement effectiveness operates under data constraints that do not apply to practitioners: FinCEN Suspicious Activity Reports, allied Financial Intelligence Unit reporting, classified signals intelligence, and compulsory beneficial-ownership disclosure are the data sources that would close the most consequential analytical gaps, and none of them are available to academic researchers.</w:t>
      </w:r>
      <w:r>
        <w:rPr>
          <w:rFonts w:ascii="Times New Roman" w:cs="Times New Roman" w:eastAsia="Times New Roman" w:hAnsi="Times New Roman"/>
          <w:sz w:val="18"/>
          <w:szCs w:val="18"/>
          <w:vertAlign w:val="superscript"/>
        </w:rPr>
        <w:t xml:space="preserve">24</w:t>
      </w:r>
      <w:r>
        <w:rPr>
          <w:rFonts w:ascii="Times New Roman" w:cs="Times New Roman" w:eastAsia="Times New Roman" w:hAnsi="Times New Roman"/>
          <w:color w:val="000000"/>
          <w:sz w:val="22"/>
          <w:szCs w:val="22"/>
        </w:rPr>
        <w:t xml:space="preserve"> The result is that the scholarly literature on sanctions effectiveness — including this article — tends to be most rigorous where evidentiary demands are lower and attribution complexity is more tractable, and most uncertain at precisely the institutional targets where enforcement stakes are highest.</w:t>
      </w:r>
    </w:p>
    <w:p>
      <w:pPr>
        <w:spacing w:after="120" w:before="100"/>
        <w:ind w:firstLine="720"/>
      </w:pPr>
      <w:r>
        <w:rPr>
          <w:rFonts w:ascii="Times New Roman" w:cs="Times New Roman" w:eastAsia="Times New Roman" w:hAnsi="Times New Roman"/>
          <w:color w:val="000000"/>
          <w:sz w:val="22"/>
          <w:szCs w:val="22"/>
        </w:rPr>
        <w:t xml:space="preserve">The table below maps the article’s five most analytically demanding tasks — all of which bear directly on the Enablement-tier thesis, the CCRP coalition-effectiveness argument, or both — against their evidentiary access tier: PUBLIC (assessable from commercial open sources alone), HYBRID (requiring commercial plus government-accessible data), or IC-DEPENDENT (requiring classified intelligence corroboration). The mapping is an attempt to be systematic about where the article’s own arguments are most evidentiary exposed.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ANALYTICAL TASK</w:t>
            </w:r>
          </w:p>
        </w:tc>
        <w:tc>
          <w:tcPr>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ACCESS TIER</w:t>
            </w:r>
          </w:p>
        </w:tc>
        <w:tc>
          <w:tcPr>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CEILING DESCRIPTION</w:t>
            </w:r>
          </w:p>
        </w:tc>
      </w:tr>
      <w:tr>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Vessel-level designation effectiveness (flag-cycling, reconstitution tracking)</w:t>
            </w:r>
          </w:p>
        </w:tc>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HYBRID</w:t>
            </w:r>
          </w:p>
        </w:tc>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Vessel churn direction is assessable from commercial AIS (Kpler, Vortexa). Successor entity identification and beneficial-ownership confirmation require FinCEN or allied FIU access. OSINT alone cannot reach the beneficial-ownership layers that link reconstituted shell structures to prior designated entities.</w:t>
            </w:r>
          </w:p>
        </w:tc>
      </w:tr>
      <w:tr>
        <w:tc>
          <w:tcPr>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Times New Roman" w:cs="Times New Roman" w:eastAsia="Times New Roman" w:hAnsi="Times New Roman"/>
                <w:sz w:val="19"/>
                <w:szCs w:val="19"/>
              </w:rPr>
              <w:t xml:space="preserve">Financial network rerouting (shadow payment rail cost premium)</w:t>
            </w:r>
          </w:p>
        </w:tc>
        <w:tc>
          <w:tcPr>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Times New Roman" w:cs="Times New Roman" w:eastAsia="Times New Roman" w:hAnsi="Times New Roman"/>
                <w:sz w:val="19"/>
                <w:szCs w:val="19"/>
              </w:rPr>
              <w:t xml:space="preserve">IC-DEPENDENT</w:t>
            </w:r>
          </w:p>
        </w:tc>
        <w:tc>
          <w:tcPr>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Times New Roman" w:cs="Times New Roman" w:eastAsia="Times New Roman" w:hAnsi="Times New Roman"/>
                <w:sz w:val="19"/>
                <w:szCs w:val="19"/>
              </w:rPr>
              <w:t xml:space="preserve">On-chain blockchain flows are publicly trackable. Hawala corridor premium data, fiat shadow-payment-rail cost data, and the FinCEN SAR record required to establish transaction-level substitution are not available on open sources. Directional assessment is feasible; threshold-level precision is not.</w:t>
            </w:r>
          </w:p>
        </w:tc>
      </w:tr>
      <w:tr>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Coalition participation and compliance divergence</w:t>
            </w:r>
          </w:p>
        </w:tc>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HYBRID</w:t>
            </w:r>
          </w:p>
        </w:tc>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Allied designation records are publicly accessible. Real-time synchronization tracking and divergence identification require diplomatic reporting channels. FATF evaluations are public but operate on a lagging cycle that limits operational utility.</w:t>
            </w:r>
          </w:p>
        </w:tc>
      </w:tr>
      <w:tr>
        <w:tc>
          <w:tcPr>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Times New Roman" w:cs="Times New Roman" w:eastAsia="Times New Roman" w:hAnsi="Times New Roman"/>
                <w:sz w:val="19"/>
                <w:szCs w:val="19"/>
              </w:rPr>
              <w:t xml:space="preserve">Confirmed attribution for Tier 2 institutional designations (CISADA § 104 threshold)</w:t>
            </w:r>
          </w:p>
        </w:tc>
        <w:tc>
          <w:tcPr>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Times New Roman" w:cs="Times New Roman" w:eastAsia="Times New Roman" w:hAnsi="Times New Roman"/>
                <w:sz w:val="19"/>
                <w:szCs w:val="19"/>
              </w:rPr>
              <w:t xml:space="preserve">IC-DEPENDENT</w:t>
            </w:r>
          </w:p>
        </w:tc>
        <w:tc>
          <w:tcPr>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Times New Roman" w:cs="Times New Roman" w:eastAsia="Times New Roman" w:hAnsi="Times New Roman"/>
                <w:sz w:val="19"/>
                <w:szCs w:val="19"/>
              </w:rPr>
              <w:t xml:space="preserve">The confirmed-attribution evidentiary standard for major institutional designations requires multi-source independent corroboration that regularly exceeds OSINT capacity. No CISADA § 104 action against a major PRC-linked financial institution has been litigated; the actual evidentiary threshold is empirically open.</w:t>
            </w:r>
          </w:p>
        </w:tc>
      </w:tr>
      <w:tr>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Procurement denial effectiveness (DPRK weapons timeline impact)</w:t>
            </w:r>
          </w:p>
        </w:tc>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IC-DEPENDENT</w:t>
            </w:r>
          </w:p>
        </w:tc>
        <w:tc>
          <w:tcPr>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Times New Roman" w:cs="Times New Roman" w:eastAsia="Times New Roman" w:hAnsi="Times New Roman"/>
                <w:sz w:val="19"/>
                <w:szCs w:val="19"/>
              </w:rPr>
              <w:t xml:space="preserve">Observable manufacturing delays are directionally assessable from commercial satellite imagery. Attribution of specific delays to component denial, as opposed to domestic development investment or alternative sourcing, requires intelligence community corroboration and cannot be established on open sources alone.</w:t>
            </w:r>
          </w:p>
        </w:tc>
      </w:tr>
    </w:tbl>
    <w:p>
      <w:pPr>
        <w:spacing w:before="80"/>
      </w:pPr>
    </w:p>
    <w:p>
      <w:pPr>
        <w:spacing w:after="120" w:before="100"/>
        <w:ind w:firstLine="720"/>
      </w:pPr>
      <w:r>
        <w:rPr>
          <w:rFonts w:ascii="Times New Roman" w:cs="Times New Roman" w:eastAsia="Times New Roman" w:hAnsi="Times New Roman"/>
          <w:color w:val="000000"/>
          <w:sz w:val="22"/>
          <w:szCs w:val="22"/>
        </w:rPr>
        <w:t xml:space="preserve">The CISADA § 104 threshold case deserves particular attention because it is the article’s most consequential evidentiary gap. Section I.D identifies confirmed attribution across multiple independently verified sources as the evidentiary standard for Tier 2 institutional designations. Section IV develops the CCRP as a mechanism to preserve coalition durability so that those designations can be sustained. But the evidentiary threshold for a CISADA § 104 determination against a major PRC-linked financial institution is empirically open: no such action has been taken and tested in litigation. The “knowingly facilitated a significant transaction” standard has never been adjudicated in a context where the target is a sovereign-adjacent institution whose designation would trigger mandatory correspondent-account severance. At that scale, with those diplomatic costs, the evidentiary record required to survive both judicial review and coalition scrutiny simultaneously is unknown.</w:t>
      </w:r>
      <w:r>
        <w:rPr>
          <w:rFonts w:ascii="Times New Roman" w:cs="Times New Roman" w:eastAsia="Times New Roman" w:hAnsi="Times New Roman"/>
          <w:sz w:val="18"/>
          <w:szCs w:val="18"/>
          <w:vertAlign w:val="superscript"/>
        </w:rPr>
        <w:t xml:space="preserve">25</w:t>
      </w:r>
      <w:r>
        <w:rPr>
          <w:rFonts w:ascii="Times New Roman" w:cs="Times New Roman" w:eastAsia="Times New Roman" w:hAnsi="Times New Roman"/>
          <w:color w:val="000000"/>
          <w:sz w:val="22"/>
          <w:szCs w:val="22"/>
        </w:rPr>
        <w:t xml:space="preserve"> Getting that threshold wrong in either direction produces either litigation reversal, which weakens subsequent legitimate enforcement, or enforcement paralysis, which allows the network to operate below the threshold indefinitely.</w:t>
      </w:r>
    </w:p>
    <w:p>
      <w:pPr>
        <w:spacing w:after="120" w:before="100"/>
        <w:ind w:firstLine="720"/>
      </w:pPr>
      <w:r>
        <w:rPr>
          <w:rFonts w:ascii="Times New Roman" w:cs="Times New Roman" w:eastAsia="Times New Roman" w:hAnsi="Times New Roman"/>
          <w:color w:val="000000"/>
          <w:sz w:val="22"/>
          <w:szCs w:val="22"/>
        </w:rPr>
        <w:t xml:space="preserve">These gaps define the research frontier for the field, not only for this article. Progress on these questions would likely require structured access to the specific government data sources that divide the PUBLIC from the IC-DEPENDENT tier: FinCEN SAR data made accessible to cleared researchers on a restricted-use basis; a cleared-academic-researcher framework for CISADA § 104 threshold analysis analogous to existing restricted Census data programs; and systematic declassification of historical enforcement records on a defined schedule. None of those mechanisms are within this article’s scope. They are, however, what separating directional inference from operationally significant proof would require.</w:t>
      </w:r>
    </w:p>
    <w:p>
      <w:pPr>
        <w:pBdr>
          <w:bottom w:val="single" w:color="CCCCCC" w:sz="4" w:space="1"/>
        </w:pBdr>
        <w:spacing w:after="160" w:before="160"/>
      </w:pPr>
    </w:p>
    <w:p>
      <w:pPr>
        <w:pageBreakBefore/>
      </w:pPr>
    </w:p>
    <w:p>
      <w:pPr>
        <w:spacing w:after="60" w:before="40"/>
      </w:pPr>
      <w:r>
        <w:rPr>
          <w:rFonts w:ascii="Times New Roman" w:cs="Times New Roman" w:eastAsia="Times New Roman" w:hAnsi="Times New Roman"/>
          <w:color w:val="4A5568"/>
          <w:sz w:val="18"/>
          <w:szCs w:val="18"/>
          <w:vertAlign w:val="superscript"/>
        </w:rPr>
        <w:t xml:space="preserve">24 </w:t>
      </w:r>
      <w:r>
        <w:rPr>
          <w:rFonts w:ascii="Times New Roman" w:cs="Times New Roman" w:eastAsia="Times New Roman" w:hAnsi="Times New Roman"/>
          <w:color w:val="4A5568"/>
          <w:sz w:val="18"/>
          <w:szCs w:val="18"/>
        </w:rPr>
        <w:t xml:space="preserve">For the general problem of data access limitations in sanctions scholarship, see Daniel W. Drezner, “The Hidden Hand of Economic Coercion,” International Organization 57, no. 3 (2003), noting that the most consequential enforcement data is systematically unavailable to external researchers. The OSINT ceiling problem is structural: SAR data, classified signals intelligence, and allied FIU reporting are the sources most relevant to network-attribution and reconstitution-tracking tasks, and they are not available to academic researchers on any timeline relevant to the enforcement cycles studied. Commercial analytics providers (Kpler, Vortexa, Chainalysis) have materially improved the open-source baseline over the 2018-2026 period, but they do not close the beneficial-ownership and institutional-attribution gaps that matter most.</w:t>
      </w:r>
    </w:p>
    <w:p>
      <w:pPr>
        <w:spacing w:after="60" w:before="40"/>
      </w:pPr>
      <w:r>
        <w:rPr>
          <w:rFonts w:ascii="Times New Roman" w:cs="Times New Roman" w:eastAsia="Times New Roman" w:hAnsi="Times New Roman"/>
          <w:color w:val="4A5568"/>
          <w:sz w:val="18"/>
          <w:szCs w:val="18"/>
          <w:vertAlign w:val="superscript"/>
        </w:rPr>
        <w:t xml:space="preserve">25 </w:t>
      </w:r>
      <w:r>
        <w:rPr>
          <w:rFonts w:ascii="Times New Roman" w:cs="Times New Roman" w:eastAsia="Times New Roman" w:hAnsi="Times New Roman"/>
          <w:color w:val="4A5568"/>
          <w:sz w:val="18"/>
          <w:szCs w:val="18"/>
        </w:rPr>
        <w:t xml:space="preserve">Section 104 of CISADA, 22 U.S.C. § 8513, imposes mandatory sanctions on foreign financial institutions that knowingly facilitate significant transactions for SDN-designated Iranian parties, including mandatory correspondent-account severance. The “knowingly facilitated” standard requires a positive finding by Treasury and State; the evidentiary quality required for that finding to survive both judicial review and the political scrutiny of a sovereign-adjacent institutional action has not been established in litigation. The empirical gap is high-stakes in both directions: an evidentiary standard set too low produces adverse precedent that constrains future enforcement; one set too high produces a de facto safe harbor for the most sophisticated facilitation networks.</w:t>
      </w:r>
    </w:p>
    <w:p>
      <w:pPr>
        <w:pBdr>
          <w:bottom w:val="single" w:color="CCCCCC" w:sz="4" w:space="1"/>
        </w:pBdr>
        <w:spacing w:after="160" w:before="160"/>
      </w:pPr>
    </w:p>
    <w:p>
      <w:pPr>
        <w:pStyle w:val="Heading1"/>
        <w:spacing w:after="160" w:before="480"/>
      </w:pPr>
      <w:r>
        <w:rPr>
          <w:rFonts w:ascii="Arial" w:cs="Arial" w:eastAsia="Arial" w:hAnsi="Arial"/>
          <w:b/>
          <w:bCs/>
          <w:color w:val="1B2A4A"/>
          <w:sz w:val="28"/>
          <w:szCs w:val="28"/>
        </w:rPr>
        <w:t xml:space="preserve">Conclusion</w:t>
      </w:r>
    </w:p>
    <w:p>
      <w:pPr>
        <w:spacing w:after="120" w:before="100"/>
        <w:ind w:firstLine="720"/>
      </w:pPr>
      <w:r>
        <w:rPr>
          <w:rFonts w:ascii="Times New Roman" w:cs="Times New Roman" w:eastAsia="Times New Roman" w:hAnsi="Times New Roman"/>
          <w:color w:val="000000"/>
          <w:sz w:val="22"/>
          <w:szCs w:val="22"/>
        </w:rPr>
        <w:t xml:space="preserve">This article began with a puzzle that the sanctions-effectiveness literature has not resolved: why do enforcement cycles that produce measurable cost imposition on sanctioned states so often fail to produce durable behavioral change? The answer developed here is not that the coercion is insufficient in intensity or duration. It is that the intensity is often directed at the wrong layer of the architecture sustaining evasion. Targeting sanctioned-state actors and their most proximate contractors produces reconstitution through the enabling layer. Targeting the enabling layer removes the reconstitution mechanism.</w:t>
      </w:r>
    </w:p>
    <w:p>
      <w:pPr>
        <w:spacing w:after="120" w:before="100"/>
        <w:ind w:firstLine="720"/>
      </w:pPr>
      <w:r>
        <w:rPr>
          <w:rFonts w:ascii="Times New Roman" w:cs="Times New Roman" w:eastAsia="Times New Roman" w:hAnsi="Times New Roman"/>
          <w:color w:val="000000"/>
          <w:sz w:val="22"/>
          <w:szCs w:val="22"/>
        </w:rPr>
        <w:t xml:space="preserve">That is the article’s first contribution: the Enablement-tier targeting thesis. The comparative evidence in Section II supports the claim that directed enforcement at the Enablement tier, particularly through simultaneous multi-authority action that closes multiple reconstitution pathways concurrently, produces more durable disruption than fragmented approaches against direct-pressure targets. The evidence does not support stronger claims. Network collapse is not an achievable planning baseline. Coalition costs are generated by instruments operating on the same bilateral relationships that Enablement-tier coordination requires. And the most consequential enforcement decisions — Tier 2 institutional designations at the CISADA § 104 level — rest on evidentiary foundations that open-source research cannot fully establish. The article’s comparative finding is differential and relative, not absolute.</w:t>
      </w:r>
    </w:p>
    <w:p>
      <w:pPr>
        <w:spacing w:after="120" w:before="100"/>
        <w:ind w:firstLine="720"/>
      </w:pPr>
      <w:r>
        <w:rPr>
          <w:rFonts w:ascii="Times New Roman" w:cs="Times New Roman" w:eastAsia="Times New Roman" w:hAnsi="Times New Roman"/>
          <w:color w:val="000000"/>
          <w:sz w:val="22"/>
          <w:szCs w:val="22"/>
        </w:rPr>
        <w:t xml:space="preserve">The second contribution is the diagnostic developed in Sections III and IV. The coalition-degradation mechanism identified here is not explained by preference divergence among sender states or by the direct costs of enforcement actions. It is generated endogenously by the sender’s own policy portfolio: tariff escalation and technology-denial coordination stress the same bilateral relationships simultaneously. Without a mechanism that makes that interaction visible and assigns resolution authority, the conflict resolves by default in favor of whichever instrument has the more immediate political constituency. The Coalition Conflict Resolution Protocol is not the article’s contribution as a policy proposal; it is the article’s contribution as a mechanism-design argument about what functional properties any adequate institutional response would need: prioritization, visibility, and assigned resolution authority. Whether the CCRP or a functionally equivalent alternative is adopted depends on political conditions this article does not claim to assess.</w:t>
      </w:r>
    </w:p>
    <w:p>
      <w:pPr>
        <w:spacing w:after="120" w:before="100"/>
        <w:ind w:firstLine="720"/>
      </w:pPr>
      <w:r>
        <w:rPr>
          <w:rFonts w:ascii="Times New Roman" w:cs="Times New Roman" w:eastAsia="Times New Roman" w:hAnsi="Times New Roman"/>
          <w:color w:val="000000"/>
          <w:sz w:val="22"/>
          <w:szCs w:val="22"/>
        </w:rPr>
        <w:t xml:space="preserve">The third contribution is methodological. Section V maps the boundary between what open-source research can establish directionally and what it cannot establish at the precision enforcement decisions require. That boundary is structural, not temporary: FinCEN SAR data, allied FIU reporting, classified signals intelligence, and compulsory beneficial-ownership disclosure are the sources that would close the most consequential gaps, and none are available to academic researchers.</w:t>
      </w:r>
      <w:r>
        <w:rPr>
          <w:rFonts w:ascii="Times New Roman" w:cs="Times New Roman" w:eastAsia="Times New Roman" w:hAnsi="Times New Roman"/>
          <w:sz w:val="18"/>
          <w:szCs w:val="18"/>
          <w:vertAlign w:val="superscript"/>
        </w:rPr>
        <w:t xml:space="preserve">26</w:t>
      </w:r>
      <w:r>
        <w:rPr>
          <w:rFonts w:ascii="Times New Roman" w:cs="Times New Roman" w:eastAsia="Times New Roman" w:hAnsi="Times New Roman"/>
          <w:color w:val="000000"/>
          <w:sz w:val="22"/>
          <w:szCs w:val="22"/>
        </w:rPr>
        <w:t xml:space="preserve"> The result is that the enforcement decisions with the highest analytical stakes — institutional-level designation of sovereign-adjacent entities, coalition-synchronized technology-denial actions, procurement-denial effectiveness assessment — are precisely those where the scholarly literature’s evidentiary ceiling is most binding. The article’s contribution here is not to apologize for that ceiling but to map it systematically, so that the field can identify where structured government data access would most materially improve analytical precision.</w:t>
      </w:r>
    </w:p>
    <w:p>
      <w:pPr>
        <w:spacing w:after="120" w:before="100"/>
        <w:ind w:firstLine="720"/>
      </w:pPr>
      <w:r>
        <w:rPr>
          <w:rFonts w:ascii="Times New Roman" w:cs="Times New Roman" w:eastAsia="Times New Roman" w:hAnsi="Times New Roman"/>
          <w:color w:val="000000"/>
          <w:sz w:val="22"/>
          <w:szCs w:val="22"/>
        </w:rPr>
        <w:t xml:space="preserve">These three contributions share an underlying logic. Enforcement architecture that most requires coalition durability is most vulnerable to the instrument conflicts that degrade it. Coalition durability in turn requires that the most important enforcement decisions rest on evidentiary foundations that survive both judicial review and allied scrutiny simultaneously — a standard that the current open-source research base cannot consistently reach. The Enablement-tier thesis, the CCRP mechanism-design argument, and the evidentiary ceiling mapping are three facets of a single analytic problem: the gap between what sanctions enforcement is designed to accomplish and what the institutional architecture governing it can actually sustain.</w:t>
      </w:r>
    </w:p>
    <w:p>
      <w:pPr>
        <w:spacing w:after="120" w:before="100"/>
        <w:ind w:firstLine="720"/>
      </w:pPr>
      <w:r>
        <w:rPr>
          <w:rFonts w:ascii="Times New Roman" w:cs="Times New Roman" w:eastAsia="Times New Roman" w:hAnsi="Times New Roman"/>
          <w:color w:val="000000"/>
          <w:sz w:val="22"/>
          <w:szCs w:val="22"/>
        </w:rPr>
        <w:t xml:space="preserve">Two research questions the article cannot resolve follow directly from its analysis. The first concerns the CISADA § 104 evidentiary threshold: what combination of open-source and government-accessible evidence would satisfy the “knowingly facilitated a significant transaction” standard for a sovereign-adjacent PRC-linked financial institution in a way that survives both APA review and allied coalition scrutiny? That question requires either a cleared-researcher data-access framework or a systematic declassification of historical OFAC determination records. The second concerns the CCRP’s institutional feasibility: what is the minimum institutional change — at the NSC, USTR, or Commerce level — required to make an explicit priority rule between technology-denial coordination and tariff escalation operationally effective? That question requires the diplomatic and bureaucratic record this article cannot access. Both are research questions for the field; neither is a limitation the article failed to overcome.</w:t>
      </w:r>
    </w:p>
    <w:p>
      <w:pPr>
        <w:spacing w:after="120" w:before="100"/>
        <w:ind w:firstLine="720"/>
      </w:pPr>
      <w:r>
        <w:rPr>
          <w:rFonts w:ascii="Times New Roman" w:cs="Times New Roman" w:eastAsia="Times New Roman" w:hAnsi="Times New Roman"/>
          <w:color w:val="000000"/>
          <w:sz w:val="22"/>
          <w:szCs w:val="22"/>
        </w:rPr>
        <w:t xml:space="preserve">Sanctions scholarship has long been better at explaining why coercion fails at the state level than at specifying what targeting architecture would improve it. This article does not resolve that question. It reframes it. Durable enforcement requires targeting precision at the enabling-network level rather than intensity at the sanctioned-state level — and the institutional preconditions for that precision, from coalition durability under instrument conflict to evidentiary foundations that survive judicial review, remain unbuilt.</w:t>
      </w:r>
    </w:p>
    <w:p>
      <w:pPr>
        <w:pBdr>
          <w:bottom w:val="single" w:color="CCCCCC" w:sz="4" w:space="1"/>
        </w:pBdr>
        <w:spacing w:after="160" w:before="160"/>
      </w:pPr>
    </w:p>
    <w:p>
      <w:pPr>
        <w:pageBreakBefore/>
      </w:pPr>
    </w:p>
    <w:p>
      <w:pPr>
        <w:spacing w:after="60" w:before="40"/>
      </w:pPr>
      <w:r>
        <w:rPr>
          <w:rFonts w:ascii="Times New Roman" w:cs="Times New Roman" w:eastAsia="Times New Roman" w:hAnsi="Times New Roman"/>
          <w:color w:val="4A5568"/>
          <w:sz w:val="18"/>
          <w:szCs w:val="18"/>
          <w:vertAlign w:val="superscript"/>
        </w:rPr>
        <w:t xml:space="preserve">26 </w:t>
      </w:r>
      <w:r>
        <w:rPr>
          <w:rFonts w:ascii="Times New Roman" w:cs="Times New Roman" w:eastAsia="Times New Roman" w:hAnsi="Times New Roman"/>
          <w:i/>
          <w:iCs/>
          <w:color w:val="4A5568"/>
          <w:sz w:val="18"/>
          <w:szCs w:val="18"/>
        </w:rPr>
        <w:t xml:space="preserve">The structured data access problem for sanctions scholarship parallels analogous problems in nuclear security, financial stability supervision, and counterterrorism, each of which developed hybrid research architectures — cleared-researcher frameworks, restricted-use data enclaves, defined declassification schedules — that allow academic research to reach beyond the open-source ceiling. Sanctions scholarship has not yet developed an equivalent infrastructure, despite the volume and policy relevance of enforcement records held by OFAC, BIS, FinCEN, and allied counterparts.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Times New Roman" w:cs="Times New Roman" w:eastAsia="Times New Roman" w:hAnsi="Times New Roman"/>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00" w:before="0"/>
    </w:pPr>
    <w:r>
      <w:rPr>
        <w:rFonts w:ascii="Arial" w:cs="Arial" w:eastAsia="Arial" w:hAnsi="Arial"/>
        <w:caps/>
        <w:color w:val="4A5568"/>
        <w:sz w:val="16"/>
        <w:szCs w:val="16"/>
      </w:rPr>
      <w:t xml:space="preserve">George — Targeting the Enablement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2026-03-17T13:40:31.267Z</dcterms:created>
  <dcterms:modified xsi:type="dcterms:W3CDTF">2026-03-17T13:40:31.268Z</dcterms:modified>
</cp:coreProperties>
</file>

<file path=docProps/custom.xml><?xml version="1.0" encoding="utf-8"?>
<Properties xmlns="http://schemas.openxmlformats.org/officeDocument/2006/custom-properties" xmlns:vt="http://schemas.openxmlformats.org/officeDocument/2006/docPropsVTypes"/>
</file>