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WP-2026-SENI-EXEC-01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EXECUTIVE SYNTHESIS</w:t>
      </w:r>
    </w:p>
    <w:p>
      <w:pPr>
        <w:spacing w:before="0" w:after="160" w:line="276"/>
        <w:jc w:val="left"/>
      </w:pPr>
      <w:r>
        <w:rPr>
          <w:rFonts w:ascii="Arial" w:cs="Arial" w:eastAsia="Arial" w:hAnsi="Arial"/>
          <w:b/>
          <w:bCs/>
          <w:i w:val="false"/>
          <w:iCs w:val="false"/>
          <w:caps w:val="false"/>
          <w:color w:val="4A5568"/>
          <w:sz w:val="24"/>
          <w:szCs w:val="24"/>
        </w:rPr>
        <w:t xml:space="preserve">WP-2026-SENI — Strategic Enforcement Node Index: Findings, Priorities, and Policy Options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This document represents independent analytical assessment and does not constitute official policy direction or legal advice. WP-2026 series: UNCLASSIFIED // OPEN SOURCE. CC BY 4.0.</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 What This System Is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Strategic Enforcement Node Index (SENI) maps the Russian nuclear fuel cycle as a sanctions enforcement targeting framework. It identifies 47 nodes across six tiers — mining, conversion, enrichment, fabrication, transport, reprocessing, and research — scores each for enforcement viability, traces financial pathways to the correspondent banking layer, and models the second-order consequences of enforcement action. It is independent policy research using exclusively open-source materials, produced for academic and policy engagement. It is not a government product, not a legal memorandum, and not a designation recommendation.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 Bottom Line Findings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sz="8"/>
              <w:left w:val="single" w:sz="8"/>
              <w:bottom w:val="single" w:sz="8"/>
              <w:right w:val="single" w:sz="8"/>
            </w:tcBorders>
            <w:shd w:val="clear"/>
            <w:tcMar>
              <w:top w:type="dxa" w:w="100"/>
              <w:left w:type="dxa" w:w="140"/>
              <w:bottom w:type="dxa" w:w="100"/>
              <w:right w:type="dxa" w:w="100"/>
            </w:tcMar>
          </w:tcPr>
          <w:p>
            <w:pPr>
              <w:spacing w:before="0" w:after="120" w:line="276"/>
              <w:jc w:val="center"/>
            </w:pPr>
            <w:r>
              <w:rPr>
                <w:rFonts w:ascii="Arial" w:cs="Arial" w:eastAsia="Arial" w:hAnsi="Arial"/>
                <w:b/>
                <w:bCs/>
                <w:i w:val="false"/>
                <w:iCs w:val="false"/>
                <w:caps/>
                <w:color w:val="FFFFFF"/>
                <w:sz w:val="20"/>
                <w:szCs w:val="20"/>
              </w:rPr>
              <w:t xml:space="preserve">FINDING 1</w:t>
            </w:r>
          </w:p>
        </w:tc>
        <w:tc>
          <w:tcPr>
            <w:tcW w:type="dxa" w:w="7360"/>
            <w:tcBorders>
              <w:top w:val="single" w:sz="4"/>
              <w:left w:val="single" w:sz="4"/>
              <w:bottom w:val="single" w:sz="4"/>
              <w:right w:val="single" w:sz="4"/>
            </w:tcBorders>
            <w:tcMar>
              <w:top w:type="dxa" w:w="100"/>
              <w:left w:type="dxa" w:w="160"/>
              <w:bottom w:type="dxa" w:w="100"/>
              <w:right w:type="dxa" w:w="10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Three nodes present immediate enforcement action options with no reactor safety consequence and no precondition requirements: N43 (NIIAR Dimitrovgrad — Cf-252, ECCN 1C236), N33 (NCCP Novosibirsk — Li-6, ECCN 1C233), and N34 (ChMP Glazov — zirconium alloy, post-GL 115A expiry June 30, 2025). These nodes score 3.55–4.75 on the five-dimension scoring model, are stable across all weight perturbations tested, and carry no reactor supply collateral.</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EF3E2" w:sz="8"/>
              <w:left w:val="single" w:color="FEF3E2" w:sz="8"/>
              <w:bottom w:val="single" w:color="FEF3E2" w:sz="8"/>
              <w:right w:val="single" w:color="FEF3E2" w:sz="8"/>
            </w:tcBorders>
            <w:shd w:fill="FEF3E2" w:val="clear"/>
            <w:tcMar>
              <w:top w:type="dxa" w:w="100"/>
              <w:left w:type="dxa" w:w="140"/>
              <w:bottom w:type="dxa" w:w="100"/>
              <w:right w:type="dxa" w:w="100"/>
            </w:tcMar>
          </w:tcPr>
          <w:p>
            <w:pPr>
              <w:spacing w:before="0" w:after="120" w:line="276"/>
              <w:jc w:val="center"/>
            </w:pPr>
            <w:r>
              <w:rPr>
                <w:rFonts w:ascii="Arial" w:cs="Arial" w:eastAsia="Arial" w:hAnsi="Arial"/>
                <w:b/>
                <w:bCs/>
                <w:i w:val="false"/>
                <w:iCs w:val="false"/>
                <w:caps/>
                <w:color w:val="FFFFFF"/>
                <w:sz w:val="20"/>
                <w:szCs w:val="20"/>
              </w:rPr>
              <w:t xml:space="preserve">FINDING 2</w:t>
            </w:r>
          </w:p>
        </w:tc>
        <w:tc>
          <w:tcPr>
            <w:tcW w:type="dxa" w:w="7360"/>
            <w:tcBorders>
              <w:top w:val="single" w:color="FEF3E2" w:sz="4"/>
              <w:left w:val="single" w:color="FEF3E2" w:sz="4"/>
              <w:bottom w:val="single" w:color="FEF3E2" w:sz="4"/>
              <w:right w:val="single" w:color="FEF3E2" w:sz="4"/>
            </w:tcBorders>
            <w:tcMar>
              <w:top w:type="dxa" w:w="100"/>
              <w:left w:type="dxa" w:w="160"/>
              <w:bottom w:type="dxa" w:w="100"/>
              <w:right w:type="dxa" w:w="10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UECC Novouralsk — the highest-leverage node in the index — is correctly classified as a conditional action requiring precondition resolution. UECC accounts for approximately 20% of global enrichment capacity. Sudden disruption would create an 11–13 million SWU/year global deficit that Western alternative capacity (Urenco, Orano, Centrus) cannot absorb within a single fuel cycle. Enforcement is premature before 2028–2030 when Western expansion reaches ≥85% displacement coverage.</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8"/>
              <w:left w:val="single" w:color="1B2A4A" w:sz="8"/>
              <w:bottom w:val="single" w:color="1B2A4A" w:sz="8"/>
              <w:right w:val="single" w:color="1B2A4A" w:sz="8"/>
            </w:tcBorders>
            <w:shd w:fill="1B2A4A" w:val="clear"/>
            <w:tcMar>
              <w:top w:type="dxa" w:w="100"/>
              <w:left w:type="dxa" w:w="140"/>
              <w:bottom w:type="dxa" w:w="100"/>
              <w:right w:type="dxa" w:w="100"/>
            </w:tcMar>
          </w:tcPr>
          <w:p>
            <w:pPr>
              <w:spacing w:before="0" w:after="120" w:line="276"/>
              <w:jc w:val="center"/>
            </w:pPr>
            <w:r>
              <w:rPr>
                <w:rFonts w:ascii="Arial" w:cs="Arial" w:eastAsia="Arial" w:hAnsi="Arial"/>
                <w:b/>
                <w:bCs/>
                <w:i w:val="false"/>
                <w:iCs w:val="false"/>
                <w:caps/>
                <w:color w:val="FFFFFF"/>
                <w:sz w:val="20"/>
                <w:szCs w:val="20"/>
              </w:rPr>
              <w:t xml:space="preserve">FINDING 3</w:t>
            </w:r>
          </w:p>
        </w:tc>
        <w:tc>
          <w:tcPr>
            <w:tcW w:type="dxa" w:w="7360"/>
            <w:tcBorders>
              <w:top w:val="single" w:color="1B2A4A" w:sz="4"/>
              <w:left w:val="single" w:color="1B2A4A" w:sz="4"/>
              <w:bottom w:val="single" w:color="1B2A4A" w:sz="4"/>
              <w:right w:val="single" w:color="1B2A4A" w:sz="4"/>
            </w:tcBorders>
            <w:tcMar>
              <w:top w:type="dxa" w:w="100"/>
              <w:left w:type="dxa" w:w="160"/>
              <w:bottom w:type="dxa" w:w="100"/>
              <w:right w:type="dxa" w:w="10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 documented financial enforcement pathway is identified at D2=[4+]: Isotope JSC (Moscow) → Nordion Inc. (Ottawa, Canada) → Lantheus Medical Imaging, Inc. (Billerica, MA; NYSE: LNTH) → Wells Fargo Bank, N.A. (named as Lantheus revolving credit facility lender, SEC S-1 filing EDGAR CIK 0001521036). All five nodes are confirmed in Tier 1 press release and SEC documentation. Wells Fargo is confirmed as Lantheus's named banking institution; the clearing pathway for Mo-99 purchase payments specifically is inferred from that relationship, not transaction-confirmed. D2=[4+] represents the upper boundary of OSINT-accessible financial attribution. This constitutes a complete OFAC designation package predicate under EO 13382 for Isotope JSC. See FPA-01-v3 for full pathway documentation.</w:t>
            </w:r>
          </w:p>
        </w:tc>
      </w:tr>
    </w:tbl>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D5986" w:sz="8"/>
              <w:left w:val="single" w:color="2D5986" w:sz="8"/>
              <w:bottom w:val="single" w:color="2D5986" w:sz="8"/>
              <w:right w:val="single" w:color="2D5986" w:sz="8"/>
            </w:tcBorders>
            <w:shd w:fill="2D5986" w:val="clear"/>
            <w:tcMar>
              <w:top w:type="dxa" w:w="100"/>
              <w:left w:type="dxa" w:w="140"/>
              <w:bottom w:type="dxa" w:w="100"/>
              <w:right w:type="dxa" w:w="100"/>
            </w:tcMar>
          </w:tcPr>
          <w:p>
            <w:pPr>
              <w:spacing w:before="0" w:after="120" w:line="276"/>
              <w:jc w:val="center"/>
            </w:pPr>
            <w:r>
              <w:rPr>
                <w:rFonts w:ascii="Arial" w:cs="Arial" w:eastAsia="Arial" w:hAnsi="Arial"/>
                <w:b/>
                <w:bCs/>
                <w:i w:val="false"/>
                <w:iCs w:val="false"/>
                <w:caps/>
                <w:color w:val="FFFFFF"/>
                <w:sz w:val="20"/>
                <w:szCs w:val="20"/>
              </w:rPr>
              <w:t xml:space="preserve">FINDING 4</w:t>
            </w:r>
          </w:p>
        </w:tc>
        <w:tc>
          <w:tcPr>
            <w:tcW w:type="dxa" w:w="7360"/>
            <w:tcBorders>
              <w:top w:val="single" w:color="2D5986" w:sz="4"/>
              <w:left w:val="single" w:color="2D5986" w:sz="4"/>
              <w:bottom w:val="single" w:color="2D5986" w:sz="4"/>
              <w:right w:val="single" w:color="2D5986" w:sz="4"/>
            </w:tcBorders>
            <w:tcMar>
              <w:top w:type="dxa" w:w="100"/>
              <w:left w:type="dxa" w:w="160"/>
              <w:bottom w:type="dxa" w:w="100"/>
              <w:right w:type="dxa" w:w="10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Post-2022 CNY migration has materially reduced U.S. financial enforcement leverage over the Russia-China nuclear fuel relationship. ICBC and Bank of China are assessed as major clearing institutions for CNNC-TVEL transactions. Secondary sanctions on Chinese G-SIBs would constitute a systemic financial escalation disproportionate to any nuclear enforcement objective. Targeted entity action (Tier 3 of the seven-tier China escalation ladder) is the highest-leverage option that avoids systemic risk.</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These findings prioritize low-collateral, high-accessibility enforcement opportunities rather than maximum system disruption targets. The highest-leverage node (UECC) is correctly deferred; the highest-priority nodes are those where enforcement feasibility and nonproliferation impact converge without reactor safety risk.</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system operates by prioritizing nodes where legal authority, financial traceability, and minimal system disruption converge, while deferring high-leverage targets where disruption risk exceeds current mitigation capacity.</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III. Priority Enforcement Options — Policy Analysis</w:t>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represents independent analytical assessment of available policy instruments. Implementation decisions rest with the relevant authorities.</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400"/>
        <w:gridCol w:w="1200"/>
        <w:gridCol w:w="4160"/>
      </w:tblGrid>
      <w:tr>
        <w:tc>
          <w:tcPr>
            <w:tcW w:type="dxa" w:w="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RANK</w:t>
            </w:r>
          </w:p>
        </w:tc>
        <w:tc>
          <w:tcPr>
            <w:tcW w:type="dxa" w:w="2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TARGET</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AUTHORITY</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PRECONDITION</w:t>
            </w:r>
          </w:p>
        </w:tc>
        <w:tc>
          <w:tcPr>
            <w:tcW w:type="dxa" w:w="4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ANALYTICAL BASIS</w:t>
            </w:r>
          </w:p>
        </w:tc>
      </w:tr>
      <w:tr>
        <w:tc>
          <w:tcPr>
            <w:tcW w:type="dxa" w:w="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1</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Isotope JSC SDN Designation</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None — immediate</w:t>
            </w:r>
          </w:p>
        </w:tc>
        <w:tc>
          <w:tcPr>
            <w:tcW w:type="dxa" w:w="4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Cf-252 (1C236) + Li-6 (1C233) WMD-relevant materials; undesignated Rosatom subsidiary; Wells Fargo USD banking nexus confirmed via SEC filing; no reactor safety collateral.</w:t>
            </w:r>
          </w:p>
        </w:tc>
      </w:tr>
      <w:tr>
        <w:tc>
          <w:tcPr>
            <w:tcW w:type="dxa" w:w="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2</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ECCN 1C236 Enhanced End-Use (Cf-252)</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BIS EAR</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None — immediate</w:t>
            </w:r>
          </w:p>
        </w:tc>
        <w:tc>
          <w:tcPr>
            <w:tcW w:type="dxa" w:w="4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Cf-252 is ECCN 1C236 (neutron initiator applications); enhanced end-use monitoring for all Cf-252 imports citing Isotope JSC as source; available without OFAC designation.</w:t>
            </w:r>
          </w:p>
        </w:tc>
      </w:tr>
      <w:tr>
        <w:tc>
          <w:tcPr>
            <w:tcW w:type="dxa" w:w="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3</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ChMP Post-GL 115A Enforcement</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 / TVEL SDN</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GL 115A expiry (June 30, 2025)</w:t>
            </w:r>
          </w:p>
        </w:tc>
        <w:tc>
          <w:tcPr>
            <w:tcW w:type="dxa" w:w="4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SDN constructive coverage of ChMP confirmed; post-expiry, EU banks clearing ChMP zirconium payments face EO 14024/14114 secondary sanctions exposure; Hungary/Paks diplomatic engagement recommended in parallel.</w:t>
            </w:r>
          </w:p>
        </w:tc>
      </w:tr>
      <w:tr>
        <w:tc>
          <w:tcPr>
            <w:tcW w:type="dxa" w:w="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4</w:t>
            </w:r>
          </w:p>
        </w:tc>
        <w:tc>
          <w:tcPr>
            <w:tcW w:type="dxa" w:w="2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Nordion/CNNC entity secondary sanctions</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14024 §11</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CNNC nexus documentation</w:t>
            </w:r>
          </w:p>
        </w:tc>
        <w:tc>
          <w:tcPr>
            <w:tcW w:type="dxa" w:w="4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Targeted CNNC subsidiary secondary sanctions (Tier 3 China ladder) disrupt Russia-China nuclear commercial relationship without G-SIB exposure; requires interagency coordination and FININT confirmation.</w:t>
            </w:r>
          </w:p>
        </w:tc>
      </w:tr>
      <w:tr>
        <w:tc>
          <w:tcPr>
            <w:tcW w:type="dxa" w:w="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5</w:t>
            </w:r>
          </w:p>
        </w:tc>
        <w:tc>
          <w:tcPr>
            <w:tcW w:type="dxa" w:w="2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UECC designation preparation</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 (preparation only)</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Allied capacity ≥85% of UECC volume (estimated 2028–2030)</w:t>
            </w:r>
          </w:p>
        </w:tc>
        <w:tc>
          <w:tcPr>
            <w:tcW w:type="dxa" w:w="4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Package preparation recommended now; execution deferred until precondition met; parallel: accelerate Urenco/Orano/Centrus expansion support.</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IV. Scope and Limitations</w:t>
      </w:r>
    </w:p>
    <w:p>
      <w:pPr>
        <w:spacing w:before="40" w:after="120" w:line="276"/>
        <w:jc w:val="left"/>
      </w:pPr>
      <w:r>
        <w:rPr>
          <w:rFonts w:ascii="Arial" w:cs="Arial" w:eastAsia="Arial" w:hAnsi="Arial"/>
          <w:b w:val="false"/>
          <w:bCs w:val="false"/>
          <w:i w:val="false"/>
          <w:iCs w:val="false"/>
          <w:caps w:val="false"/>
          <w:color w:val="000000"/>
          <w:sz w:val="22"/>
          <w:szCs w:val="22"/>
        </w:rPr>
        <w:t xml:space="preserve">This corpus operates exclusively at the open-source intelligence (OSINT) ceiling. Financial pathway analysis has achieved D2=[5-OSINT] — named banks and transaction flows documented in public sources — but has not achieved D2=[5-FININT], which requires FinCEN, SWIFT, or classified customs data. Consequence modeling uses industry-average assumptions rather than utility-specific contract positions. China section conclusions are based on trade flow data and analysis, not confirmed transaction-level documentation. All claims are sourced at point of use with explicit confidence tiering per WP-2026-SENI-CONF-01.</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The remaining gap between this corpus and operational deployment is primarily a collection problem rather than an analytical design limitation. The analytical scaffold is complete; classified financial intelligence, interagency consequence analysis, Treasury General Counsel review, and allied coordination are the steps required before enforcement action.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 Document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DOCUMENT</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LAYER</w:t>
            </w:r>
          </w:p>
        </w:tc>
        <w:tc>
          <w:tcPr>
            <w:tcW w:type="dxa" w:w="5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CONTENTS</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Node Profiles Vol. 1–3</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w:t>
            </w:r>
          </w:p>
        </w:tc>
        <w:tc>
          <w:tcPr>
            <w:tcW w:type="dxa" w:w="5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47 node profiles covering full Russian nuclear fuel cycle; physical infrastructure, legal status, ownership chains, Western commercial relationships</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Analytical Documents (×5)</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L1</w:t>
            </w:r>
          </w:p>
        </w:tc>
        <w:tc>
          <w:tcPr>
            <w:tcW w:type="dxa" w:w="5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financial network (FIN-01); sanctions evasion patterns (EVA-01); enforcement sequencing (SEQ-01); confidence framework (CONF-01); recipient state characterization (RST-01)</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Series Architecture (ARCH-01)</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ARCH</w:t>
            </w:r>
          </w:p>
        </w:tc>
        <w:tc>
          <w:tcPr>
            <w:tcW w:type="dxa" w:w="5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Product layer definitions; evidentiary standards; inter-layer relationships; known limitations; readiness assessment by audience</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Scoring Model v2 (SCORE-01-v2)</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L2</w:t>
            </w:r>
          </w:p>
        </w:tc>
        <w:tc>
          <w:tcPr>
            <w:tcW w:type="dxa" w:w="5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Five-dimension quantitative prioritization; hard-stop conditions; sensitivity analysis; all 47 nodes ranked; hostile review response</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Financial Pathway Analysis v3 (FPA-01-v3)</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L2</w:t>
            </w:r>
          </w:p>
        </w:tc>
        <w:tc>
          <w:tcPr>
            <w:tcW w:type="dxa" w:w="5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D2=[5-OSINT] pathway; Wells Fargo named; Isotope JSC → Nordion → Lantheus chain; D2=[5-OSINT] vs FININT formalization</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System Resilience Annex (SYS-01)</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L3</w:t>
            </w:r>
          </w:p>
        </w:tc>
        <w:tc>
          <w:tcPr>
            <w:tcW w:type="dxa" w:w="5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30/90/180-day cascade modeling; UECC/ChMP/Isotope JSC scenarios; Western capacity constraints; precondition validation</w:t>
            </w:r>
          </w:p>
        </w:tc>
      </w:tr>
      <w:tr>
        <w:tc>
          <w:tcPr>
            <w:tcW w:type="dxa" w:w="2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China Escalation Ladder (CHN-01)</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L3</w:t>
            </w:r>
          </w:p>
        </w:tc>
        <w:tc>
          <w:tcPr>
            <w:tcW w:type="dxa" w:w="5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Seven-tier ladder from diplomatic engagement to G-SIB; Tier 7 off-the-table; displacement exchange mechanism</w:t>
            </w:r>
          </w:p>
        </w:tc>
      </w:tr>
      <w:tr>
        <w:tc>
          <w:tcPr>
            <w:tcW w:type="dxa" w:w="2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Sanctions Authority Annex (AUTH-01)</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L3</w:t>
            </w:r>
          </w:p>
        </w:tc>
        <w:tc>
          <w:tcPr>
            <w:tcW w:type="dxa" w:w="5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EO 13382/14024/CAATSA evidentiary thresholds; Isotope JSC designation package; EU Blocking Statute divergence; D1 score validation</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VI. Citation and Use</w:t>
      </w:r>
    </w:p>
    <w:p>
      <w:pPr>
        <w:spacing w:before="40" w:after="120" w:line="276"/>
        <w:jc w:val="left"/>
      </w:pPr>
      <w:r>
        <w:rPr>
          <w:rFonts w:ascii="Arial" w:cs="Arial" w:eastAsia="Arial" w:hAnsi="Arial"/>
          <w:b w:val="false"/>
          <w:bCs w:val="false"/>
          <w:i w:val="false"/>
          <w:iCs w:val="false"/>
          <w:caps w:val="false"/>
          <w:color w:val="000000"/>
          <w:sz w:val="22"/>
          <w:szCs w:val="22"/>
        </w:rPr>
        <w:t xml:space="preserve">C. George, 'Strategic Enforcement Node Index: Sanctions Targeting Framework for the Russian Nuclear Fuel Cycle,' WP-2026-SENI (March 2026). Independent policy research. UNCLASSIFIED // OPEN SOURCE. Published under CC BY 4.0. For academic citation, official policy engagement, or questions regarding this corpus, contact through Georgetown Security Studies Program channels.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This document and the WP-2026-SENI corpus are independent policy research produced by C. George. They do not represent the position of Georgetown University, the Georgetown Security Studies Program, or any government agency. Nothing in this corpus constitutes a legal determination, sanctions designation recommendation, or classified intelligence product. Analytical recommendations reflect the author's independent assessment of available instruments; implementation decisions rest with the relevant authorities.</w:t>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WP-2026-SENI-EXEC-01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2026-03-19T11:51:28.661Z</dcterms:created>
  <dcterms:modified xsi:type="dcterms:W3CDTF">2026-03-19T11:51:28.662Z</dcterms:modified>
</cp:coreProperties>
</file>

<file path=docProps/custom.xml><?xml version="1.0" encoding="utf-8"?>
<Properties xmlns="http://schemas.openxmlformats.org/officeDocument/2006/custom-properties" xmlns:vt="http://schemas.openxmlformats.org/officeDocument/2006/docPropsVTypes"/>
</file>