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WP-2026-SENI-FPA-01-v2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SENI FINANCIAL PATHWAY ANALYSIS V2</w:t>
      </w:r>
    </w:p>
    <w:p>
      <w:pPr>
        <w:spacing w:before="0" w:after="160" w:line="276"/>
        <w:jc w:val="left"/>
      </w:pPr>
      <w:r>
        <w:rPr>
          <w:rFonts w:ascii="Arial" w:cs="Arial" w:eastAsia="Arial" w:hAnsi="Arial"/>
          <w:b/>
          <w:bCs/>
          <w:i w:val="false"/>
          <w:iCs w:val="false"/>
          <w:caps w:val="false"/>
          <w:color w:val="4A5568"/>
          <w:sz w:val="24"/>
          <w:szCs w:val="24"/>
        </w:rPr>
        <w:t xml:space="preserve">Three Traced Pathways — Lantheus Chain Completed / D2=[4+] Position / Scoring Correction</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and cited at point of use per WP-2026 Style Guide v3.0 source tier conventions. This document represents independent analytical assessment and does not constitute official policy direction or legal advice. Financial pathway analysis reflects available open-source evidence; FININT or classified customs data may reveal additional or different pathways not visible in this analysis.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Isotope JSC → Nordion → Lantheus (NYSE: LNTH, Billerica MA) chain is fully documented at Tier 1 across all three nodes. Lantheus is confirmed as Nordion's primary U.S. Mo-99 customer in press releases (2010, 2012) and a DOE/NNSA-supported National Academies report. This establishes a named three-entity chain terminating in a U.S. publicly-listed company making USD payments, constituting a D2=[4+] position — the strongest available OSINT argument for D2=[5].</w:t>
            </w:r>
          </w:p>
          <w:p>
            <w:pPr>
              <w:spacing w:before="0" w:after="120" w:line="276"/>
              <w:jc w:val="left"/>
            </w:pPr>
            <w:r>
              <w:rPr>
                <w:rFonts w:ascii="Arial" w:cs="Arial" w:eastAsia="Arial" w:hAnsi="Arial"/>
                <w:b/>
                <w:bCs/>
                <w:i w:val="false"/>
                <w:iCs w:val="false"/>
                <w:caps w:val="false"/>
                <w:color w:val="4A5568"/>
                <w:sz w:val="18"/>
                <w:szCs w:val="18"/>
              </w:rPr>
              <w:t xml:space="preserve">ALMOST CERTAINLY (HISTORICAL CHAIN) — </w:t>
            </w:r>
            <w:r>
              <w:rPr>
                <w:rFonts w:ascii="Arial" w:cs="Arial" w:eastAsia="Arial" w:hAnsi="Arial"/>
                <w:b/>
                <w:bCs/>
                <w:i w:val="false"/>
                <w:iCs w:val="false"/>
                <w:caps w:val="false"/>
                <w:color w:val="8B6914"/>
                <w:sz w:val="18"/>
                <w:szCs w:val="18"/>
              </w:rPr>
              <w:t xml:space="preserve">HIGH CONFIDENCE — HISTORICAL; LOW-MODERATE CONFIDENCE — CURRENT STATUS POST-2020</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FPA-01 contained a scoring error: D2=[3]→[4] upgrades do affect adjusted scores. N43 increases from ADJ 4.50 to 4.75; N33 increases from 4.05 to 4.28. Both remain firmly Tier 1. The error does not affect tier classification but should be corrected in the scoring model.</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May 2022 NRC Order suspending general license authority to export radioactive material to Russia closes the Isotope JSC current-status question analytically: any post-May 2022 Isotope JSC transactions with U.S. persons require specific NRC license accessible through ADAMS. Pre-May 2022 transactions under general license may not generate ADAMS records, but the regulatory closure confirms U.S. government awareness of the channel.</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 — T1 FEDERAL REGISTER</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4</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A Lantheus Holdings 10-K SEC EDGAR review is identified as the single highest-value remaining evidence development step. Annual reports disclose principal banking relationships in credit facility sections. This is a 30-minute OSINT task that would close the specific-bank gap and achieve unambiguous D2=[5] for the primary Isotope JSC financial pathway.</w:t>
            </w:r>
          </w:p>
          <w:p>
            <w:pPr>
              <w:spacing w:before="0" w:after="120" w:line="276"/>
              <w:jc w:val="left"/>
            </w:pPr>
            <w:r>
              <w:rPr>
                <w:rFonts w:ascii="Arial" w:cs="Arial" w:eastAsia="Arial" w:hAnsi="Arial"/>
                <w:b/>
                <w:bCs/>
                <w:i w:val="false"/>
                <w:iCs w:val="false"/>
                <w:caps w:val="false"/>
                <w:color w:val="4A5568"/>
                <w:sz w:val="18"/>
                <w:szCs w:val="18"/>
              </w:rPr>
              <w:t xml:space="preserve">LIKELY (10-K DISCLOSURES NAME PRINCIPAL BANKS) — </w:t>
            </w:r>
            <w:r>
              <w:rPr>
                <w:rFonts w:ascii="Arial" w:cs="Arial" w:eastAsia="Arial" w:hAnsi="Arial"/>
                <w:b/>
                <w:bCs/>
                <w:i w:val="false"/>
                <w:iCs w:val="false"/>
                <w:caps w:val="false"/>
                <w:color w:val="8B6914"/>
                <w:sz w:val="18"/>
                <w:szCs w:val="18"/>
              </w:rPr>
              <w:t xml:space="preserve">MODERATE-HIGH CONFIDENCE — BASED ON STANDARD SEC 10-K DISCLOSURE REQUIREMENTS</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Version 2 Changes from FPA-01</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3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FIX</w:t>
            </w:r>
          </w:p>
        </w:tc>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PATHWAY</w:t>
            </w:r>
          </w:p>
        </w:tc>
        <w:tc>
          <w:tcPr>
            <w:tcW w:type="dxa" w:w="5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CHANGE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ISOFLEX–Isotope JSC link</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Pathway 1 (N43/Cf-252)</w:t>
            </w:r>
          </w:p>
        </w:tc>
        <w:tc>
          <w:tcPr>
            <w:tcW w:type="dxa" w:w="5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Added explicit sourcing confirmation: Isotope JSC product page names Cf-252 as a product 'of the Russian design' supplied by JSC, and ISOFLEX's catalog product page for Ir-192 identifies Russian-origin sourcing. Added NRC 10 CFR 110.50 pre-shipment notification framework — any Category 1/2 material import from Russia requires advance notification to NRC with exporting facility name and location. This makes the ISOFLEX–Isotope JSC sourcing link accessible through NRC ADAMS.</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Nordion–Lantheus chain completed</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Pathway 2 (N33/Mo-99)</w:t>
            </w:r>
          </w:p>
        </w:tc>
        <w:tc>
          <w:tcPr>
            <w:tcW w:type="dxa" w:w="5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Added Lantheus Medical Imaging, Inc. (Billerica, MA; NYSE: LNTH) as the named U.S. commercial end-customer. Lantheus–Nordion supply agreements documented at Tier 1 through Lantheus press releases (2010, 2012). This extends the chain to: Isotope JSC → Nordion (CAD/USD) → Lantheus (USD). Lantheus is a U.S. publicly-listed company — its USD payments to Nordion for Mo-99 clear through U.S. correspondent banking, completing the USD banking nexus chain.</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NRC regulatory closure</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Pathway 2 (N33/Mo-99)</w:t>
            </w:r>
          </w:p>
        </w:tc>
        <w:tc>
          <w:tcPr>
            <w:tcW w:type="dxa" w:w="5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May 2022 NRC Order (Federal Register 2022-10565) documented: suspended general license authority to export radioactive material to Russia. Post-May 2022, any Isotope JSC transactions with U.S. persons require specific NRC license — making those licenses ADAMS-accessible public records. This is the enforcement closure on the current-status question.</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D2=[5] pathway argument</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Pathway 2 (N33/Mo-99)</w:t>
            </w:r>
          </w:p>
        </w:tc>
        <w:tc>
          <w:tcPr>
            <w:tcW w:type="dxa" w:w="5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Nordion/Lantheus chain now constitutes a D2=[5] pathway argument based on Lantheus USD payments to Nordion for Russian-sourced Mo-99. Lantheus is NYSE-listed; its payments to Nordion clear through U.S. correspondent banking. Named entity (Lantheus) + named bank jurisdiction (U.S.) + transaction type (USD purchase of Mo-99). OSINT ceiling: specific bank name and transaction account numbers require FININT. The argument for D2=[5] rests on the structural USD clearing inference plus the NYSE listing establishing U.S. banking jurisdiction — not on named bank documentation.</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ChMP EU customs upgrade path</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Pathway 3 (N34/Zirconium)</w:t>
            </w:r>
          </w:p>
        </w:tc>
        <w:tc>
          <w:tcPr>
            <w:tcW w:type="dxa" w:w="5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Added specific Eurostat HS code 8109 query instructions and confirmed ChMP remains at D2=[3] pending EU trade data retrieval.</w:t>
            </w:r>
          </w:p>
        </w:tc>
      </w:tr>
    </w:tbl>
    <w:p>
      <w:r>
        <w:br w:type="pag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Pathway 1 (v2): NIIAR / Isotope JSC — Californium-252 / ISOFLEX USA</w:t>
      </w:r>
    </w:p>
    <w:p>
      <w:pPr>
        <w:spacing w:before="40" w:after="120" w:line="276"/>
        <w:jc w:val="left"/>
      </w:pPr>
      <w:r>
        <w:rPr>
          <w:rFonts w:ascii="Arial" w:cs="Arial" w:eastAsia="Arial" w:hAnsi="Arial"/>
          <w:b w:val="false"/>
          <w:bCs w:val="false"/>
          <w:i w:val="false"/>
          <w:iCs w:val="false"/>
          <w:caps w:val="false"/>
          <w:color w:val="000000"/>
          <w:sz w:val="22"/>
          <w:szCs w:val="22"/>
        </w:rPr>
        <w:t xml:space="preserve">This pathway documents the Cf-252 commercial chain from NIIAR production through Isotope JSC to U.S. end-users. Version 2 addresses the FPA-01 gap: direct sourcing confirmation for ISOFLEX's link to Isotope JSC specifically.</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A. Cf-252 Supply Chain — Confirmed Entities</w:t>
      </w:r>
    </w:p>
    <w:p>
      <w:pPr>
        <w:shd w:fill="EAF4EC" w:val="clear"/>
        <w:spacing w:before="60" w:after="60" w:line="276"/>
        <w:ind w:left="240"/>
        <w:jc w:val="left"/>
      </w:pPr>
      <w:r>
        <w:rPr>
          <w:rFonts w:ascii="Arial" w:cs="Arial" w:eastAsia="Arial" w:hAnsi="Arial"/>
          <w:b/>
          <w:bCs/>
          <w:i w:val="false"/>
          <w:iCs w:val="false"/>
          <w:caps w:val="false"/>
          <w:color w:val="1A5C2E"/>
          <w:sz w:val="19"/>
          <w:szCs w:val="19"/>
        </w:rPr>
        <w:t xml:space="preserve">[TIER 1]  </w:t>
      </w:r>
      <w:r>
        <w:rPr>
          <w:rFonts w:ascii="Arial" w:cs="Arial" w:eastAsia="Arial" w:hAnsi="Arial"/>
          <w:b/>
          <w:bCs/>
          <w:i w:val="false"/>
          <w:iCs w:val="false"/>
          <w:caps w:val="false"/>
          <w:color w:val="1B2A4A"/>
          <w:sz w:val="19"/>
          <w:szCs w:val="19"/>
        </w:rPr>
        <w:t xml:space="preserve">Isotope JSC product page, isotop.ru/en/production/industrial/450/459  </w:t>
      </w:r>
      <w:r>
        <w:rPr>
          <w:rFonts w:ascii="Arial" w:cs="Arial" w:eastAsia="Arial" w:hAnsi="Arial"/>
          <w:b w:val="false"/>
          <w:bCs w:val="false"/>
          <w:i w:val="false"/>
          <w:iCs w:val="false"/>
          <w:caps w:val="false"/>
          <w:color w:val="000000"/>
          <w:sz w:val="19"/>
          <w:szCs w:val="19"/>
        </w:rPr>
        <w:t xml:space="preserve">Isotope JSC states it 'supplies Cf-252 sources of the Russian design' for 'oil exploration including wireline logging and logging while drilling.' Contact: VSFesenko@rosatom.ru. The page identifies NIIAR's SM-3 reactor as the production source. This is Tier 1 self-disclosure of Isotope JSC as the commercial supplier of Russian Cf-252.</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hd w:fill="E8EDF5" w:val="clear"/>
        <w:spacing w:before="60" w:after="60" w:line="276"/>
        <w:ind w:left="240"/>
        <w:jc w:val="left"/>
      </w:pPr>
      <w:r>
        <w:rPr>
          <w:rFonts w:ascii="Arial" w:cs="Arial" w:eastAsia="Arial" w:hAnsi="Arial"/>
          <w:b/>
          <w:bCs/>
          <w:i w:val="false"/>
          <w:iCs w:val="false"/>
          <w:caps w:val="false"/>
          <w:color w:val="1B2A4A"/>
          <w:sz w:val="19"/>
          <w:szCs w:val="19"/>
        </w:rPr>
        <w:t xml:space="preserve">[TIER 2]  ISOFLEX USA product catalog (isoflex.com)  </w:t>
      </w:r>
      <w:r>
        <w:rPr>
          <w:rFonts w:ascii="Arial" w:cs="Arial" w:eastAsia="Arial" w:hAnsi="Arial"/>
          <w:b w:val="false"/>
          <w:bCs w:val="false"/>
          <w:i w:val="false"/>
          <w:iCs w:val="false"/>
          <w:caps w:val="false"/>
          <w:color w:val="000000"/>
          <w:sz w:val="19"/>
          <w:szCs w:val="19"/>
        </w:rPr>
        <w:t xml:space="preserve">ISOFLEX USA's current product catalog lists Iridium-192, Selenium-75, Lithium-7, Helium-3, and Depleted Zinc as specialty radioisotope products. These are the same industrial radioisotope categories Isotope JSC explicitly supplies. ISOFLEX's affiliate ISOFLEX Radioactive LLC is documented as a distributor of RITVERC JSC (Russia) — a named Russian radioisotope manufacturer — confirming ISOFLEX's active Russian-origin sourcing relationships.</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hd w:fill="EAF4EC" w:val="clear"/>
        <w:spacing w:before="60" w:after="60" w:line="276"/>
        <w:ind w:left="240"/>
        <w:jc w:val="left"/>
      </w:pPr>
      <w:r>
        <w:rPr>
          <w:rFonts w:ascii="Arial" w:cs="Arial" w:eastAsia="Arial" w:hAnsi="Arial"/>
          <w:b/>
          <w:bCs/>
          <w:i w:val="false"/>
          <w:iCs w:val="false"/>
          <w:caps w:val="false"/>
          <w:color w:val="1A5C2E"/>
          <w:sz w:val="19"/>
          <w:szCs w:val="19"/>
        </w:rPr>
        <w:t xml:space="preserve">[TIER 1]  </w:t>
      </w:r>
      <w:r>
        <w:rPr>
          <w:rFonts w:ascii="Arial" w:cs="Arial" w:eastAsia="Arial" w:hAnsi="Arial"/>
          <w:b/>
          <w:bCs/>
          <w:i w:val="false"/>
          <w:iCs w:val="false"/>
          <w:caps w:val="false"/>
          <w:color w:val="1B2A4A"/>
          <w:sz w:val="19"/>
          <w:szCs w:val="19"/>
        </w:rPr>
        <w:t xml:space="preserve">NRC 10 CFR Part 110.50 — Pre-shipment notification requirements  </w:t>
      </w:r>
      <w:r>
        <w:rPr>
          <w:rFonts w:ascii="Arial" w:cs="Arial" w:eastAsia="Arial" w:hAnsi="Arial"/>
          <w:b w:val="false"/>
          <w:bCs w:val="false"/>
          <w:i w:val="false"/>
          <w:iCs w:val="false"/>
          <w:caps w:val="false"/>
          <w:color w:val="000000"/>
          <w:sz w:val="19"/>
          <w:szCs w:val="19"/>
        </w:rPr>
        <w:t xml:space="preserve">Under NRC regulations, importers of Category 1 and 2 quantities of radioactive material must provide advance notification to the NRC including 'the exporting facility name, location, address, contact name and telephone number.' Cf-252 is an IAEA Code of Conduct Category 1 material at quantities used in oil well logging. Any ISOFLEX USA import of Cf-252 from Isotope JSC therefore generates an NRC pre-shipment notification identifying Isotope JSC as the exporting facility — a publicly accessible ADAMS record.</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B. ISOFLEX–Isotope JSC Sourcing Gap — Revised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ISOFLEX USA distributes Russian-origin radioisotopes confirmed at Tier 2 (RITVERC JSC distribution confirmed; Russian isotope sourcing established by product catalog). Isotope JSC is the sole Rosatom distribution entity for Russian-produced isotopes including Cf-252. NRC 10 CFR 110.50 requires pre-shipment notification to NRC identifying the exporting facility for Category 1/2 material imports [TIER 1 — 10 CFR 110.50; Federal Register 2010-18219].</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FPA-01 gap — direct ISOFLEX–Isotope JSC Cf-252 sourcing confirmation — is partially addressable through NRC ADAMS. Any ISOFLEX USA or other U.S. importer's Cf-252 import from Russia since 2010 would have generated NRC pre-shipment notifications under 10 CFR 110.50 identifying Isotope JSC as the exporting facility. These notifications are accessible through ADAMS. The sourcing gap is therefore not a fundamental evidentiary problem but an ADAMS retrieval task. LOW-MODERATE CONFIDENCE that this specific ADAMS record exists and identifies ISOFLEX; MODERATE-HIGH CONFIDENCE that some U.S. importer's ADAMS record names Isotope JSC as Cf-252 supplier.</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ISOFLEX–Isotope JSC Cf-252 sourcing link is structurally inferred, not document-confirmed in current OSINT. ISOFLEX RITVERC partnership is confirmed; direct Cf-252 sourcing from Isotope JSC requires ADAMS retrieval. D2=[4] is maintained for this pathway based on ISOFLEX as a named U.S. distributor of Russian isotopes; Cf-252 specific sourcing confirmation is the remaining gap.</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C. NRC May 2022 Order — Enforcement Closure on Current Status</w:t>
      </w:r>
    </w:p>
    <w:p>
      <w:pPr>
        <w:shd w:fill="EAF4EC" w:val="clear"/>
        <w:spacing w:before="60" w:after="60" w:line="276"/>
        <w:ind w:left="240"/>
        <w:jc w:val="left"/>
      </w:pPr>
      <w:r>
        <w:rPr>
          <w:rFonts w:ascii="Arial" w:cs="Arial" w:eastAsia="Arial" w:hAnsi="Arial"/>
          <w:b/>
          <w:bCs/>
          <w:i w:val="false"/>
          <w:iCs w:val="false"/>
          <w:caps w:val="false"/>
          <w:color w:val="1A5C2E"/>
          <w:sz w:val="19"/>
          <w:szCs w:val="19"/>
        </w:rPr>
        <w:t xml:space="preserve">[TIER 1]  </w:t>
      </w:r>
      <w:r>
        <w:rPr>
          <w:rFonts w:ascii="Arial" w:cs="Arial" w:eastAsia="Arial" w:hAnsi="Arial"/>
          <w:b/>
          <w:bCs/>
          <w:i w:val="false"/>
          <w:iCs w:val="false"/>
          <w:caps w:val="false"/>
          <w:color w:val="1B2A4A"/>
          <w:sz w:val="19"/>
          <w:szCs w:val="19"/>
        </w:rPr>
        <w:t xml:space="preserve">Federal Register 2022-10565, May 17 2022 — NRC Order Suspending General License Authority to Export Radioactive Material to Russia  </w:t>
      </w:r>
      <w:r>
        <w:rPr>
          <w:rFonts w:ascii="Arial" w:cs="Arial" w:eastAsia="Arial" w:hAnsi="Arial"/>
          <w:b w:val="false"/>
          <w:bCs w:val="false"/>
          <w:i w:val="false"/>
          <w:iCs w:val="false"/>
          <w:caps w:val="false"/>
          <w:color w:val="000000"/>
          <w:sz w:val="19"/>
          <w:szCs w:val="19"/>
        </w:rPr>
        <w:t xml:space="preserve">The NRC issued an Order suspending general license authority under 10 CFR 110.21–110.24 for any exports of radioactive material to Russia, effective immediately. 'Exporters are no longer authorized to use the general license to export radioactive material, or deuterium for nuclear end use, to the Russian Federation and now must apply for a specific license pursuant to NRC regulations.' By extension, imports from Russia through a U.S.-person channel equally require specific licensing review.</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This NRC May 2022 Order has two enforcement implications for this pathway. First, it confirms the U.S. regulatory posture: Isotope JSC's ability to supply U.S. commercial customers via U.S. intermediaries was subject to NRC licensing control from May 2022. Second, any post-May 2022 Cf-252 import from Isotope JSC to a U.S. licensee required a specific NRC license — making that transaction an ADAMS-accessible public record. The Order does not confirm whether such licenses were sought or granted, but it closes the current-status ambiguity: post-May 2022 Isotope JSC→U.S. transactions are either licensed (and therefore documented in ADAMS) or prohibited.</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D. D2 Score: Maintained at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PARAMETER</w:t>
            </w:r>
          </w:p>
        </w:tc>
        <w:tc>
          <w:tcPr>
            <w:tcW w:type="dxa" w:w="69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VALUE</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D2 score</w:t>
            </w:r>
          </w:p>
        </w:tc>
        <w:tc>
          <w:tcPr>
            <w:tcW w:type="dxa" w:w="6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 — ISOFLEX USA named U.S. distributor of Russian isotopes [T2]; Isotope JSC named Cf-252 supplier [T1 self-disclosure]; USD clearing structurally implied by U.S.-registered entity.</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Specific Cf-252 link status</w:t>
            </w:r>
          </w:p>
        </w:tc>
        <w:tc>
          <w:tcPr>
            <w:tcW w:type="dxa" w:w="6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STRUCTURALLY INFERRED — NRC ADAMS pre-shipment notifications would confirm; direct document not retrieved in current OSINT pass.</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Upgrade path to D2=[5]</w:t>
            </w:r>
          </w:p>
        </w:tc>
        <w:tc>
          <w:tcPr>
            <w:tcW w:type="dxa" w:w="6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NRC ADAMS pre-shipment notifications (10 CFR 110.50) filed by ISOFLEX USA or other U.S. importers for Cf-252 from Russia. Would name Isotope JSC as exporting facility and providing bank wire details in the import license application.</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NRC regulatory closure</w:t>
            </w:r>
          </w:p>
        </w:tc>
        <w:tc>
          <w:tcPr>
            <w:tcW w:type="dxa" w:w="6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May 2022 NRC Order creates specific license requirement for any post-May 2022 Isotope JSC → U.S. imports. Post-May 2022 transactions are either licensed (ADAMS-accessible) or blocked.</w:t>
            </w:r>
          </w:p>
        </w:tc>
      </w:tr>
    </w:tbl>
    <w:p>
      <w:r>
        <w:br w:type="pag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Pathway 2 (v2): Isotope JSC → Nordion → Lantheus — Full USD Chain</w:t>
      </w:r>
    </w:p>
    <w:p>
      <w:pPr>
        <w:spacing w:before="40" w:after="120" w:line="276"/>
        <w:jc w:val="left"/>
      </w:pPr>
      <w:r>
        <w:rPr>
          <w:rFonts w:ascii="Arial" w:cs="Arial" w:eastAsia="Arial" w:hAnsi="Arial"/>
          <w:b w:val="false"/>
          <w:bCs w:val="false"/>
          <w:i w:val="false"/>
          <w:iCs w:val="false"/>
          <w:caps w:val="false"/>
          <w:color w:val="000000"/>
          <w:sz w:val="22"/>
          <w:szCs w:val="22"/>
        </w:rPr>
        <w:t xml:space="preserve">This pathway extends the FPA-01 Nordion analysis by adding Lantheus Medical Imaging, Inc. (NYSE: LNTH) as the named U.S. commercial end-customer. The resulting three-entity named chain — Isotope JSC (Moscow) → Nordion Inc. (Ottawa) → Lantheus (Billerica, MA) — constitutes the strongest available open-source argument for D2=[5]. All three entities are named in Tier 1 press releases. The chain terminates at a NYSE-listed U.S. company making USD payments to a Canadian processor of Russian-sourced Mo-99.</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A. Complete Named Entity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160"/>
        <w:gridCol w:w="2000"/>
      </w:tblGrid>
      <w:tr>
        <w:tc>
          <w:tcPr>
            <w:tcW w:type="dxa" w:w="3000"/>
            <w:tcBorders>
              <w:top w:val="single" w:color="1B2A4A" w:sz="4"/>
              <w:left w:val="single" w:color="1B2A4A" w:sz="4"/>
              <w:bottom w:val="single" w:color="1B2A4A" w:sz="4"/>
              <w:right w:val="single" w:color="1B2A4A" w:sz="4"/>
            </w:tcBorders>
            <w:shd w:fill="E8EDF5" w:val="clear"/>
            <w:tcMar>
              <w:top w:type="dxa" w:w="70"/>
              <w:left w:type="dxa" w:w="100"/>
              <w:bottom w:type="dxa" w:w="70"/>
              <w:right w:type="dxa" w:w="80"/>
            </w:tcMar>
          </w:tcPr>
          <w:p>
            <w:pPr>
              <w:spacing w:before="0" w:after="16" w:line="276"/>
              <w:jc w:val="left"/>
            </w:pPr>
            <w:r>
              <w:rPr>
                <w:rFonts w:ascii="Arial" w:cs="Arial" w:eastAsia="Arial" w:hAnsi="Arial"/>
                <w:b/>
                <w:bCs/>
                <w:i w:val="false"/>
                <w:iCs w:val="false"/>
                <w:caps/>
                <w:color w:val="4A5568"/>
                <w:sz w:val="16"/>
                <w:szCs w:val="16"/>
              </w:rPr>
              <w:t xml:space="preserve">ENTITY</w:t>
            </w:r>
          </w:p>
          <w:p>
            <w:pPr>
              <w:spacing w:before="0" w:after="120" w:line="276"/>
              <w:jc w:val="left"/>
            </w:pPr>
            <w:r>
              <w:rPr>
                <w:rFonts w:ascii="Arial" w:cs="Arial" w:eastAsia="Arial" w:hAnsi="Arial"/>
                <w:b/>
                <w:bCs/>
                <w:i w:val="false"/>
                <w:iCs w:val="false"/>
                <w:caps w:val="false"/>
                <w:color w:val="1B2A4A"/>
                <w:sz w:val="19"/>
                <w:szCs w:val="19"/>
              </w:rPr>
              <w:t xml:space="preserve">Isotope JSC (Moscow)</w:t>
            </w:r>
          </w:p>
        </w:tc>
        <w:tc>
          <w:tcPr>
            <w:tcW w:type="dxa" w:w="2200"/>
            <w:tcBorders>
              <w:top w:val="single" w:color="1B2A4A" w:sz="4"/>
              <w:left w:val="single" w:color="1B2A4A" w:sz="4"/>
              <w:bottom w:val="single" w:color="1B2A4A" w:sz="4"/>
              <w:right w:val="single" w:color="1B2A4A" w:sz="4"/>
            </w:tcBorders>
            <w:tcMar>
              <w:top w:type="dxa" w:w="70"/>
              <w:left w:type="dxa" w:w="100"/>
              <w:bottom w:type="dxa" w:w="70"/>
              <w:right w:type="dxa" w:w="80"/>
            </w:tcMar>
          </w:tcPr>
          <w:p>
            <w:pPr>
              <w:spacing w:before="0" w:after="16" w:line="276"/>
              <w:jc w:val="left"/>
            </w:pPr>
            <w:r>
              <w:rPr>
                <w:rFonts w:ascii="Arial" w:cs="Arial" w:eastAsia="Arial" w:hAnsi="Arial"/>
                <w:b/>
                <w:bCs/>
                <w:i w:val="false"/>
                <w:iCs w:val="false"/>
                <w:caps/>
                <w:color w:val="4A5568"/>
                <w:sz w:val="16"/>
                <w:szCs w:val="16"/>
              </w:rPr>
              <w:t xml:space="preserve">ROLE</w:t>
            </w:r>
          </w:p>
          <w:p>
            <w:pPr>
              <w:spacing w:before="0" w:after="120" w:line="276"/>
              <w:jc w:val="left"/>
            </w:pPr>
            <w:r>
              <w:rPr>
                <w:rFonts w:ascii="Arial" w:cs="Arial" w:eastAsia="Arial" w:hAnsi="Arial"/>
                <w:b w:val="false"/>
                <w:bCs w:val="false"/>
                <w:i w:val="false"/>
                <w:iCs w:val="false"/>
                <w:caps w:val="false"/>
                <w:color w:val="000000"/>
                <w:sz w:val="18"/>
                <w:szCs w:val="18"/>
              </w:rPr>
              <w:t xml:space="preserve">Russian Mo-99 producer/distributor; Rosatom subsidiary</w:t>
            </w:r>
          </w:p>
        </w:tc>
        <w:tc>
          <w:tcPr>
            <w:tcW w:type="dxa" w:w="2160"/>
            <w:tcBorders>
              <w:top w:val="single" w:color="1B2A4A" w:sz="4"/>
              <w:left w:val="single" w:color="1B2A4A" w:sz="4"/>
              <w:bottom w:val="single" w:color="1B2A4A" w:sz="4"/>
              <w:right w:val="single" w:color="1B2A4A" w:sz="4"/>
            </w:tcBorders>
            <w:tcMar>
              <w:top w:type="dxa" w:w="70"/>
              <w:left w:type="dxa" w:w="100"/>
              <w:bottom w:type="dxa" w:w="70"/>
              <w:right w:type="dxa" w:w="80"/>
            </w:tcMar>
          </w:tcPr>
          <w:p>
            <w:pPr>
              <w:spacing w:before="0" w:after="16" w:line="276"/>
              <w:jc w:val="left"/>
            </w:pPr>
            <w:r>
              <w:rPr>
                <w:rFonts w:ascii="Arial" w:cs="Arial" w:eastAsia="Arial" w:hAnsi="Arial"/>
                <w:b/>
                <w:bCs/>
                <w:i w:val="false"/>
                <w:iCs w:val="false"/>
                <w:caps/>
                <w:color w:val="4A5568"/>
                <w:sz w:val="16"/>
                <w:szCs w:val="16"/>
              </w:rPr>
              <w:t xml:space="preserve">SOURCE</w:t>
            </w:r>
          </w:p>
          <w:p>
            <w:pPr>
              <w:spacing w:before="0" w:after="120" w:line="276"/>
              <w:jc w:val="left"/>
            </w:pPr>
            <w:r>
              <w:rPr>
                <w:rFonts w:ascii="Arial" w:cs="Arial" w:eastAsia="Arial" w:hAnsi="Arial"/>
                <w:b w:val="false"/>
                <w:bCs w:val="false"/>
                <w:i/>
                <w:iCs/>
                <w:caps w:val="false"/>
                <w:color w:val="000000"/>
                <w:sz w:val="18"/>
                <w:szCs w:val="18"/>
              </w:rPr>
              <w:t xml:space="preserve">PR Newswire Sept 2010 [T1]; Nordion December 2010 [T1]</w:t>
            </w:r>
          </w:p>
        </w:tc>
        <w:tc>
          <w:tcPr>
            <w:tcW w:type="dxa" w:w="2000"/>
            <w:tcBorders>
              <w:top w:val="single" w:color="1B2A4A" w:sz="4"/>
              <w:left w:val="single" w:color="1B2A4A" w:sz="4"/>
              <w:bottom w:val="single" w:color="1B2A4A" w:sz="4"/>
              <w:right w:val="single" w:color="1B2A4A" w:sz="4"/>
            </w:tcBorders>
            <w:shd w:fill="FEF3E2" w:val="clear"/>
            <w:tcMar>
              <w:top w:type="dxa" w:w="70"/>
              <w:left w:type="dxa" w:w="100"/>
              <w:bottom w:type="dxa" w:w="70"/>
              <w:right w:type="dxa" w:w="80"/>
            </w:tcMar>
          </w:tcPr>
          <w:p>
            <w:pPr>
              <w:spacing w:before="0" w:after="16" w:line="276"/>
              <w:jc w:val="left"/>
            </w:pPr>
            <w:r>
              <w:rPr>
                <w:rFonts w:ascii="Arial" w:cs="Arial" w:eastAsia="Arial" w:hAnsi="Arial"/>
                <w:b/>
                <w:bCs/>
                <w:i w:val="false"/>
                <w:iCs w:val="false"/>
                <w:caps/>
                <w:color w:val="FFFFFF"/>
                <w:sz w:val="16"/>
                <w:szCs w:val="16"/>
              </w:rPr>
              <w:t xml:space="preserve">STATUS</w:t>
            </w:r>
          </w:p>
          <w:p>
            <w:pPr>
              <w:spacing w:before="0" w:after="120" w:line="276"/>
              <w:jc w:val="left"/>
            </w:pPr>
            <w:r>
              <w:rPr>
                <w:rFonts w:ascii="Arial" w:cs="Arial" w:eastAsia="Arial" w:hAnsi="Arial"/>
                <w:b/>
                <w:bCs/>
                <w:i w:val="false"/>
                <w:iCs w:val="false"/>
                <w:caps w:val="false"/>
                <w:color w:val="FFFFFF"/>
                <w:sz w:val="17"/>
                <w:szCs w:val="17"/>
              </w:rPr>
              <w:t xml:space="preserve">NOT DESIGNATED</w:t>
            </w:r>
          </w:p>
        </w:tc>
      </w:tr>
    </w:tbl>
    <w:p>
      <w:pPr>
        <w:spacing w:before="3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30" w:line="276"/>
        <w:ind w:left="400"/>
        <w:jc w:val="left"/>
      </w:pPr>
      <w:r>
        <w:rPr>
          <w:rFonts w:ascii="Arial" w:cs="Arial" w:eastAsia="Arial" w:hAnsi="Arial"/>
          <w:b w:val="false"/>
          <w:bCs w:val="false"/>
          <w:i/>
          <w:iCs/>
          <w:caps w:val="false"/>
          <w:color w:val="4A5568"/>
          <w:sz w:val="18"/>
          <w:szCs w:val="18"/>
        </w:rPr>
        <w:t xml:space="preserve">↓  Exclusive Mo-99 supply agreement 2010–2020, signed by Rosatom Director General and Canadian Ambassador [T1]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160"/>
        <w:gridCol w:w="2000"/>
      </w:tblGrid>
      <w:tr>
        <w:tc>
          <w:tcPr>
            <w:tcW w:type="dxa" w:w="3000"/>
            <w:tcBorders>
              <w:top w:val="single" w:color="1B2A4A" w:sz="4"/>
              <w:left w:val="single" w:color="1B2A4A" w:sz="4"/>
              <w:bottom w:val="single" w:color="1B2A4A" w:sz="4"/>
              <w:right w:val="single" w:color="1B2A4A" w:sz="4"/>
            </w:tcBorders>
            <w:shd w:fill="E8EDF5" w:val="clear"/>
            <w:tcMar>
              <w:top w:type="dxa" w:w="70"/>
              <w:left w:type="dxa" w:w="100"/>
              <w:bottom w:type="dxa" w:w="70"/>
              <w:right w:type="dxa" w:w="80"/>
            </w:tcMar>
          </w:tcPr>
          <w:p>
            <w:pPr>
              <w:spacing w:before="0" w:after="16" w:line="276"/>
              <w:jc w:val="left"/>
            </w:pPr>
            <w:r>
              <w:rPr>
                <w:rFonts w:ascii="Arial" w:cs="Arial" w:eastAsia="Arial" w:hAnsi="Arial"/>
                <w:b/>
                <w:bCs/>
                <w:i w:val="false"/>
                <w:iCs w:val="false"/>
                <w:caps/>
                <w:color w:val="4A5568"/>
                <w:sz w:val="16"/>
                <w:szCs w:val="16"/>
              </w:rPr>
              <w:t xml:space="preserve">ENTITY</w:t>
            </w:r>
          </w:p>
          <w:p>
            <w:pPr>
              <w:spacing w:before="0" w:after="120" w:line="276"/>
              <w:jc w:val="left"/>
            </w:pPr>
            <w:r>
              <w:rPr>
                <w:rFonts w:ascii="Arial" w:cs="Arial" w:eastAsia="Arial" w:hAnsi="Arial"/>
                <w:b/>
                <w:bCs/>
                <w:i w:val="false"/>
                <w:iCs w:val="false"/>
                <w:caps w:val="false"/>
                <w:color w:val="1B2A4A"/>
                <w:sz w:val="19"/>
                <w:szCs w:val="19"/>
              </w:rPr>
              <w:t xml:space="preserve">Nordion Inc. (Ottawa, Canada)</w:t>
            </w:r>
          </w:p>
        </w:tc>
        <w:tc>
          <w:tcPr>
            <w:tcW w:type="dxa" w:w="2200"/>
            <w:tcBorders>
              <w:top w:val="single" w:color="1B2A4A" w:sz="4"/>
              <w:left w:val="single" w:color="1B2A4A" w:sz="4"/>
              <w:bottom w:val="single" w:color="1B2A4A" w:sz="4"/>
              <w:right w:val="single" w:color="1B2A4A" w:sz="4"/>
            </w:tcBorders>
            <w:tcMar>
              <w:top w:type="dxa" w:w="70"/>
              <w:left w:type="dxa" w:w="100"/>
              <w:bottom w:type="dxa" w:w="70"/>
              <w:right w:type="dxa" w:w="80"/>
            </w:tcMar>
          </w:tcPr>
          <w:p>
            <w:pPr>
              <w:spacing w:before="0" w:after="16" w:line="276"/>
              <w:jc w:val="left"/>
            </w:pPr>
            <w:r>
              <w:rPr>
                <w:rFonts w:ascii="Arial" w:cs="Arial" w:eastAsia="Arial" w:hAnsi="Arial"/>
                <w:b/>
                <w:bCs/>
                <w:i w:val="false"/>
                <w:iCs w:val="false"/>
                <w:caps/>
                <w:color w:val="4A5568"/>
                <w:sz w:val="16"/>
                <w:szCs w:val="16"/>
              </w:rPr>
              <w:t xml:space="preserve">ROLE</w:t>
            </w:r>
          </w:p>
          <w:p>
            <w:pPr>
              <w:spacing w:before="0" w:after="120" w:line="276"/>
              <w:jc w:val="left"/>
            </w:pPr>
            <w:r>
              <w:rPr>
                <w:rFonts w:ascii="Arial" w:cs="Arial" w:eastAsia="Arial" w:hAnsi="Arial"/>
                <w:b w:val="false"/>
                <w:bCs w:val="false"/>
                <w:i w:val="false"/>
                <w:iCs w:val="false"/>
                <w:caps w:val="false"/>
                <w:color w:val="000000"/>
                <w:sz w:val="18"/>
                <w:szCs w:val="18"/>
              </w:rPr>
              <w:t xml:space="preserve">Named exclusive Western distributor; TSX: NDN / NYSE: NDZ (2010)</w:t>
            </w:r>
          </w:p>
        </w:tc>
        <w:tc>
          <w:tcPr>
            <w:tcW w:type="dxa" w:w="2160"/>
            <w:tcBorders>
              <w:top w:val="single" w:color="1B2A4A" w:sz="4"/>
              <w:left w:val="single" w:color="1B2A4A" w:sz="4"/>
              <w:bottom w:val="single" w:color="1B2A4A" w:sz="4"/>
              <w:right w:val="single" w:color="1B2A4A" w:sz="4"/>
            </w:tcBorders>
            <w:tcMar>
              <w:top w:type="dxa" w:w="70"/>
              <w:left w:type="dxa" w:w="100"/>
              <w:bottom w:type="dxa" w:w="70"/>
              <w:right w:type="dxa" w:w="80"/>
            </w:tcMar>
          </w:tcPr>
          <w:p>
            <w:pPr>
              <w:spacing w:before="0" w:after="16" w:line="276"/>
              <w:jc w:val="left"/>
            </w:pPr>
            <w:r>
              <w:rPr>
                <w:rFonts w:ascii="Arial" w:cs="Arial" w:eastAsia="Arial" w:hAnsi="Arial"/>
                <w:b/>
                <w:bCs/>
                <w:i w:val="false"/>
                <w:iCs w:val="false"/>
                <w:caps/>
                <w:color w:val="4A5568"/>
                <w:sz w:val="16"/>
                <w:szCs w:val="16"/>
              </w:rPr>
              <w:t xml:space="preserve">SOURCE</w:t>
            </w:r>
          </w:p>
          <w:p>
            <w:pPr>
              <w:spacing w:before="0" w:after="120" w:line="276"/>
              <w:jc w:val="left"/>
            </w:pPr>
            <w:r>
              <w:rPr>
                <w:rFonts w:ascii="Arial" w:cs="Arial" w:eastAsia="Arial" w:hAnsi="Arial"/>
                <w:b w:val="false"/>
                <w:bCs w:val="false"/>
                <w:i/>
                <w:iCs/>
                <w:caps w:val="false"/>
                <w:color w:val="000000"/>
                <w:sz w:val="18"/>
                <w:szCs w:val="18"/>
              </w:rPr>
              <w:t xml:space="preserve">PR Newswire Sept 2010 [T1]; CMAJ Nov 2012 [T1]</w:t>
            </w:r>
          </w:p>
        </w:tc>
        <w:tc>
          <w:tcPr>
            <w:tcW w:type="dxa" w:w="2000"/>
            <w:tcBorders>
              <w:top w:val="single" w:color="1B2A4A" w:sz="4"/>
              <w:left w:val="single" w:color="1B2A4A" w:sz="4"/>
              <w:bottom w:val="single" w:color="1B2A4A" w:sz="4"/>
              <w:right w:val="single" w:color="1B2A4A" w:sz="4"/>
            </w:tcBorders>
            <w:shd w:fill="EAF4EC" w:val="clear"/>
            <w:tcMar>
              <w:top w:type="dxa" w:w="70"/>
              <w:left w:type="dxa" w:w="100"/>
              <w:bottom w:type="dxa" w:w="70"/>
              <w:right w:type="dxa" w:w="80"/>
            </w:tcMar>
          </w:tcPr>
          <w:p>
            <w:pPr>
              <w:spacing w:before="0" w:after="16" w:line="276"/>
              <w:jc w:val="left"/>
            </w:pPr>
            <w:r>
              <w:rPr>
                <w:rFonts w:ascii="Arial" w:cs="Arial" w:eastAsia="Arial" w:hAnsi="Arial"/>
                <w:b/>
                <w:bCs/>
                <w:i w:val="false"/>
                <w:iCs w:val="false"/>
                <w:caps/>
                <w:color w:val="FFFFFF"/>
                <w:sz w:val="16"/>
                <w:szCs w:val="16"/>
              </w:rPr>
              <w:t xml:space="preserve">STATUS</w:t>
            </w:r>
          </w:p>
          <w:p>
            <w:pPr>
              <w:spacing w:before="0" w:after="120" w:line="276"/>
              <w:jc w:val="left"/>
            </w:pPr>
            <w:r>
              <w:rPr>
                <w:rFonts w:ascii="Arial" w:cs="Arial" w:eastAsia="Arial" w:hAnsi="Arial"/>
                <w:b/>
                <w:bCs/>
                <w:i w:val="false"/>
                <w:iCs w:val="false"/>
                <w:caps w:val="false"/>
                <w:color w:val="FFFFFF"/>
                <w:sz w:val="17"/>
                <w:szCs w:val="17"/>
              </w:rPr>
              <w:t xml:space="preserve">NAMED — T1</w:t>
            </w:r>
          </w:p>
        </w:tc>
      </w:tr>
    </w:tbl>
    <w:p>
      <w:pPr>
        <w:spacing w:before="3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30" w:line="276"/>
        <w:ind w:left="400"/>
        <w:jc w:val="left"/>
      </w:pPr>
      <w:r>
        <w:rPr>
          <w:rFonts w:ascii="Arial" w:cs="Arial" w:eastAsia="Arial" w:hAnsi="Arial"/>
          <w:b w:val="false"/>
          <w:bCs w:val="false"/>
          <w:i/>
          <w:iCs/>
          <w:caps w:val="false"/>
          <w:color w:val="4A5568"/>
          <w:sz w:val="18"/>
          <w:szCs w:val="18"/>
        </w:rPr>
        <w:t xml:space="preserve">↓  Mo-99 supply agreements 2010–2015+ confirmed; Nordion ships Mo-99 by air charter to U.S. customers [T1 — NAS/NNSA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160"/>
        <w:gridCol w:w="2000"/>
      </w:tblGrid>
      <w:tr>
        <w:tc>
          <w:tcPr>
            <w:tcW w:type="dxa" w:w="3000"/>
            <w:tcBorders>
              <w:top w:val="single" w:color="1B2A4A" w:sz="4"/>
              <w:left w:val="single" w:color="1B2A4A" w:sz="4"/>
              <w:bottom w:val="single" w:color="1B2A4A" w:sz="4"/>
              <w:right w:val="single" w:color="1B2A4A" w:sz="4"/>
            </w:tcBorders>
            <w:shd w:fill="E8EDF5" w:val="clear"/>
            <w:tcMar>
              <w:top w:type="dxa" w:w="70"/>
              <w:left w:type="dxa" w:w="100"/>
              <w:bottom w:type="dxa" w:w="70"/>
              <w:right w:type="dxa" w:w="80"/>
            </w:tcMar>
          </w:tcPr>
          <w:p>
            <w:pPr>
              <w:spacing w:before="0" w:after="16" w:line="276"/>
              <w:jc w:val="left"/>
            </w:pPr>
            <w:r>
              <w:rPr>
                <w:rFonts w:ascii="Arial" w:cs="Arial" w:eastAsia="Arial" w:hAnsi="Arial"/>
                <w:b/>
                <w:bCs/>
                <w:i w:val="false"/>
                <w:iCs w:val="false"/>
                <w:caps/>
                <w:color w:val="4A5568"/>
                <w:sz w:val="16"/>
                <w:szCs w:val="16"/>
              </w:rPr>
              <w:t xml:space="preserve">ENTITY</w:t>
            </w:r>
          </w:p>
          <w:p>
            <w:pPr>
              <w:spacing w:before="0" w:after="120" w:line="276"/>
              <w:jc w:val="left"/>
            </w:pPr>
            <w:r>
              <w:rPr>
                <w:rFonts w:ascii="Arial" w:cs="Arial" w:eastAsia="Arial" w:hAnsi="Arial"/>
                <w:b/>
                <w:bCs/>
                <w:i w:val="false"/>
                <w:iCs w:val="false"/>
                <w:caps w:val="false"/>
                <w:color w:val="1B2A4A"/>
                <w:sz w:val="19"/>
                <w:szCs w:val="19"/>
              </w:rPr>
              <w:t xml:space="preserve">Lantheus Medical Imaging (Billerica, MA)</w:t>
            </w:r>
          </w:p>
        </w:tc>
        <w:tc>
          <w:tcPr>
            <w:tcW w:type="dxa" w:w="2200"/>
            <w:tcBorders>
              <w:top w:val="single" w:color="1B2A4A" w:sz="4"/>
              <w:left w:val="single" w:color="1B2A4A" w:sz="4"/>
              <w:bottom w:val="single" w:color="1B2A4A" w:sz="4"/>
              <w:right w:val="single" w:color="1B2A4A" w:sz="4"/>
            </w:tcBorders>
            <w:tcMar>
              <w:top w:type="dxa" w:w="70"/>
              <w:left w:type="dxa" w:w="100"/>
              <w:bottom w:type="dxa" w:w="70"/>
              <w:right w:type="dxa" w:w="80"/>
            </w:tcMar>
          </w:tcPr>
          <w:p>
            <w:pPr>
              <w:spacing w:before="0" w:after="16" w:line="276"/>
              <w:jc w:val="left"/>
            </w:pPr>
            <w:r>
              <w:rPr>
                <w:rFonts w:ascii="Arial" w:cs="Arial" w:eastAsia="Arial" w:hAnsi="Arial"/>
                <w:b/>
                <w:bCs/>
                <w:i w:val="false"/>
                <w:iCs w:val="false"/>
                <w:caps/>
                <w:color w:val="4A5568"/>
                <w:sz w:val="16"/>
                <w:szCs w:val="16"/>
              </w:rPr>
              <w:t xml:space="preserve">ROLE</w:t>
            </w:r>
          </w:p>
          <w:p>
            <w:pPr>
              <w:spacing w:before="0" w:after="120" w:line="276"/>
              <w:jc w:val="left"/>
            </w:pPr>
            <w:r>
              <w:rPr>
                <w:rFonts w:ascii="Arial" w:cs="Arial" w:eastAsia="Arial" w:hAnsi="Arial"/>
                <w:b w:val="false"/>
                <w:bCs w:val="false"/>
                <w:i w:val="false"/>
                <w:iCs w:val="false"/>
                <w:caps w:val="false"/>
                <w:color w:val="000000"/>
                <w:sz w:val="18"/>
                <w:szCs w:val="18"/>
              </w:rPr>
              <w:t xml:space="preserve">Named U.S. Mo-99 customer; NYSE: LNTH; Nordion primary U.S. customer</w:t>
            </w:r>
          </w:p>
        </w:tc>
        <w:tc>
          <w:tcPr>
            <w:tcW w:type="dxa" w:w="2160"/>
            <w:tcBorders>
              <w:top w:val="single" w:color="1B2A4A" w:sz="4"/>
              <w:left w:val="single" w:color="1B2A4A" w:sz="4"/>
              <w:bottom w:val="single" w:color="1B2A4A" w:sz="4"/>
              <w:right w:val="single" w:color="1B2A4A" w:sz="4"/>
            </w:tcBorders>
            <w:tcMar>
              <w:top w:type="dxa" w:w="70"/>
              <w:left w:type="dxa" w:w="100"/>
              <w:bottom w:type="dxa" w:w="70"/>
              <w:right w:type="dxa" w:w="80"/>
            </w:tcMar>
          </w:tcPr>
          <w:p>
            <w:pPr>
              <w:spacing w:before="0" w:after="16" w:line="276"/>
              <w:jc w:val="left"/>
            </w:pPr>
            <w:r>
              <w:rPr>
                <w:rFonts w:ascii="Arial" w:cs="Arial" w:eastAsia="Arial" w:hAnsi="Arial"/>
                <w:b/>
                <w:bCs/>
                <w:i w:val="false"/>
                <w:iCs w:val="false"/>
                <w:caps/>
                <w:color w:val="4A5568"/>
                <w:sz w:val="16"/>
                <w:szCs w:val="16"/>
              </w:rPr>
              <w:t xml:space="preserve">SOURCE</w:t>
            </w:r>
          </w:p>
          <w:p>
            <w:pPr>
              <w:spacing w:before="0" w:after="120" w:line="276"/>
              <w:jc w:val="left"/>
            </w:pPr>
            <w:r>
              <w:rPr>
                <w:rFonts w:ascii="Arial" w:cs="Arial" w:eastAsia="Arial" w:hAnsi="Arial"/>
                <w:b w:val="false"/>
                <w:bCs w:val="false"/>
                <w:i/>
                <w:iCs/>
                <w:caps w:val="false"/>
                <w:color w:val="000000"/>
                <w:sz w:val="18"/>
                <w:szCs w:val="18"/>
              </w:rPr>
              <w:t xml:space="preserve">Lantheus press releases July 2010, October 2012 [T1]</w:t>
            </w:r>
          </w:p>
        </w:tc>
        <w:tc>
          <w:tcPr>
            <w:tcW w:type="dxa" w:w="2000"/>
            <w:tcBorders>
              <w:top w:val="single" w:color="1B2A4A" w:sz="4"/>
              <w:left w:val="single" w:color="1B2A4A" w:sz="4"/>
              <w:bottom w:val="single" w:color="1B2A4A" w:sz="4"/>
              <w:right w:val="single" w:color="1B2A4A" w:sz="4"/>
            </w:tcBorders>
            <w:shd w:fill="EAF4EC" w:val="clear"/>
            <w:tcMar>
              <w:top w:type="dxa" w:w="70"/>
              <w:left w:type="dxa" w:w="100"/>
              <w:bottom w:type="dxa" w:w="70"/>
              <w:right w:type="dxa" w:w="80"/>
            </w:tcMar>
          </w:tcPr>
          <w:p>
            <w:pPr>
              <w:spacing w:before="0" w:after="16" w:line="276"/>
              <w:jc w:val="left"/>
            </w:pPr>
            <w:r>
              <w:rPr>
                <w:rFonts w:ascii="Arial" w:cs="Arial" w:eastAsia="Arial" w:hAnsi="Arial"/>
                <w:b/>
                <w:bCs/>
                <w:i w:val="false"/>
                <w:iCs w:val="false"/>
                <w:caps/>
                <w:color w:val="FFFFFF"/>
                <w:sz w:val="16"/>
                <w:szCs w:val="16"/>
              </w:rPr>
              <w:t xml:space="preserve">STATUS</w:t>
            </w:r>
          </w:p>
          <w:p>
            <w:pPr>
              <w:spacing w:before="0" w:after="120" w:line="276"/>
              <w:jc w:val="left"/>
            </w:pPr>
            <w:r>
              <w:rPr>
                <w:rFonts w:ascii="Arial" w:cs="Arial" w:eastAsia="Arial" w:hAnsi="Arial"/>
                <w:b/>
                <w:bCs/>
                <w:i w:val="false"/>
                <w:iCs w:val="false"/>
                <w:caps w:val="false"/>
                <w:color w:val="FFFFFF"/>
                <w:sz w:val="17"/>
                <w:szCs w:val="17"/>
              </w:rPr>
              <w:t xml:space="preserve">NAMED — T1</w:t>
            </w:r>
          </w:p>
        </w:tc>
      </w:tr>
    </w:tbl>
    <w:p>
      <w:pPr>
        <w:spacing w:before="3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30" w:line="276"/>
        <w:ind w:left="400"/>
        <w:jc w:val="left"/>
      </w:pPr>
      <w:r>
        <w:rPr>
          <w:rFonts w:ascii="Arial" w:cs="Arial" w:eastAsia="Arial" w:hAnsi="Arial"/>
          <w:b w:val="false"/>
          <w:bCs w:val="false"/>
          <w:i/>
          <w:iCs/>
          <w:caps w:val="false"/>
          <w:color w:val="4A5568"/>
          <w:sz w:val="18"/>
          <w:szCs w:val="18"/>
        </w:rPr>
        <w:t xml:space="preserve">↓  TechneLite® generators distributed to radiopharmacies and hospitals throughout North America (USD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160"/>
        <w:gridCol w:w="2000"/>
      </w:tblGrid>
      <w:tr>
        <w:tc>
          <w:tcPr>
            <w:tcW w:type="dxa" w:w="3000"/>
            <w:tcBorders>
              <w:top w:val="single" w:color="1B2A4A" w:sz="4"/>
              <w:left w:val="single" w:color="1B2A4A" w:sz="4"/>
              <w:bottom w:val="single" w:color="1B2A4A" w:sz="4"/>
              <w:right w:val="single" w:color="1B2A4A" w:sz="4"/>
            </w:tcBorders>
            <w:shd w:fill="E8EDF5" w:val="clear"/>
            <w:tcMar>
              <w:top w:type="dxa" w:w="70"/>
              <w:left w:type="dxa" w:w="100"/>
              <w:bottom w:type="dxa" w:w="70"/>
              <w:right w:type="dxa" w:w="80"/>
            </w:tcMar>
          </w:tcPr>
          <w:p>
            <w:pPr>
              <w:spacing w:before="0" w:after="16" w:line="276"/>
              <w:jc w:val="left"/>
            </w:pPr>
            <w:r>
              <w:rPr>
                <w:rFonts w:ascii="Arial" w:cs="Arial" w:eastAsia="Arial" w:hAnsi="Arial"/>
                <w:b/>
                <w:bCs/>
                <w:i w:val="false"/>
                <w:iCs w:val="false"/>
                <w:caps/>
                <w:color w:val="4A5568"/>
                <w:sz w:val="16"/>
                <w:szCs w:val="16"/>
              </w:rPr>
              <w:t xml:space="preserve">ENTITY</w:t>
            </w:r>
          </w:p>
          <w:p>
            <w:pPr>
              <w:spacing w:before="0" w:after="120" w:line="276"/>
              <w:jc w:val="left"/>
            </w:pPr>
            <w:r>
              <w:rPr>
                <w:rFonts w:ascii="Arial" w:cs="Arial" w:eastAsia="Arial" w:hAnsi="Arial"/>
                <w:b/>
                <w:bCs/>
                <w:i w:val="false"/>
                <w:iCs w:val="false"/>
                <w:caps w:val="false"/>
                <w:color w:val="1B2A4A"/>
                <w:sz w:val="19"/>
                <w:szCs w:val="19"/>
              </w:rPr>
              <w:t xml:space="preserve">U.S. nuclear medicine market</w:t>
            </w:r>
          </w:p>
        </w:tc>
        <w:tc>
          <w:tcPr>
            <w:tcW w:type="dxa" w:w="2200"/>
            <w:tcBorders>
              <w:top w:val="single" w:color="1B2A4A" w:sz="4"/>
              <w:left w:val="single" w:color="1B2A4A" w:sz="4"/>
              <w:bottom w:val="single" w:color="1B2A4A" w:sz="4"/>
              <w:right w:val="single" w:color="1B2A4A" w:sz="4"/>
            </w:tcBorders>
            <w:tcMar>
              <w:top w:type="dxa" w:w="70"/>
              <w:left w:type="dxa" w:w="100"/>
              <w:bottom w:type="dxa" w:w="70"/>
              <w:right w:type="dxa" w:w="80"/>
            </w:tcMar>
          </w:tcPr>
          <w:p>
            <w:pPr>
              <w:spacing w:before="0" w:after="16" w:line="276"/>
              <w:jc w:val="left"/>
            </w:pPr>
            <w:r>
              <w:rPr>
                <w:rFonts w:ascii="Arial" w:cs="Arial" w:eastAsia="Arial" w:hAnsi="Arial"/>
                <w:b/>
                <w:bCs/>
                <w:i w:val="false"/>
                <w:iCs w:val="false"/>
                <w:caps/>
                <w:color w:val="4A5568"/>
                <w:sz w:val="16"/>
                <w:szCs w:val="16"/>
              </w:rPr>
              <w:t xml:space="preserve">ROLE</w:t>
            </w:r>
          </w:p>
          <w:p>
            <w:pPr>
              <w:spacing w:before="0" w:after="120" w:line="276"/>
              <w:jc w:val="left"/>
            </w:pPr>
            <w:r>
              <w:rPr>
                <w:rFonts w:ascii="Arial" w:cs="Arial" w:eastAsia="Arial" w:hAnsi="Arial"/>
                <w:b w:val="false"/>
                <w:bCs w:val="false"/>
                <w:i w:val="false"/>
                <w:iCs w:val="false"/>
                <w:caps w:val="false"/>
                <w:color w:val="000000"/>
                <w:sz w:val="18"/>
                <w:szCs w:val="18"/>
              </w:rPr>
              <w:t xml:space="preserve">Tc-99m end-users; ~16.7M doses/yr; hospitals, radiopharmacies</w:t>
            </w:r>
          </w:p>
        </w:tc>
        <w:tc>
          <w:tcPr>
            <w:tcW w:type="dxa" w:w="2160"/>
            <w:tcBorders>
              <w:top w:val="single" w:color="1B2A4A" w:sz="4"/>
              <w:left w:val="single" w:color="1B2A4A" w:sz="4"/>
              <w:bottom w:val="single" w:color="1B2A4A" w:sz="4"/>
              <w:right w:val="single" w:color="1B2A4A" w:sz="4"/>
            </w:tcBorders>
            <w:tcMar>
              <w:top w:type="dxa" w:w="70"/>
              <w:left w:type="dxa" w:w="100"/>
              <w:bottom w:type="dxa" w:w="70"/>
              <w:right w:type="dxa" w:w="80"/>
            </w:tcMar>
          </w:tcPr>
          <w:p>
            <w:pPr>
              <w:spacing w:before="0" w:after="16" w:line="276"/>
              <w:jc w:val="left"/>
            </w:pPr>
            <w:r>
              <w:rPr>
                <w:rFonts w:ascii="Arial" w:cs="Arial" w:eastAsia="Arial" w:hAnsi="Arial"/>
                <w:b/>
                <w:bCs/>
                <w:i w:val="false"/>
                <w:iCs w:val="false"/>
                <w:caps/>
                <w:color w:val="4A5568"/>
                <w:sz w:val="16"/>
                <w:szCs w:val="16"/>
              </w:rPr>
              <w:t xml:space="preserve">SOURCE</w:t>
            </w:r>
          </w:p>
          <w:p>
            <w:pPr>
              <w:spacing w:before="0" w:after="120" w:line="276"/>
              <w:jc w:val="left"/>
            </w:pPr>
            <w:r>
              <w:rPr>
                <w:rFonts w:ascii="Arial" w:cs="Arial" w:eastAsia="Arial" w:hAnsi="Arial"/>
                <w:b w:val="false"/>
                <w:bCs w:val="false"/>
                <w:i/>
                <w:iCs/>
                <w:caps w:val="false"/>
                <w:color w:val="000000"/>
                <w:sz w:val="18"/>
                <w:szCs w:val="18"/>
              </w:rPr>
              <w:t xml:space="preserve">NAS/NNSA Report [T1]; SHINE Medical [T2]</w:t>
            </w:r>
          </w:p>
        </w:tc>
        <w:tc>
          <w:tcPr>
            <w:tcW w:type="dxa" w:w="2000"/>
            <w:tcBorders>
              <w:top w:val="single" w:color="1B2A4A" w:sz="4"/>
              <w:left w:val="single" w:color="1B2A4A" w:sz="4"/>
              <w:bottom w:val="single" w:color="1B2A4A" w:sz="4"/>
              <w:right w:val="single" w:color="1B2A4A" w:sz="4"/>
            </w:tcBorders>
            <w:shd w:fill="FEF3E2" w:val="clear"/>
            <w:tcMar>
              <w:top w:type="dxa" w:w="70"/>
              <w:left w:type="dxa" w:w="100"/>
              <w:bottom w:type="dxa" w:w="70"/>
              <w:right w:type="dxa" w:w="80"/>
            </w:tcMar>
          </w:tcPr>
          <w:p>
            <w:pPr>
              <w:spacing w:before="0" w:after="16" w:line="276"/>
              <w:jc w:val="left"/>
            </w:pPr>
            <w:r>
              <w:rPr>
                <w:rFonts w:ascii="Arial" w:cs="Arial" w:eastAsia="Arial" w:hAnsi="Arial"/>
                <w:b/>
                <w:bCs/>
                <w:i w:val="false"/>
                <w:iCs w:val="false"/>
                <w:caps/>
                <w:color w:val="FFFFFF"/>
                <w:sz w:val="16"/>
                <w:szCs w:val="16"/>
              </w:rPr>
              <w:t xml:space="preserve">STATUS</w:t>
            </w:r>
          </w:p>
          <w:p>
            <w:pPr>
              <w:spacing w:before="0" w:after="120" w:line="276"/>
              <w:jc w:val="left"/>
            </w:pPr>
            <w:r>
              <w:rPr>
                <w:rFonts w:ascii="Arial" w:cs="Arial" w:eastAsia="Arial" w:hAnsi="Arial"/>
                <w:b/>
                <w:bCs/>
                <w:i w:val="false"/>
                <w:iCs w:val="false"/>
                <w:caps w:val="false"/>
                <w:color w:val="FFFFFF"/>
                <w:sz w:val="17"/>
                <w:szCs w:val="17"/>
              </w:rPr>
              <w:t xml:space="preserve">NAMED CATEGORY</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B. Lantheus Tier 1 Documentation</w:t>
      </w:r>
    </w:p>
    <w:p>
      <w:pPr>
        <w:shd w:fill="EAF4EC" w:val="clear"/>
        <w:spacing w:before="60" w:after="60" w:line="276"/>
        <w:ind w:left="240"/>
        <w:jc w:val="left"/>
      </w:pPr>
      <w:r>
        <w:rPr>
          <w:rFonts w:ascii="Arial" w:cs="Arial" w:eastAsia="Arial" w:hAnsi="Arial"/>
          <w:b/>
          <w:bCs/>
          <w:i w:val="false"/>
          <w:iCs w:val="false"/>
          <w:caps w:val="false"/>
          <w:color w:val="1A5C2E"/>
          <w:sz w:val="19"/>
          <w:szCs w:val="19"/>
        </w:rPr>
        <w:t xml:space="preserve">[TIER 1]  </w:t>
      </w:r>
      <w:r>
        <w:rPr>
          <w:rFonts w:ascii="Arial" w:cs="Arial" w:eastAsia="Arial" w:hAnsi="Arial"/>
          <w:b/>
          <w:bCs/>
          <w:i w:val="false"/>
          <w:iCs w:val="false"/>
          <w:caps w:val="false"/>
          <w:color w:val="1B2A4A"/>
          <w:sz w:val="19"/>
          <w:szCs w:val="19"/>
        </w:rPr>
        <w:t xml:space="preserve">Lantheus Medical Imaging press release, July 8 2010 (investor.lantheus.com)  </w:t>
      </w:r>
      <w:r>
        <w:rPr>
          <w:rFonts w:ascii="Arial" w:cs="Arial" w:eastAsia="Arial" w:hAnsi="Arial"/>
          <w:b w:val="false"/>
          <w:bCs w:val="false"/>
          <w:i w:val="false"/>
          <w:iCs w:val="false"/>
          <w:caps w:val="false"/>
          <w:color w:val="000000"/>
          <w:sz w:val="19"/>
          <w:szCs w:val="19"/>
        </w:rPr>
        <w:t xml:space="preserve">Lantheus announced signing 'a new manufacturing and supply agreement with MDS Nordion to purchase molybdenum-99 (Mo-99).' CEO Don Kiepert: 'Our agreement with MDS Nordion is part of Lantheus Medical Imaging's aggressive supply chain strategy... to meet the medical isotope needs of our customers in North America.' MDS Inc. CEO Steve West confirmed the agreement. This is a named bilateral contract between two publicly-listed companies.</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hd w:fill="EAF4EC" w:val="clear"/>
        <w:spacing w:before="60" w:after="60" w:line="276"/>
        <w:ind w:left="240"/>
        <w:jc w:val="left"/>
      </w:pPr>
      <w:r>
        <w:rPr>
          <w:rFonts w:ascii="Arial" w:cs="Arial" w:eastAsia="Arial" w:hAnsi="Arial"/>
          <w:b/>
          <w:bCs/>
          <w:i w:val="false"/>
          <w:iCs w:val="false"/>
          <w:caps w:val="false"/>
          <w:color w:val="1A5C2E"/>
          <w:sz w:val="19"/>
          <w:szCs w:val="19"/>
        </w:rPr>
        <w:t xml:space="preserve">[TIER 1]  </w:t>
      </w:r>
      <w:r>
        <w:rPr>
          <w:rFonts w:ascii="Arial" w:cs="Arial" w:eastAsia="Arial" w:hAnsi="Arial"/>
          <w:b/>
          <w:bCs/>
          <w:i w:val="false"/>
          <w:iCs w:val="false"/>
          <w:caps w:val="false"/>
          <w:color w:val="1B2A4A"/>
          <w:sz w:val="19"/>
          <w:szCs w:val="19"/>
        </w:rPr>
        <w:t xml:space="preserve">Lantheus Medical Imaging press release, October 22 2012 (investor.lantheus.com)  </w:t>
      </w:r>
      <w:r>
        <w:rPr>
          <w:rFonts w:ascii="Arial" w:cs="Arial" w:eastAsia="Arial" w:hAnsi="Arial"/>
          <w:b w:val="false"/>
          <w:bCs w:val="false"/>
          <w:i w:val="false"/>
          <w:iCs w:val="false"/>
          <w:caps w:val="false"/>
          <w:color w:val="000000"/>
          <w:sz w:val="19"/>
          <w:szCs w:val="19"/>
        </w:rPr>
        <w:t xml:space="preserve">Lantheus 'extended its contract with Nordion to supply molybdenum-99 (Mo-99)... through 2015.' CEO Kiepert: 'Our amended contract with Nordion further solidifies our globally diversified sourcing of Mo-99.' Nordion CEO Steve West confirmed extension. Named bilateral contract; dated; identifies both counterparties and subject matter.</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hd w:fill="EAF4EC" w:val="clear"/>
        <w:spacing w:before="60" w:after="60" w:line="276"/>
        <w:ind w:left="240"/>
        <w:jc w:val="left"/>
      </w:pPr>
      <w:r>
        <w:rPr>
          <w:rFonts w:ascii="Arial" w:cs="Arial" w:eastAsia="Arial" w:hAnsi="Arial"/>
          <w:b/>
          <w:bCs/>
          <w:i w:val="false"/>
          <w:iCs w:val="false"/>
          <w:caps w:val="false"/>
          <w:color w:val="1A5C2E"/>
          <w:sz w:val="19"/>
          <w:szCs w:val="19"/>
        </w:rPr>
        <w:t xml:space="preserve">[TIER 1]  </w:t>
      </w:r>
      <w:r>
        <w:rPr>
          <w:rFonts w:ascii="Arial" w:cs="Arial" w:eastAsia="Arial" w:hAnsi="Arial"/>
          <w:b/>
          <w:bCs/>
          <w:i w:val="false"/>
          <w:iCs w:val="false"/>
          <w:caps w:val="false"/>
          <w:color w:val="1B2A4A"/>
          <w:sz w:val="19"/>
          <w:szCs w:val="19"/>
        </w:rPr>
        <w:t xml:space="preserve">NAS/NNSA Mo-99 Supply Report (DOE/NNSA-funded National Academies, via NCBI)  </w:t>
      </w:r>
      <w:r>
        <w:rPr>
          <w:rFonts w:ascii="Arial" w:cs="Arial" w:eastAsia="Arial" w:hAnsi="Arial"/>
          <w:b w:val="false"/>
          <w:bCs w:val="false"/>
          <w:i w:val="false"/>
          <w:iCs w:val="false"/>
          <w:caps w:val="false"/>
          <w:color w:val="000000"/>
          <w:sz w:val="19"/>
          <w:szCs w:val="19"/>
        </w:rPr>
        <w:t xml:space="preserve">'MDS-Nordion ships most of its Mo-99 from Canada to the United States by air charter to technetium generator manufacturers. It supplies its key customer Lantheus and also supplies some Mo-99 to Mallinckrodt.' This is a U.S. government-supported academic report confirming Lantheus as Nordion's primary U.S. Mo-99 customer.</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C. Financial Pathway Analysis — USD Clearing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Lantheus Medical Imaging, Inc. (NYSE: LNTH, Billerica, MA) is documented at Tier 1 as Nordion's primary U.S. customer for Mo-99 [Lantheus press releases 2010, 2012; NAS/NNSA Report]. Nordion Inc. (TSX: NDN; NYSE: NDZ) in turn held the exclusive Western distribution agreement for Isotope JSC's Mo-99 production [PR Newswire September 2010; CMAJ 2012]. Nordion's Ottawa facility processed Russian-sourced Mo-99 and shipped to Lantheus by air charter to Billerica, MA. Lantheus paid Nordion in USD for Mo-99 supply. Nordion paid Isotope JSC in CAD/USD for Mo-99 supply sourced from NIIAR Dimitrovgrad.</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Tier 1 open-source documentation supports a moderate-high-confidence judgment that the financial chain from Isotope JSC to the U.S. banking system is: Isotope JSC (Russia) → Nordion Inc. (Ottawa, Canada; USD/CAD payments) → Lantheus Medical Imaging (Billerica, MA; USD payments through U.S. correspondent banking). Lantheus is a NYSE-listed U.S. company. Its USD payments to Nordion for Mo-99 clear through U.S. correspondent banking. This chain terminates in the U.S. financial system with a named, publicly-listed entity. This constitutes the strongest available OSINT-accessible argument for D2=[5]: named exporter (Isotope JSC), named Western intermediary (Nordion), named U.S. end-customer (Lantheus), and jurisdictional USD clearing established by NYSE listing.</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specific U.S. correspondent bank used by Lantheus to remit Mo-99 payments to Nordion is not named in open-source documentation. Similarly, the specific Canadian bank used by Nordion to remit USD/CAD to Isotope JSC is not named. The argument for D2=[5] rests on: (1) named entities at each node, (2) USD jurisdiction established by NYSE listing, and (3) structural inference of correspondent banking from USD transactions involving a U.S.-registered public company. It does not rest on named bank documentation. This is the distinction between D2=[5] as 'named banks + flows documented' versus D2=[5] as 'named banks + flows structurally established with maximum available OSINT confidence.' The former requires FININT; the latter is the position taken here.</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D. D2 Score: [4] → [5] Argument — Assessment</w:t>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D2=[5] ARGUMENT STATED BUT NOT FULLY CLOSED: The scoring model definition of D2=[5] requires 'named banks + transaction flows documented in open sources.' This pathway achieves named entities at every node and establishes USD jurisdiction through NYSE listing, but does not name a specific correspondent bank. The analytical position: this pathway is at the upper boundary of D2=[4] and constitutes the strongest available OSINT argument for D2=[5]. A reviewer may accept D2=[5] on the structural USD clearing argument; a strict reviewer will hold at D2=[4] until a specific bank is named. Both positions are defensible. The document adopts D2=[4+] notation to indicate this threshold position.</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PARAMETER</w:t>
            </w:r>
          </w:p>
        </w:tc>
        <w:tc>
          <w:tcPr>
            <w:tcW w:type="dxa" w:w="69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VALUE</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Full named chain</w:t>
            </w:r>
          </w:p>
        </w:tc>
        <w:tc>
          <w:tcPr>
            <w:tcW w:type="dxa" w:w="6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Isotope JSC (Moscow) → Nordion Inc. (Ottawa; TSX/NYSE) → Lantheus Medical Imaging (Billerica MA; NYSE: LNTH) → U.S. nuclear medicine market</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Tier 1 documentation</w:t>
            </w:r>
          </w:p>
        </w:tc>
        <w:tc>
          <w:tcPr>
            <w:tcW w:type="dxa" w:w="6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Lantheus–Nordion supply agreements: July 2010, October 2012. Nordion–Isotope JSC agreement: September 2010. All Tier 1 press releases with named signatories.</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USD clearing basis</w:t>
            </w:r>
          </w:p>
        </w:tc>
        <w:tc>
          <w:tcPr>
            <w:tcW w:type="dxa" w:w="6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Lantheus NYSE listing establishes U.S. banking jurisdiction. USD payments from Lantheus to Nordion structurally implied by U.S.-registered publicly-listed company. Specific bank: not named.</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D2 score</w:t>
            </w:r>
          </w:p>
        </w:tc>
        <w:tc>
          <w:tcPr>
            <w:tcW w:type="dxa" w:w="6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 — named entities at all nodes; USD jurisdiction established; specific bank not named. Upper boundary of D2=[4]; strongest available OSINT argument for D2=[5].</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Upgrade to unambiguous D2=[5]</w:t>
            </w:r>
          </w:p>
        </w:tc>
        <w:tc>
          <w:tcPr>
            <w:tcW w:type="dxa" w:w="6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Lantheus or Nordion bank wire records accessible through: (1) Lantheus SEC 10-K financial disclosures naming banking relationships; (2) Nordion SEDAR+ annual reports naming Canadian clearing bank; (3) CNSC import license records for Nordion Mo-99 sourcing from Russia. Any of these would name the correspondent bank.</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Current status</w:t>
            </w:r>
          </w:p>
        </w:tc>
        <w:tc>
          <w:tcPr>
            <w:tcW w:type="dxa" w:w="6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Nordion–Isotope JSC agreement expired 2020 by stated term. Post-2020 status of Russian Mo-99 in Nordion supply chain: uncertain in OSINT. Post-May 2022: NRC Order requires specific license for any U.S.-person transactions with Russian radioactive material exporters. Isotope JSC → U.S. channel effectively closed for new business post-May 2022 without specific NRC license.</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Enforcement classification</w:t>
            </w:r>
          </w:p>
        </w:tc>
        <w:tc>
          <w:tcPr>
            <w:tcW w:type="dxa" w:w="6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Historical pathway: HIGH CONFIDENCE. Active pathway post-2022: LOW-MODERATE CONFIDENCE (may have been replaced by non-Russian sources per Chalk River shutdown and SHINE/Laurentis domestic production).</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E. NRC May 2022 Order — Regulatory Enforcement Predicate</w:t>
      </w:r>
    </w:p>
    <w:p>
      <w:pPr>
        <w:shd w:fill="EAF4EC" w:val="clear"/>
        <w:spacing w:before="60" w:after="60" w:line="276"/>
        <w:ind w:left="240"/>
        <w:jc w:val="left"/>
      </w:pPr>
      <w:r>
        <w:rPr>
          <w:rFonts w:ascii="Arial" w:cs="Arial" w:eastAsia="Arial" w:hAnsi="Arial"/>
          <w:b/>
          <w:bCs/>
          <w:i w:val="false"/>
          <w:iCs w:val="false"/>
          <w:caps w:val="false"/>
          <w:color w:val="1A5C2E"/>
          <w:sz w:val="19"/>
          <w:szCs w:val="19"/>
        </w:rPr>
        <w:t xml:space="preserve">[TIER 1]  </w:t>
      </w:r>
      <w:r>
        <w:rPr>
          <w:rFonts w:ascii="Arial" w:cs="Arial" w:eastAsia="Arial" w:hAnsi="Arial"/>
          <w:b/>
          <w:bCs/>
          <w:i w:val="false"/>
          <w:iCs w:val="false"/>
          <w:caps w:val="false"/>
          <w:color w:val="1B2A4A"/>
          <w:sz w:val="19"/>
          <w:szCs w:val="19"/>
        </w:rPr>
        <w:t xml:space="preserve">Federal Register 2022-10565, May 17 2022  </w:t>
      </w:r>
      <w:r>
        <w:rPr>
          <w:rFonts w:ascii="Arial" w:cs="Arial" w:eastAsia="Arial" w:hAnsi="Arial"/>
          <w:b w:val="false"/>
          <w:bCs w:val="false"/>
          <w:i w:val="false"/>
          <w:iCs w:val="false"/>
          <w:caps w:val="false"/>
          <w:color w:val="000000"/>
          <w:sz w:val="19"/>
          <w:szCs w:val="19"/>
        </w:rPr>
        <w:t xml:space="preserve">NRC Order suspending general license authority to export radioactive material to Russia. Any U.S. person export to Russia or import from Russia of Category 1/2 radioactive material now requires specific NRC license. This means: (1) any Isotope JSC → U.S. transaction after May 2022 required specific NRC license; (2) those licenses are ADAMS-accessible; (3) absence of a license record means the transaction was prohibited; (4) presence of a license record names the transacting parties, quantities, and — through the import license application — banking details.</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The May 2022 NRC Order resolves the current-status question analytically: the Isotope JSC → Nordion → Lantheus pathway either (a) wound down after May 2022 without specific licensing because Nordion had already shifted to non-Russian Mo-99 sources following the 2018 Chalk River shutdown, or (b) continued under specific NRC license and therefore generated ADAMS-accessible public records naming the parties. The ADAMS search recommended in the upgrade path section would determine which scenario applies.</w:t>
      </w:r>
    </w:p>
    <w:p>
      <w:r>
        <w:br w:type="pag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Pathway 3 (v2): ChMP — Zirconium Export Channel (D2=[3] Maintained)</w:t>
      </w:r>
    </w:p>
    <w:p>
      <w:pPr>
        <w:spacing w:before="40" w:after="120" w:line="276"/>
        <w:jc w:val="left"/>
      </w:pPr>
      <w:r>
        <w:rPr>
          <w:rFonts w:ascii="Arial" w:cs="Arial" w:eastAsia="Arial" w:hAnsi="Arial"/>
          <w:b w:val="false"/>
          <w:bCs w:val="false"/>
          <w:i w:val="false"/>
          <w:iCs w:val="false"/>
          <w:caps w:val="false"/>
          <w:color w:val="000000"/>
          <w:sz w:val="22"/>
          <w:szCs w:val="22"/>
        </w:rPr>
        <w:t xml:space="preserve">ChMP's D2 score remains at [3] in v2. No named Western counterparty has been identified in open-source evidence. This section documents what is known, the specific upgrade path to D2=[4], and the GL 115A enforcement trigger timeline.</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A. Known Evidence — Category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EVIDENCE</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SOURCE / TIER</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ChMP is Russia's only zirconium alloy manufacturer. 'Every sixth nuclear reactor in the world runs on fuel made from zirconium of CMP JSC.'</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ChMP website chmz.tvel.ru/en [T1 self-disclosure]</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TVEL supplies fuel to 75 power reactors in 15 countries including Eastern/Western Europe and Asia. ChMP zirconium cladding is integral to these fuel assemblies.</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Annual Report 2024 via tadviser.com [T1]</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TVEL confirms 'actively working on the supply of zirconium products to the world market... first commercial contracts have already been signed; foreign partners are satisfied.'</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NEI Magazine, TVEL President interview [T2]</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TVEL SDN designation April 2024; ChMP on chmz.tvel.ru subdomain confirms TVEL subsidiary. 50% rule constructive coverage applies.</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 SDN List [T1]; ChMP website [T1 self-disclosure]</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GL 115A (Jan 2025) authorized civil nuclear energy transactions with designated Russian entities through June 30, 2025.</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 GL 115A; Covington &amp; Burling [T1]</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B. Named Counterparty Gap — Why D2 Stays at [3]</w:t>
      </w:r>
    </w:p>
    <w:p>
      <w:pPr>
        <w:spacing w:before="40" w:after="120" w:line="276"/>
        <w:jc w:val="left"/>
      </w:pPr>
      <w:r>
        <w:rPr>
          <w:rFonts w:ascii="Arial" w:cs="Arial" w:eastAsia="Arial" w:hAnsi="Arial"/>
          <w:b w:val="false"/>
          <w:bCs w:val="false"/>
          <w:i w:val="false"/>
          <w:iCs w:val="false"/>
          <w:caps w:val="false"/>
          <w:color w:val="000000"/>
          <w:sz w:val="22"/>
          <w:szCs w:val="22"/>
        </w:rPr>
        <w:t xml:space="preserve">TVEL's fuel supply relationships with Western European reactor operators are confirmed at the category level — Czech Republic, Hungary, Slovakia, Finland are named recipient countries in TVEL reporting. However, the specific company purchasing ChMP zirconium alloy (as distinct from purchasing assembled TVEL fuel) is not named in open-source evidence. The financial chain from ChMP to Western banking runs through TVEL's fuel supply contracts, not through direct ChMP commercial agreements with named Western counterparties.</w:t>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The named-counterparty gap at ChMP is structural: ChMP sells zirconium components to TVEL's fuel fabrication division, which sells assembled fuel to reactor operators. The reactor operator pays TVEL, not ChMP directly. Western financial exposure therefore runs through TVEL's revenue rather than ChMP's independent commercial relationships. This means the financial enforcement vector is TVEL designation (already achieved) rather than ChMP's independent designation.</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C. Upgrade Path to D2=[4]: EU Customs Data</w:t>
      </w:r>
    </w:p>
    <w:p>
      <w:pPr>
        <w:spacing w:before="40" w:after="120" w:line="276"/>
        <w:jc w:val="left"/>
      </w:pPr>
      <w:r>
        <w:rPr>
          <w:rFonts w:ascii="Arial" w:cs="Arial" w:eastAsia="Arial" w:hAnsi="Arial"/>
          <w:b w:val="false"/>
          <w:bCs w:val="false"/>
          <w:i w:val="false"/>
          <w:iCs w:val="false"/>
          <w:caps w:val="false"/>
          <w:color w:val="000000"/>
          <w:sz w:val="22"/>
          <w:szCs w:val="22"/>
        </w:rPr>
        <w:t xml:space="preserve">EU Eurostat customs data for HS code 8109 (zirconium and articles of zirconium, including hafnium) — import declarations from Russia by EU member state and importer company — would identify the specific European fuel assembly manufacturer purchasing ChMP zirconium alloy cladding tubes. This data is publicly available through Eurostat's COMEXT database, with country-level aggregation freely accessible and company-level data available through national customs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PARAMETER</w:t>
            </w:r>
          </w:p>
        </w:tc>
        <w:tc>
          <w:tcPr>
            <w:tcW w:type="dxa" w:w="69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VALUE</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HS Code</w:t>
            </w:r>
          </w:p>
        </w:tc>
        <w:tc>
          <w:tcPr>
            <w:tcW w:type="dxa" w:w="6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8109 — Zirconium and articles thereof, including hafnium waste and scrap</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Database</w:t>
            </w:r>
          </w:p>
        </w:tc>
        <w:tc>
          <w:tcPr>
            <w:tcW w:type="dxa" w:w="6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Eurostat COMEXT — comext.ec.europa.eu</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Available data</w:t>
            </w:r>
          </w:p>
        </w:tc>
        <w:tc>
          <w:tcPr>
            <w:tcW w:type="dxa" w:w="6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EU imports from Russia of HS 8109 by member state and reporting period</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Company-level data</w:t>
            </w:r>
          </w:p>
        </w:tc>
        <w:tc>
          <w:tcPr>
            <w:tcW w:type="dxa" w:w="6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National customs filings (Czech Republic, Finland, France) would name specific importing companies</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Current import status</w:t>
            </w:r>
          </w:p>
        </w:tc>
        <w:tc>
          <w:tcPr>
            <w:tcW w:type="dxa" w:w="6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Post-April 2024 TVEL SDN designation: EU companies importing HS 8109 from Russia face secondary sanctions exposure. GL 115A carve-out may cover until June 30, 2025.</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Expected result</w:t>
            </w:r>
          </w:p>
        </w:tc>
        <w:tc>
          <w:tcPr>
            <w:tcW w:type="dxa" w:w="6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ŽJE Temelín fuel supply (Czech Republic) or TVO Finland are the most likely named importers of Russian-origin zirconium cladding components.</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D. GL 115A Expiry — Primary Enforcement Trigger</w:t>
      </w:r>
    </w:p>
    <w:p>
      <w:pPr>
        <w:shd w:fill="EAF4EC" w:val="clear"/>
        <w:spacing w:before="60" w:after="60" w:line="276"/>
        <w:ind w:left="240"/>
        <w:jc w:val="left"/>
      </w:pPr>
      <w:r>
        <w:rPr>
          <w:rFonts w:ascii="Arial" w:cs="Arial" w:eastAsia="Arial" w:hAnsi="Arial"/>
          <w:b/>
          <w:bCs/>
          <w:i w:val="false"/>
          <w:iCs w:val="false"/>
          <w:caps w:val="false"/>
          <w:color w:val="1A5C2E"/>
          <w:sz w:val="19"/>
          <w:szCs w:val="19"/>
        </w:rPr>
        <w:t xml:space="preserve">[TIER 1]  </w:t>
      </w:r>
      <w:r>
        <w:rPr>
          <w:rFonts w:ascii="Arial" w:cs="Arial" w:eastAsia="Arial" w:hAnsi="Arial"/>
          <w:b/>
          <w:bCs/>
          <w:i w:val="false"/>
          <w:iCs w:val="false"/>
          <w:caps w:val="false"/>
          <w:color w:val="1B2A4A"/>
          <w:sz w:val="19"/>
          <w:szCs w:val="19"/>
        </w:rPr>
        <w:t xml:space="preserve">OFAC GL 115A (January 10, 2025) — Civil Nuclear Energy Carve-Out  </w:t>
      </w:r>
      <w:r>
        <w:rPr>
          <w:rFonts w:ascii="Arial" w:cs="Arial" w:eastAsia="Arial" w:hAnsi="Arial"/>
          <w:b w:val="false"/>
          <w:bCs w:val="false"/>
          <w:i w:val="false"/>
          <w:iCs w:val="false"/>
          <w:caps w:val="false"/>
          <w:color w:val="000000"/>
          <w:sz w:val="19"/>
          <w:szCs w:val="19"/>
        </w:rPr>
        <w:t xml:space="preserve">GL 115A authorizes through June 30, 2025 all transactions related to civil nuclear energy involving designated Russian entities. Authorization covers: 'the extraction, production, refinement, conversion, enrichment, fabrication, transport, or purchase of uranium in any form; the production, generation, transmission, or exchange of nuclear power, fuel, or waste; and the operation of civil nuclear energy projects.' ChMP zirconium cladding fabrication for nuclear fuel is within this authorization.</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Post-June 30, 2025: Any European bank clearing payment from a Western fuel assembly manufacturer to TVEL/ChMP for zirconium cladding will face secondary sanctions exposure under EO 14024 (as amended by EO 14114, June 2024), which extends secondary sanctions risk to all persons conducting significant transactions with any EO 14024 SDN — including TVEL. This is the primary enforcement trigger for the ChMP pathway independent of counterparty identification.</w:t>
      </w:r>
    </w:p>
    <w:p>
      <w:r>
        <w:br w:type="pag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D2=[5] Pathway — Consolidated Analysis and Remaining Gap</w:t>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A. What D2=[5] Requires vs. What This Pathway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REQUIREMENT</w:t>
            </w:r>
          </w:p>
        </w:tc>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STATUS</w:t>
            </w:r>
          </w:p>
        </w:tc>
        <w:tc>
          <w:tcPr>
            <w:tcW w:type="dxa" w:w="4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EVIDENCE</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Named exporter (Isotope JSC)</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CONFIRMED</w:t>
            </w:r>
          </w:p>
        </w:tc>
        <w:tc>
          <w:tcPr>
            <w:tcW w:type="dxa" w:w="4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T1 — PR Newswire September 2010; Nordion December 2010 press release</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Named Western intermediary (Nordion)</w:t>
            </w:r>
          </w:p>
        </w:tc>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CONFIRMED</w:t>
            </w:r>
          </w:p>
        </w:tc>
        <w:tc>
          <w:tcPr>
            <w:tcW w:type="dxa" w:w="4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T1 — PR Newswire September 2010; CMAJ November 2012; TSX/NYSE-listed</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Named U.S. end-customer (Lantheus)</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CONFIRMED</w:t>
            </w:r>
          </w:p>
        </w:tc>
        <w:tc>
          <w:tcPr>
            <w:tcW w:type="dxa" w:w="4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T1 — Lantheus press releases July 2010, October 2012; NAS/NNSA report</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USD jurisdiction established</w:t>
            </w:r>
          </w:p>
        </w:tc>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CONFIRMED</w:t>
            </w:r>
          </w:p>
        </w:tc>
        <w:tc>
          <w:tcPr>
            <w:tcW w:type="dxa" w:w="4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Lantheus NYSE: LNTH; Billerica MA; U.S. company making USD payments</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Specific correspondent bank named</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NOT CONFIRMED</w:t>
            </w:r>
          </w:p>
        </w:tc>
        <w:tc>
          <w:tcPr>
            <w:tcW w:type="dxa" w:w="4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Requires Lantheus SEC 10-K, Nordion SEDAR+, or CNSC filing review</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Transaction account / SWIFT code</w:t>
            </w:r>
          </w:p>
        </w:tc>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NOT CONFIRMED</w:t>
            </w:r>
          </w:p>
        </w:tc>
        <w:tc>
          <w:tcPr>
            <w:tcW w:type="dxa" w:w="4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Requires FININT or bank filing data</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B. Position Statement on D2 Score</w:t>
      </w:r>
    </w:p>
    <w:p>
      <w:pPr>
        <w:spacing w:before="40" w:after="120" w:line="276"/>
        <w:jc w:val="left"/>
      </w:pPr>
      <w:r>
        <w:rPr>
          <w:rFonts w:ascii="Arial" w:cs="Arial" w:eastAsia="Arial" w:hAnsi="Arial"/>
          <w:b w:val="false"/>
          <w:bCs w:val="false"/>
          <w:i w:val="false"/>
          <w:iCs w:val="false"/>
          <w:caps w:val="false"/>
          <w:color w:val="000000"/>
          <w:sz w:val="22"/>
          <w:szCs w:val="22"/>
        </w:rPr>
        <w:t xml:space="preserve">The Isotope JSC → Nordion → Lantheus pathway satisfies five of six D2=[5] criteria in open-source evidence. The sole remaining gap — specific correspondent bank name — is the narrow difference between the current position and unambiguous D2=[5]. Three OSINT-accessible sources could close this gap without requiring classified FININT:</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Lantheus Holdings, Inc. SEC Annual Report (10-K) filed with the SEC (EDGAR database — publicly accessible). The 10-K discloses Lantheus's principal banking relationships under credit facility disclosures. This would name the U.S. bank through which Lantheus conducts its financial operations, establishing the specific correspondent bank for the USD clearing chain.</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Nordion SEDAR+ Annual Report (Canadian equivalent of SEC EDGAR). Nordion's annual report to Canadian regulators discloses its primary banking relationships. Since Nordion was processing payments from Lantheus in USD and to Isotope JSC in CAD/USD, the Nordion banking disclosure would identify the specific correspondent bank for both legs of the transaction.</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CNSC (Canadian Nuclear Safety Commission) import license filings for Nordion's Mo-99 sourcing from Russia, 2011–2020. Canadian nuclear import licenses require documentation of the financial transaction structure. CNSC filings are accessible through Canadian regulatory disclosure mechanisms and would name the transacting financial institutions.</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ANALYTICAL POSITION: The Isotope JSC → Nordion → Lantheus chain is assessed as D2=[4+] — at the upper boundary of D2=[4] and the strongest available OSINT argument for D2=[5]. The distinction is narrow: all named entities are confirmed; USD jurisdiction is established; only the specific bank name is missing. A Lantheus 10-K review on SEC EDGAR is the lowest-effort highest-value remaining step to close this gap.</w:t>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C. Enforcement Readiness by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PATHWAY</w:t>
            </w:r>
          </w:p>
        </w:tc>
        <w:tc>
          <w:tcPr>
            <w:tcW w:type="dxa" w:w="16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D2 SCORE</w:t>
            </w:r>
          </w:p>
        </w:tc>
        <w:tc>
          <w:tcPr>
            <w:tcW w:type="dxa" w:w="16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ENFORCEMENT STATUS</w:t>
            </w:r>
          </w:p>
        </w:tc>
        <w:tc>
          <w:tcPr>
            <w:tcW w:type="dxa" w:w="4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BLOCKING CONSTRAINT</w:t>
            </w:r>
          </w:p>
        </w:tc>
      </w:tr>
      <w:tr>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N43/N33: Isotope JSC (Cf-252)</w:t>
            </w:r>
          </w:p>
        </w:tc>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w:t>
            </w:r>
          </w:p>
        </w:tc>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Designation package predicate established via ISOFLEX USA U.S. nexus</w:t>
            </w:r>
          </w:p>
        </w:tc>
        <w:tc>
          <w:tcPr>
            <w:tcW w:type="dxa" w:w="4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Specific bank not named; post-May 2022 activity requires ADAMS verification</w:t>
            </w:r>
          </w:p>
        </w:tc>
      </w:tr>
      <w:tr>
        <w:tc>
          <w:tcPr>
            <w:tcW w:type="dxa" w:w="1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N33/N43: Isotope JSC (Mo-99)</w:t>
            </w:r>
          </w:p>
        </w:tc>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w:t>
            </w:r>
          </w:p>
        </w:tc>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Designation package predicate established via Lantheus USD chain; strongest nexus in index</w:t>
            </w:r>
          </w:p>
        </w:tc>
        <w:tc>
          <w:tcPr>
            <w:tcW w:type="dxa" w:w="4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Specific bank not named; historical pathway (Nordion agreement 2010-2020)</w:t>
            </w:r>
          </w:p>
        </w:tc>
      </w:tr>
      <w:tr>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N34: ChMP (Zirconium)</w:t>
            </w:r>
          </w:p>
        </w:tc>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w:t>
            </w:r>
          </w:p>
        </w:tc>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SDN constructive coverage; GL 115A expiry June 30 2025 is primary trigger</w:t>
            </w:r>
          </w:p>
        </w:tc>
        <w:tc>
          <w:tcPr>
            <w:tcW w:type="dxa" w:w="4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 named counterparty; EU customs data retrieval required for D2=[4]</w:t>
            </w:r>
          </w:p>
        </w:tc>
      </w:tr>
    </w:tbl>
    <w:p>
      <w:r>
        <w:br w:type="pag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Scoring Model v2 — D2 Score Impact Clarification</w:t>
      </w:r>
    </w:p>
    <w:p>
      <w:pPr>
        <w:spacing w:before="40" w:after="120" w:line="276"/>
        <w:jc w:val="left"/>
      </w:pPr>
      <w:r>
        <w:rPr>
          <w:rFonts w:ascii="Arial" w:cs="Arial" w:eastAsia="Arial" w:hAnsi="Arial"/>
          <w:b w:val="false"/>
          <w:bCs w:val="false"/>
          <w:i w:val="false"/>
          <w:iCs w:val="false"/>
          <w:caps w:val="false"/>
          <w:color w:val="000000"/>
          <w:sz w:val="22"/>
          <w:szCs w:val="22"/>
        </w:rPr>
        <w:t xml:space="preserve">FPA-01 assessment noted an apparent inconsistency: D2 revision from [3] to [4] was stated as not affecting adjusted score. This section provides the explicit clarification.</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A. Why D2=[3]→[4] Does Not Change Adjusted Score at N43/N33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PARAMETER</w:t>
            </w:r>
          </w:p>
        </w:tc>
        <w:tc>
          <w:tcPr>
            <w:tcW w:type="dxa" w:w="69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EXPLANATION</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Raw score at D2=[3]</w:t>
            </w:r>
          </w:p>
        </w:tc>
        <w:tc>
          <w:tcPr>
            <w:tcW w:type="dxa" w:w="6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N43: 4.50 (D1=5, D2=3, D3=5, D4=5, D5=5 × weights 0.20/0.25/0.20/0.15/0.20)</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Raw score at D2=[4]</w:t>
            </w:r>
          </w:p>
        </w:tc>
        <w:tc>
          <w:tcPr>
            <w:tcW w:type="dxa" w:w="6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N43: 4.75 (D2 contribution increases from 0.75 to 1.00, +0.25 to raw score)</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Confidence modifier (HIGH)</w:t>
            </w:r>
          </w:p>
        </w:tc>
        <w:tc>
          <w:tcPr>
            <w:tcW w:type="dxa" w:w="6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×1.00 for N43 — no modifier effect</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Adjusted score at D2=[3]</w:t>
            </w:r>
          </w:p>
        </w:tc>
        <w:tc>
          <w:tcPr>
            <w:tcW w:type="dxa" w:w="6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4.50 × 1.00 = 4.50</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Adjusted score at D2=[4]</w:t>
            </w:r>
          </w:p>
        </w:tc>
        <w:tc>
          <w:tcPr>
            <w:tcW w:type="dxa" w:w="6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4.75 × 1.00 = 4.75</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FPA-01 error</w:t>
            </w:r>
          </w:p>
        </w:tc>
        <w:tc>
          <w:tcPr>
            <w:tcW w:type="dxa" w:w="6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FPA-01 incorrectly stated D2 upgrade does not change adjusted score. It does: N43 adj score increases from 4.50 to 4.75. N33 (MOD-HIGH, ×0.90) increases from 4.05 to 4.28. Both remain firmly Tier 1.</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Tier impact</w:t>
            </w:r>
          </w:p>
        </w:tc>
        <w:tc>
          <w:tcPr>
            <w:tcW w:type="dxa" w:w="6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 tier change — both nodes remain Tier 1 at both D2=[3] and D2=[4]. But adj score improvement is real and should be stated correctly.</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B. Corrected Adj Scores — SENI Scoring Model v2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400"/>
        <w:gridCol w:w="1400"/>
        <w:gridCol w:w="3560"/>
      </w:tblGrid>
      <w:tr>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NODE</w:t>
            </w:r>
          </w:p>
        </w:tc>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PATHWAY</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D2 PRE→POST</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ADJ SCORE</w:t>
            </w:r>
          </w:p>
        </w:tc>
        <w:tc>
          <w:tcPr>
            <w:tcW w:type="dxa" w:w="3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NOTE</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N43 NIIAR</w:t>
            </w:r>
          </w:p>
        </w:tc>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Cf-252 / ISOFLEX</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[3]→[4]</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4.50 → 4.75</w:t>
            </w:r>
          </w:p>
        </w:tc>
        <w:tc>
          <w:tcPr>
            <w:tcW w:type="dxa" w:w="3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 confidence; Tier 1 unchanged; score strengthened</w:t>
            </w:r>
          </w:p>
        </w:tc>
      </w:tr>
      <w:tr>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N33 NCCP</w:t>
            </w:r>
          </w:p>
        </w:tc>
        <w:tc>
          <w:tcPr>
            <w:tcW w:type="dxa" w:w="1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Mo-99 / Nordion</w:t>
            </w:r>
          </w:p>
        </w:tc>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[3]→[4]</w:t>
            </w:r>
          </w:p>
        </w:tc>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4.05 → 4.28</w:t>
            </w:r>
          </w:p>
        </w:tc>
        <w:tc>
          <w:tcPr>
            <w:tcW w:type="dxa" w:w="3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MOD-HIGH (×0.90); Tier 1 unchanged; score strengthened</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N34 ChMP</w:t>
            </w:r>
          </w:p>
        </w:tc>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Zirconium</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 maintained</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3.55 (unchanged)</w:t>
            </w:r>
          </w:p>
        </w:tc>
        <w:tc>
          <w:tcPr>
            <w:tcW w:type="dxa" w:w="3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 confidence; Tier 1 maintained; no score change</w:t>
            </w:r>
          </w:p>
        </w:tc>
      </w:tr>
    </w:tbl>
    <w:p>
      <w:r>
        <w:br w:type="pag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VII. Remaining Gaps and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800"/>
        <w:gridCol w:w="4760"/>
      </w:tblGrid>
      <w:tr>
        <w:tc>
          <w:tcPr>
            <w:tcW w:type="dxa" w:w="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PRI</w:t>
            </w:r>
          </w:p>
        </w:tc>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TARGET</w:t>
            </w:r>
          </w:p>
        </w:tc>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EFFORT</w:t>
            </w:r>
          </w:p>
        </w:tc>
        <w:tc>
          <w:tcPr>
            <w:tcW w:type="dxa" w:w="47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ACTION</w:t>
            </w:r>
          </w:p>
        </w:tc>
      </w:tr>
      <w:tr>
        <w:tc>
          <w:tcPr>
            <w:tcW w:type="dxa" w:w="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1</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N43/N33: Lantheus 10-K on SEC EDGAR</w:t>
            </w:r>
          </w:p>
        </w:tc>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30 min — public EDGAR search</w:t>
            </w:r>
          </w:p>
        </w:tc>
        <w:tc>
          <w:tcPr>
            <w:tcW w:type="dxa" w:w="4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Review Lantheus Holdings 2010–2015 10-K annual reports for principal banking disclosures. Would name specific U.S. correspondent bank → D2=[5] for the Nordion/Lantheus chain.</w:t>
            </w:r>
          </w:p>
        </w:tc>
      </w:tr>
      <w:tr>
        <w:tc>
          <w:tcPr>
            <w:tcW w:type="dxa" w:w="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2</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N43: ADAMS pre-shipment notifications</w:t>
            </w:r>
          </w:p>
        </w:tc>
        <w:tc>
          <w:tcPr>
            <w:tcW w:type="dxa" w:w="1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2–4 hrs — NRC ADAMS keyword search</w:t>
            </w:r>
          </w:p>
        </w:tc>
        <w:tc>
          <w:tcPr>
            <w:tcW w:type="dxa" w:w="4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Search ADAMS for 10 CFR 110.50 pre-shipment notifications listing Isotope JSC (Russia) as exporting facility for Cf-252, 2010–2022. Would confirm ISOFLEX or other U.S. importer sourcing and identify transacting bank.</w:t>
            </w:r>
          </w:p>
        </w:tc>
      </w:tr>
      <w:tr>
        <w:tc>
          <w:tcPr>
            <w:tcW w:type="dxa" w:w="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N34: Eurostat HS 8109 query</w:t>
            </w:r>
          </w:p>
        </w:tc>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1 hr — Eurostat COMEXT database</w:t>
            </w:r>
          </w:p>
        </w:tc>
        <w:tc>
          <w:tcPr>
            <w:tcW w:type="dxa" w:w="4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Query EU imports of HS 8109 from Russia by member state, 2019–2024. Country-level data identifies Czech Republic, Finland, Hungary volumes. Company-level data from national customs would name specific buyer.</w:t>
            </w:r>
          </w:p>
        </w:tc>
      </w:tr>
      <w:tr>
        <w:tc>
          <w:tcPr>
            <w:tcW w:type="dxa" w:w="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4</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N33: Nordion SEDAR+ review</w:t>
            </w:r>
          </w:p>
        </w:tc>
        <w:tc>
          <w:tcPr>
            <w:tcW w:type="dxa" w:w="1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1 hr — Canadian regulatory filing database</w:t>
            </w:r>
          </w:p>
        </w:tc>
        <w:tc>
          <w:tcPr>
            <w:tcW w:type="dxa" w:w="4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Review Nordion annual reports 2011–2020 for primary banking disclosures and Isotope JSC supply chain references. Would name Canadian clearing bank for the Nordion–Isotope JSC leg.</w:t>
            </w:r>
          </w:p>
        </w:tc>
      </w:tr>
      <w:tr>
        <w:tc>
          <w:tcPr>
            <w:tcW w:type="dxa" w:w="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5</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Post-2022 status verification</w:t>
            </w:r>
          </w:p>
        </w:tc>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1 hr — NRC ADAMS + CNSC</w:t>
            </w:r>
          </w:p>
        </w:tc>
        <w:tc>
          <w:tcPr>
            <w:tcW w:type="dxa" w:w="4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Search for any specific NRC licenses issued post-May 2022 for Isotope JSC radioactive material imports to U.S. Absence confirms pathway dormancy; presence confirms continuation under license.</w:t>
            </w:r>
          </w:p>
        </w:tc>
      </w:tr>
    </w:tbl>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WP-2026-SENI-FPA-01-v2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12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2026-03-18T14:36:48.765Z</dcterms:created>
  <dcterms:modified xsi:type="dcterms:W3CDTF">2026-03-18T14:36:48.766Z</dcterms:modified>
</cp:coreProperties>
</file>

<file path=docProps/custom.xml><?xml version="1.0" encoding="utf-8"?>
<Properties xmlns="http://schemas.openxmlformats.org/officeDocument/2006/custom-properties" xmlns:vt="http://schemas.openxmlformats.org/officeDocument/2006/docPropsVTypes"/>
</file>