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before="0" w:after="12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z w:val="18"/>
          <w:szCs w:val="18"/>
        </w:rPr>
        <w:t xml:space="preserve">UNCLASSIFIED // OPEN SOURCE</w:t>
      </w:r>
    </w:p>
    <w:p>
      <w:pPr>
        <w:shd w:fill="1B2A4A" w:val="clear"/>
        <w:spacing w:before="0" w:after="12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AABBCC"/>
          <w:sz w:val="16"/>
          <w:szCs w:val="16"/>
        </w:rPr>
        <w:t xml:space="preserve">WP-2026-SENI-SCORE-01-v2 · C. George · March 2026</w:t>
      </w:r>
    </w:p>
    <w:p>
      <w:pPr>
        <w:spacing w:before="12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4A5568"/>
          <w:sz w:val="18"/>
          <w:szCs w:val="18"/>
        </w:rPr>
        <w:t xml:space="preserve">CENTER FOR COMPETITIVE STATECRAFT AND STRATEGIC POLICY</w:t>
      </w:r>
    </w:p>
    <w:p>
      <w:pPr>
        <w:spacing w:before="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B2A4A"/>
          <w:sz w:val="20"/>
          <w:szCs w:val="20"/>
        </w:rPr>
        <w:t xml:space="preserve">WP-2026 SERIES</w:t>
      </w:r>
    </w:p>
    <w:p>
      <w:pPr>
        <w:pBdr>
          <w:bottom w:val="single" w:color="1B2A4A" w:sz="6" w:space="1"/>
        </w:pBd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SENI NODE SCORING MODEL V2</w:t>
      </w:r>
    </w:p>
    <w:p>
      <w:pPr>
        <w:spacing w:before="0" w:after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24"/>
          <w:szCs w:val="24"/>
        </w:rPr>
        <w:t xml:space="preserve">Five-Dimension Prioritization Framework with Hard-Stop Conditions, Evidence-Tiered D2, and Weight Sensitivity Analysis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none" w:color="FFFFFF" w:sz="0"/>
          <w:left w:val="single" w:color="7A4000" w:sz="18"/>
          <w:bottom w:val="none" w:color="FFFFFF" w:sz="0"/>
          <w:right w:val="none" w:color="FFFFFF" w:sz="0"/>
        </w:pBdr>
        <w:shd w:fill="FEF3E2" w:val="clear"/>
        <w:spacing w:before="80" w:after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B2A4A"/>
          <w:sz w:val="20"/>
          <w:szCs w:val="20"/>
        </w:rPr>
        <w:t xml:space="preserve">NOTICE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20"/>
          <w:szCs w:val="20"/>
        </w:rPr>
        <w:t xml:space="preserve">Independent policy research. All sources open-source. This document represents independent analytical assessment and does not constitute official policy direction or legal advice. Scoring model reflects the author's analytical judgment applied to open-source evidence; it does not represent an official prioritization by any government agency.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bottom w:val="single" w:color="1B2A4A" w:sz="6" w:space="1"/>
        </w:pBdr>
        <w:spacing w:before="200" w:after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B2A4A"/>
          <w:sz w:val="20"/>
          <w:szCs w:val="20"/>
        </w:rPr>
        <w:t xml:space="preserve">KEY JUDGMENTS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KJ 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Tier 1 nodes (Immediate Action): N43 NIIAR (ADJ:4.75), N33 NCCP (ADJ:4.05), N34 ChMP (ADJ:3.55). These 3 nodes satisfy all combined Tier 1 conditions: D1≥4, D2≥3, D3≥3, adj≥3.50, no hard-stop. Rankings are stable across all weight perturbations tested (±10% on D2).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A5568"/>
                <w:sz w:val="18"/>
                <w:szCs w:val="18"/>
              </w:rPr>
              <w:t xml:space="preserve">ALMOST CERTAINLY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914"/>
                <w:sz w:val="18"/>
                <w:szCs w:val="18"/>
              </w:rPr>
              <w:t xml:space="preserve">HIGH CONFIDENCE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KJ 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Hard-stop conditions correctly constrain UECC (N28): D3=1 triggers catastrophic collateral hard-stop, capping at Tier 2 regardless of composite score. This is the model working as designed — highest-leverage node cannot be Tier 1 until supply precondition is met.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A5568"/>
                <w:sz w:val="18"/>
                <w:szCs w:val="18"/>
              </w:rPr>
              <w:t xml:space="preserve">ALMOST CERTAINLY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914"/>
                <w:sz w:val="18"/>
                <w:szCs w:val="18"/>
              </w:rPr>
              <w:t xml:space="preserve">HIGH CONFIDENCE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KJ 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D2 evidence tiering revision: N33 and N43 revised from D2=4 (v1) to D2=3. No named correspondent banks for Isotope JSC are documented in open-source evidence. D2=3 reflects confirmed category-level Western exposure without named counterparties. This revision is a downgrade in evidentiary confidence, not a downgrade in the underlying financial leverage — the leverage exists, the documentation does not yet.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A5568"/>
                <w:sz w:val="18"/>
                <w:szCs w:val="18"/>
              </w:rPr>
              <w:t xml:space="preserve">ALMOST CERTAINLY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914"/>
                <w:sz w:val="18"/>
                <w:szCs w:val="18"/>
              </w:rPr>
              <w:t xml:space="preserve">HIGH CONFIDENCE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KJ 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10 nodes correctly land in Tier 3 including all weapons-complex nodes with closed defense budgets (D2=1 hard-stop), the Manzhouli crossing (D1=0 hard-stop), and the analytically inferred transport nodes (LOW-MOD confidence modifier). The model is structurally sound and defensible to hostile review.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A5568"/>
                <w:sz w:val="18"/>
                <w:szCs w:val="18"/>
              </w:rPr>
              <w:t xml:space="preserve">ALMOST CERTAINLY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914"/>
                <w:sz w:val="18"/>
                <w:szCs w:val="18"/>
              </w:rPr>
              <w:t xml:space="preserve">HIGH CONFIDENCE</w:t>
            </w:r>
          </w:p>
        </w:tc>
      </w:tr>
    </w:tbl>
    <w:p>
      <w:pPr>
        <w:spacing w:before="1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bottom w:val="single" w:color="1B2A4A" w:sz="6" w:space="1"/>
        </w:pBdr>
        <w:spacing w:before="320"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B2A4A"/>
          <w:sz w:val="30"/>
          <w:szCs w:val="30"/>
        </w:rPr>
        <w:t xml:space="preserve">I. Version 2 Changes — Response to Post-Review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8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76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D2 Evidence Tiering + FPA Integration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D2 rubric distinguishes [5]=named banks+flows; [4]=named counterparties; [3]=confirmed category. N33 and N43 upgraded to D2=4 [4+] per FPA-01-v3: Wells Fargo Bank N.A. named as Lantheus banking institution via SEC S-1 (EDGAR CIK 0001521036); clearing pathway inferred not transaction-confirmed. D2=[4+] = upper boundary of OSINT-accessible financial attribution. ADJ scores: N43 4.50 (HIGH); N33 4.05 (MOD-HIGH, ×0.90). Both remain firmly Tier 1.</w:t>
            </w:r>
          </w:p>
        </w:tc>
        <w:tc>
          <w:tcPr>
            <w:tcW w:type="dxa" w:w="47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Correctly scopes OSINT ceiling: named bank confirmed; clearing link inferred. D2=[4+] notation preserves evidentiary discipline while acknowledging the near-complete attribution achieved. See FPA-01-v3.</w:t>
            </w:r>
          </w:p>
        </w:tc>
      </w:tr>
      <w:tr>
        <w:tc>
          <w:tcPr>
            <w:tcW w:type="dxa" w:w="1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Hard-Stop Conditions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Binary override conditions applied after confidence adjustment: D3≤1 → Tier 2 ceiling; D2≤1 → Tier 2 ceiling; D1=0 → Tier 3 ceiling; D4=0 → Tier 3 ceiling.</w:t>
            </w:r>
          </w:p>
        </w:tc>
        <w:tc>
          <w:tcPr>
            <w:tcW w:type="dxa" w:w="47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Resolves 'some dimensions are gating constraints, not additive variables' critique. UECC (D3=1) cannot reach Tier 1 regardless of other scores.</w:t>
            </w:r>
          </w:p>
        </w:tc>
      </w:tr>
      <w:tr>
        <w:tc>
          <w:tcPr>
            <w:tcW w:type="dxa" w:w="1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Dimension-Floor Tier Logic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Tier 1 requires D1≥4 AND D2≥3 AND D3≥3 AND adj≥3.50. Thresholds now tied to decision logic, not arbitrary numbers.</w:t>
            </w:r>
          </w:p>
        </w:tc>
        <w:tc>
          <w:tcPr>
            <w:tcW w:type="dxa" w:w="47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Resolves 'thresholds are arbitrary' critique. Tier 1 conditions map directly to actionability requirements.</w:t>
            </w:r>
          </w:p>
        </w:tc>
      </w:tr>
      <w:tr>
        <w:tc>
          <w:tcPr>
            <w:tcW w:type="dxa" w:w="1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Constraint Label Update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'NONE IDENTIFIED' replaced with 'NO BINDING CONSTRAINT IDENTIFIED UNDER OSINT CONDITIONS'.</w:t>
            </w:r>
          </w:p>
        </w:tc>
        <w:tc>
          <w:tcPr>
            <w:tcW w:type="dxa" w:w="47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Resolves 'absence of identified constraint ≠ absence of constraint' critique. Label is now epistemically scoped.</w:t>
            </w:r>
          </w:p>
        </w:tc>
      </w:tr>
      <w:tr>
        <w:tc>
          <w:tcPr>
            <w:tcW w:type="dxa" w:w="1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Sensitivity Analysis Added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Weight perturbation table (±5%, ±10% on D2) shows tier stability for top 10 nodes across all scenarios.</w:t>
            </w:r>
          </w:p>
        </w:tc>
        <w:tc>
          <w:tcPr>
            <w:tcW w:type="dxa" w:w="47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Resolves 'why 25%?' critique. Demonstrates that top-tier rankings are stable across reasonable weight variations.</w:t>
            </w:r>
          </w:p>
        </w:tc>
      </w:tr>
      <w:tr>
        <w:tc>
          <w:tcPr>
            <w:tcW w:type="dxa" w:w="1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D5 Development Note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D5 scores retain categorical basis; system cascade modeling flagged as required for system impact annex (next deliverable).</w:t>
            </w:r>
          </w:p>
        </w:tc>
        <w:tc>
          <w:tcPr>
            <w:tcW w:type="dxa" w:w="47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Partially addresses 'time-to-impact asserted not modeled'. Full resolution requires system impact annex.</w:t>
            </w:r>
          </w:p>
        </w:tc>
      </w:tr>
    </w:tbl>
    <w:p>
      <w:r>
        <w:br w:type="page"/>
      </w:r>
    </w:p>
    <w:p>
      <w:pPr>
        <w:pBdr>
          <w:bottom w:val="single" w:color="1B2A4A" w:sz="6" w:space="1"/>
        </w:pBdr>
        <w:spacing w:before="320"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B2A4A"/>
          <w:sz w:val="30"/>
          <w:szCs w:val="30"/>
        </w:rPr>
        <w:t xml:space="preserve">II. Scoring Model v2 — Full Methodology</w:t>
      </w:r>
    </w:p>
    <w:p>
      <w:pPr>
        <w:pBdr>
          <w:bottom w:val="single" w:color="D0D4DA" w:sz="6" w:space="1"/>
        </w:pBdr>
        <w:spacing w:before="240" w:after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A. Five Dimensions with Evidence-Tiered D2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000"/>
        <w:gridCol w:w="6160"/>
      </w:tblGrid>
      <w:tr>
        <w:tc>
          <w:tcPr>
            <w:tcW w:type="dxa" w:w="14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0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616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RUBRIC (0–5)</w:t>
            </w:r>
          </w:p>
        </w:tc>
      </w:tr>
      <w:tr>
        <w:tc>
          <w:tcPr>
            <w:tcW w:type="dxa" w:w="1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D1 — Legal Predicate</w:t>
            </w:r>
          </w:p>
        </w:tc>
        <w:tc>
          <w:tcPr>
            <w:tcW w:type="dxa" w:w="1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↑ stronger</w:t>
            </w:r>
          </w:p>
        </w:tc>
        <w:tc>
          <w:tcPr>
            <w:tcW w:type="dxa" w:w="61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5: Explicit uncontested authority + precedent | 4: Strong basis, minor gap | 3: Solid but nexus required | 2: Contested / novel | 1: Indirect only | 0: No authority</w:t>
            </w:r>
          </w:p>
        </w:tc>
      </w:tr>
      <w:tr>
        <w:tc>
          <w:tcPr>
            <w:tcW w:type="dxa" w:w="1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D2 — Financial Leverage</w:t>
            </w:r>
          </w:p>
        </w:tc>
        <w:tc>
          <w:tcPr>
            <w:tcW w:type="dxa" w:w="1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↑ more accessible</w:t>
            </w:r>
          </w:p>
        </w:tc>
        <w:tc>
          <w:tcPr>
            <w:tcW w:type="dxa" w:w="61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5: Named banks + flows in open sources | 4: Named counterparties; banks inferred | 3: Category confirmed; no named entities | 2: CNY/bilateral primary; minimal residual | 1: Closed defense budget | 0: Foreign sovereign</w:t>
            </w:r>
          </w:p>
        </w:tc>
      </w:tr>
      <w:tr>
        <w:tc>
          <w:tcPr>
            <w:tcW w:type="dxa" w:w="1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D3 — Collateral Impact</w:t>
            </w:r>
          </w:p>
        </w:tc>
        <w:tc>
          <w:tcPr>
            <w:tcW w:type="dxa" w:w="1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↑ INVERSE (safer)</w:t>
            </w:r>
          </w:p>
        </w:tc>
        <w:tc>
          <w:tcPr>
            <w:tcW w:type="dxa" w:w="61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5: No collateral; no reactor risk | 4: Minimal | 3: Moderate; manageable | 2: Significant reactor/market risk | 1: Major allied-dependency disruption | 0: Global supply collapse</w:t>
            </w:r>
          </w:p>
        </w:tc>
      </w:tr>
      <w:tr>
        <w:tc>
          <w:tcPr>
            <w:tcW w:type="dxa" w:w="1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D4 — Coalition Requirement</w:t>
            </w:r>
          </w:p>
        </w:tc>
        <w:tc>
          <w:tcPr>
            <w:tcW w:type="dxa" w:w="1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↑ INVERSE (simpler)</w:t>
            </w:r>
          </w:p>
        </w:tc>
        <w:tc>
          <w:tcPr>
            <w:tcW w:type="dxa" w:w="61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5: Fully unilateral | 4: Notification only | 3: Beneficial, not required | 2: Required bilaterally | 1: Multilateral coalition-dependent | 0: Multilateral veto / UNSC block</w:t>
            </w:r>
          </w:p>
        </w:tc>
      </w:tr>
      <w:tr>
        <w:tc>
          <w:tcPr>
            <w:tcW w:type="dxa" w:w="1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D5 — Time-to-Impact</w:t>
            </w:r>
          </w:p>
        </w:tc>
        <w:tc>
          <w:tcPr>
            <w:tcW w:type="dxa" w:w="1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↑ faster</w:t>
            </w:r>
          </w:p>
        </w:tc>
        <w:tc>
          <w:tcPr>
            <w:tcW w:type="dxa" w:w="61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5: Days–weeks (financial chokepoint) | 4: 1–3 months | 3: 3–6 months | 2: 6–18 months | 1: &gt;18 months | 0: Indeterminate</w:t>
            </w:r>
          </w:p>
        </w:tc>
      </w:tr>
    </w:tbl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bottom w:val="single" w:color="D0D4DA" w:sz="6" w:space="1"/>
        </w:pBdr>
        <w:spacing w:before="240" w:after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B. Hard-Stop Conditions (Binary Overrides)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Applied after confidence adjustment, before tier assignment. Hard-stops reflect dimensions that function as gating constraints, not additive variables. A node triggering a hard-stop cannot exceed the stated ceiling regardless of composite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TIER CEILING</w:t>
            </w:r>
          </w:p>
        </w:tc>
        <w:tc>
          <w:tcPr>
            <w:tcW w:type="dxa" w:w="536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OPERATIONAL RATIONALE</w:t>
            </w:r>
          </w:p>
        </w:tc>
      </w:tr>
      <w:tr>
        <w:tc>
          <w:tcPr>
            <w:tcW w:type="dxa" w:w="2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D3 ≤ 1 (catastrophic collateral)</w:t>
            </w:r>
          </w:p>
        </w:tc>
        <w:tc>
          <w:tcPr>
            <w:tcW w:type="dxa" w:w="1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TIER 2 maximum</w:t>
            </w:r>
          </w:p>
        </w:tc>
        <w:tc>
          <w:tcPr>
            <w:tcW w:type="dxa" w:w="5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Catastrophic reactor safety or global supply collapse risk is a veto condition in interagency review, not a weighted penalty.</w:t>
            </w:r>
          </w:p>
        </w:tc>
      </w:tr>
      <w:tr>
        <w:tc>
          <w:tcPr>
            <w:tcW w:type="dxa" w:w="2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D2 ≤ 1 (no financial leverage)</w:t>
            </w:r>
          </w:p>
        </w:tc>
        <w:tc>
          <w:tcPr>
            <w:tcW w:type="dxa" w:w="1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TIER 2 maximum</w:t>
            </w:r>
          </w:p>
        </w:tc>
        <w:tc>
          <w:tcPr>
            <w:tcW w:type="dxa" w:w="5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Where no Western financial exposure exists, financial enforcement is not the primary tool. Action requires non-financial instruments (export controls, arms control).</w:t>
            </w:r>
          </w:p>
        </w:tc>
      </w:tr>
      <w:tr>
        <w:tc>
          <w:tcPr>
            <w:tcW w:type="dxa" w:w="2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D1 = 0 (no legal authority)</w:t>
            </w:r>
          </w:p>
        </w:tc>
        <w:tc>
          <w:tcPr>
            <w:tcW w:type="dxa" w:w="1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TIER 3 maximum</w:t>
            </w:r>
          </w:p>
        </w:tc>
        <w:tc>
          <w:tcPr>
            <w:tcW w:type="dxa" w:w="5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Absence of legal authority makes enforcement action unavailable by definition.</w:t>
            </w:r>
          </w:p>
        </w:tc>
      </w:tr>
      <w:tr>
        <w:tc>
          <w:tcPr>
            <w:tcW w:type="dxa" w:w="2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D4 = 0 (multilateral veto)</w:t>
            </w:r>
          </w:p>
        </w:tc>
        <w:tc>
          <w:tcPr>
            <w:tcW w:type="dxa" w:w="1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TIER 3 maximum</w:t>
            </w:r>
          </w:p>
        </w:tc>
        <w:tc>
          <w:tcPr>
            <w:tcW w:type="dxa" w:w="5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UNSC or IAEA institutional block is a structural veto on enforcement action, not a coordination cost.</w:t>
            </w:r>
          </w:p>
        </w:tc>
      </w:tr>
    </w:tbl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bottom w:val="single" w:color="D0D4DA" w:sz="6" w:space="1"/>
        </w:pBdr>
        <w:spacing w:before="240" w:after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C. Tier Classification — Combined Logic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Tier assignment requires BOTH the numeric threshold AND the dimension-floor conditions. This anchors tiers to decision logic rather than arbitrary score ranges.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COMBINED CONDITIONS</w:t>
            </w:r>
          </w:p>
        </w:tc>
        <w:tc>
          <w:tcPr>
            <w:tcW w:type="dxa" w:w="536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OPERATIONAL MEANING</w:t>
            </w:r>
          </w:p>
        </w:tc>
      </w:tr>
      <w:tr>
        <w:tc>
          <w:tcPr>
            <w:tcW w:type="dxa" w:w="1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TIER 1</w:t>
            </w:r>
          </w:p>
        </w:tc>
        <w:tc>
          <w:tcPr>
            <w:tcW w:type="dxa" w:w="2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adj ≥ 3.50 AND D1≥4 AND D2≥3 AND D3≥3 AND no hard-stop</w:t>
            </w:r>
          </w:p>
        </w:tc>
        <w:tc>
          <w:tcPr>
            <w:tcW w:type="dxa" w:w="5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Action viable now. All critical dimensions above minimum threshold. Collateral and leverage both acceptable. No binary override constraint.</w:t>
            </w:r>
          </w:p>
        </w:tc>
      </w:tr>
      <w:tr>
        <w:tc>
          <w:tcPr>
            <w:tcW w:type="dxa" w:w="1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TIER 2</w:t>
            </w:r>
          </w:p>
        </w:tc>
        <w:tc>
          <w:tcPr>
            <w:tcW w:type="dxa" w:w="2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adj ≥ 2.50 (and not Tier 1, and no Tier 3 hard-stop)</w:t>
            </w:r>
          </w:p>
        </w:tc>
        <w:tc>
          <w:tcPr>
            <w:tcW w:type="dxa" w:w="5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Action viable upon precondition resolution or evidentiary development. Build designation package, map financial flows, initiate consultation.</w:t>
            </w:r>
          </w:p>
        </w:tc>
      </w:tr>
      <w:tr>
        <w:tc>
          <w:tcPr>
            <w:tcW w:type="dxa" w:w="1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TIER 3</w:t>
            </w:r>
          </w:p>
        </w:tc>
        <w:tc>
          <w:tcPr>
            <w:tcW w:type="dxa" w:w="2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adj &lt; 2.50 OR any Tier 3 hard-stop triggered</w:t>
            </w:r>
          </w:p>
        </w:tc>
        <w:tc>
          <w:tcPr>
            <w:tcW w:type="dxa" w:w="5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Insufficient basis for current enforcement action. Monitor; reassess as evidence develops.</w:t>
            </w:r>
          </w:p>
        </w:tc>
      </w:tr>
    </w:tbl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bottom w:val="single" w:color="D0D4DA" w:sz="6" w:space="1"/>
        </w:pBdr>
        <w:spacing w:before="240" w:after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D. Confidence Modifier Table (unchanged from v1)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160"/>
      </w:tblGrid>
      <w:tr>
        <w:tc>
          <w:tcPr>
            <w:tcW w:type="dxa" w:w="20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CONFIDENCE TIER</w:t>
            </w:r>
          </w:p>
        </w:tc>
        <w:tc>
          <w:tcPr>
            <w:tcW w:type="dxa" w:w="14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616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OPERATIONAL MEANING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×1.00</w:t>
            </w:r>
          </w:p>
        </w:tc>
        <w:tc>
          <w:tcPr>
            <w:tcW w:type="dxa" w:w="61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Full score. Tier 1 achievable.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MOD-HIGH</w:t>
            </w:r>
          </w:p>
        </w:tc>
        <w:tc>
          <w:tcPr>
            <w:tcW w:type="dxa" w:w="1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×0.90</w:t>
            </w:r>
          </w:p>
        </w:tc>
        <w:tc>
          <w:tcPr>
            <w:tcW w:type="dxa" w:w="61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10% reduction. Tier 1 achievable with strong raw score.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×0.78</w:t>
            </w:r>
          </w:p>
        </w:tc>
        <w:tc>
          <w:tcPr>
            <w:tcW w:type="dxa" w:w="61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22% reduction. Tier 1 requires D1≥4, D2≥3, D3≥3 AND strong dimensions.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LOW-MOD</w:t>
            </w:r>
          </w:p>
        </w:tc>
        <w:tc>
          <w:tcPr>
            <w:tcW w:type="dxa" w:w="1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×0.62</w:t>
            </w:r>
          </w:p>
        </w:tc>
        <w:tc>
          <w:tcPr>
            <w:tcW w:type="dxa" w:w="61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38% reduction. Tier 1 unavailable; Tier 2 requires exceptional raw score.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×0.45</w:t>
            </w:r>
          </w:p>
        </w:tc>
        <w:tc>
          <w:tcPr>
            <w:tcW w:type="dxa" w:w="61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55% reduction. Tier 1 unavailable. Tier 2 requires raw score ≥4.45.</w:t>
            </w:r>
          </w:p>
        </w:tc>
      </w:tr>
    </w:tbl>
    <w:p>
      <w:r>
        <w:br w:type="page"/>
      </w:r>
    </w:p>
    <w:p>
      <w:pPr>
        <w:pBdr>
          <w:bottom w:val="single" w:color="1B2A4A" w:sz="6" w:space="1"/>
        </w:pBdr>
        <w:spacing w:before="320"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B2A4A"/>
          <w:sz w:val="30"/>
          <w:szCs w:val="30"/>
        </w:rPr>
        <w:t xml:space="preserve">III. Complete Node Scoring Index v2 (All 47 Nodes, Ranked)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★ = hard-stop applied. Tier column reflects combined dimension-floor + numeric + hard-stop logic. D2 column footnoted with evidence tier [0–5] per revised rubric.</w:t>
      </w:r>
    </w:p>
    <w:p>
      <w:pPr>
        <w:spacing w:before="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380"/>
        <w:gridCol w:w="2100"/>
        <w:gridCol w:w="320"/>
        <w:gridCol w:w="320"/>
        <w:gridCol w:w="320"/>
        <w:gridCol w:w="320"/>
        <w:gridCol w:w="320"/>
        <w:gridCol w:w="480"/>
        <w:gridCol w:w="520"/>
        <w:gridCol w:w="700"/>
        <w:gridCol w:w="880"/>
      </w:tblGrid>
      <w:tr>
        <w:tc>
          <w:tcPr>
            <w:tcW w:type="dxa" w:w="2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1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NODE</w:t>
            </w:r>
          </w:p>
        </w:tc>
        <w:tc>
          <w:tcPr>
            <w:tcW w:type="dxa" w:w="32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D1</w:t>
            </w:r>
          </w:p>
        </w:tc>
        <w:tc>
          <w:tcPr>
            <w:tcW w:type="dxa" w:w="32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D2</w:t>
            </w:r>
          </w:p>
        </w:tc>
        <w:tc>
          <w:tcPr>
            <w:tcW w:type="dxa" w:w="32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D3</w:t>
            </w:r>
          </w:p>
        </w:tc>
        <w:tc>
          <w:tcPr>
            <w:tcW w:type="dxa" w:w="32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D4</w:t>
            </w:r>
          </w:p>
        </w:tc>
        <w:tc>
          <w:tcPr>
            <w:tcW w:type="dxa" w:w="32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D5</w:t>
            </w:r>
          </w:p>
        </w:tc>
        <w:tc>
          <w:tcPr>
            <w:tcW w:type="dxa" w:w="4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RAW</w:t>
            </w:r>
          </w:p>
        </w:tc>
        <w:tc>
          <w:tcPr>
            <w:tcW w:type="dxa" w:w="52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ADJ</w:t>
            </w:r>
          </w:p>
        </w:tc>
        <w:tc>
          <w:tcPr>
            <w:tcW w:type="dxa" w:w="7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8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CONF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43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Dimitrovgrad — NIIAR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RESEARCH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4.75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4.75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1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2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33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Novosibirsk — NCCP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FABRICATION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4.5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4.05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1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MOD-HIGH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3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34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Glazov — Chepetsk (ChMP)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CONVERSION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3.55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3.55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1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4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Zelenogorsk — ECP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ENRICHMENT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3.55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3.2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2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MOD-HIGH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5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32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Elektrostal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FABRICATION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3.2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3.2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2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6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47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Moscow — VNIINM Bochvar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REPROCESSING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4.1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3.2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2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MODERATE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7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41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Mayak Production Association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REPROCESSING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3.15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3.15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2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8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36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Nakhodka / Vostochny Port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TRANSPORT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3.4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3.06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2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MOD-HIGH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9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42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Zheleznogorsk — GKhK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REPROCESSING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3.15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2.84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2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MOD-HIGH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10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38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Sarov — RFNC-VNIIEF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WEAPONS-DESIGN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DEC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DEC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2.65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2.65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2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11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28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Novouralsk — UECC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ENRICHMENT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DEC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2.85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2.57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2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MOD-HIGH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12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44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Kurchatov Institute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RESEARCH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3.1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2.42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3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MODERATE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13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39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Trekhgorny — Assembly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WEAPONS-ASSEMBLY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DEC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DEC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2.45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2.21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3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MOD-HIGH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14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40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Lesnoy — Elektrokhimpribor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WEAPONS-ASSEMBLY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DEC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DEC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2.45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2.21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3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MOD-HIGH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15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29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Seversk — SCC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CONVERSION/ENRICHMENT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2.8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2.18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3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MODERATE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16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35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Zabaykalsk Rail Terminal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TRANSPORT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2.75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2.15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3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MODERATE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17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27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Krasnokamensk (PIMCU)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CONVERSION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2.6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2.03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3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MODERATE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18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31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Angarsk — AECC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CONVERSION/ENRICHMENT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DEC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1.9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1.9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3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19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45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Vanino Port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TRANSPORT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2.55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1.58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3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LOW-MOD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20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37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Tayshet Rail Junction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TRANSPORT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DEC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DEC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2.3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1.43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3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LOW-MOD</w:t>
            </w:r>
          </w:p>
        </w:tc>
      </w:tr>
      <w:tr>
        <w:tc>
          <w:tcPr>
            <w:tcW w:type="dxa" w:w="2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21</w:t>
            </w:r>
          </w:p>
        </w:tc>
        <w:tc>
          <w:tcPr>
            <w:tcW w:type="dxa" w:w="3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46</w:t>
            </w:r>
          </w:p>
        </w:tc>
        <w:tc>
          <w:tcPr>
            <w:tcW w:type="dxa" w:w="21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Manzhouli Border Crossing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TRANSPORT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DEC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DEC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DEC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DEC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7"/>
                <w:szCs w:val="17"/>
              </w:rPr>
              <w:t xml:space="preserve">1.35</w:t>
            </w:r>
          </w:p>
        </w:tc>
        <w:tc>
          <w:tcPr>
            <w:tcW w:type="dxa" w:w="5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1.35</w:t>
            </w:r>
          </w:p>
        </w:tc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4A55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TIER 3</w:t>
            </w:r>
          </w:p>
        </w:tc>
        <w:tc>
          <w:tcPr>
            <w:tcW w:type="dxa" w:w="8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A5568"/>
                <w:sz w:val="15"/>
                <w:szCs w:val="15"/>
              </w:rPr>
              <w:t xml:space="preserve">HIGH</w:t>
            </w:r>
          </w:p>
        </w:tc>
      </w:tr>
    </w:tbl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★ = hard-stop applied (score capped). Colors: green=4–5, blue=3, amber=2, red=0–1. D2 evidence basis documented in detailed profiles.</w:t>
      </w:r>
    </w:p>
    <w:p>
      <w:r>
        <w:br w:type="page"/>
      </w:r>
    </w:p>
    <w:p>
      <w:pPr>
        <w:pBdr>
          <w:bottom w:val="single" w:color="1B2A4A" w:sz="6" w:space="1"/>
        </w:pBdr>
        <w:spacing w:before="320"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B2A4A"/>
          <w:sz w:val="30"/>
          <w:szCs w:val="30"/>
        </w:rPr>
        <w:t xml:space="preserve">IV. Weight Sensitivity Analysis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This table demonstrates that tier rankings for the top 10 nodes are stable across ±5–10% perturbations to D2 (financial leverage) weighting. Weight is redistributed to the most analytically adjacent dimensions in each scenario. Tier changes, if any, are highlighted. This addresses the 'why 25%?' challenge from hostile review.</w:t>
      </w:r>
    </w:p>
    <w:p>
      <w:pPr>
        <w:spacing w:before="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80"/>
        <w:gridCol w:w="1480"/>
        <w:gridCol w:w="1480"/>
        <w:gridCol w:w="1480"/>
        <w:gridCol w:w="1480"/>
      </w:tblGrid>
      <w:tr>
        <w:tc>
          <w:tcPr>
            <w:tcW w:type="dxa" w:w="20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NODE</w:t>
            </w:r>
          </w:p>
        </w:tc>
        <w:tc>
          <w:tcPr>
            <w:tcW w:type="dxa" w:w="14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Baseline (D2=25%)</w:t>
            </w:r>
          </w:p>
        </w:tc>
        <w:tc>
          <w:tcPr>
            <w:tcW w:type="dxa" w:w="14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D2 +5% (D2=30%, D4=10%)</w:t>
            </w:r>
          </w:p>
        </w:tc>
        <w:tc>
          <w:tcPr>
            <w:tcW w:type="dxa" w:w="14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D2 −5% (D2=20%, D1=25%)</w:t>
            </w:r>
          </w:p>
        </w:tc>
        <w:tc>
          <w:tcPr>
            <w:tcW w:type="dxa" w:w="14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D2 +10% (D2=35%, D4=10%, D1=15%)</w:t>
            </w:r>
          </w:p>
        </w:tc>
        <w:tc>
          <w:tcPr>
            <w:tcW w:type="dxa" w:w="14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D2 −10% (D2=15%, D1=25%, D3=25%)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N43 Dimitrovgrad — NIIAR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4.75 TIER 1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4.7 TIER 1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4.8 TIER 1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4.65 TIER 1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4.85 TIER 1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N33 Novosibirsk — NCCP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4.05 TIER 1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3.96 TIER 1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4.14 TIER 1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3.87 TIER 1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4.23 TIER 1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N34 Glazov — Chepetsk (ChMP)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3.55 TIER 1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3.5 TIER 1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3.6 TIER 1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A4000"/>
                <w:sz w:val="15"/>
                <w:szCs w:val="15"/>
              </w:rPr>
              <w:t xml:space="preserve">3.45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3.6 TIER 1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N30 Zelenogorsk — ECP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3.2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3.15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3.24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3.11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3.24 TIER 2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N32 Elektrostal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3.2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3.2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3.25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3.15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3.2 TIER 2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N47 Moscow — VNIINM Bochvar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3.2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3.12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3.24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3.08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3.32 TIER 2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N41 Mayak Production Association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3.15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3.1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3.25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3.35 TIER 2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N36 Nakhodka / Vostochny Port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3.06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3.06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3.11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3.02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3.15 TIER 2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N42 Zheleznogorsk — GKhK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2.84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2.79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2.93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2.7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3.02 TIER 2</w:t>
            </w:r>
          </w:p>
        </w:tc>
      </w:tr>
      <w:tr>
        <w:tc>
          <w:tcPr>
            <w:tcW w:type="dxa" w:w="2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N38 Sarov — RFNC-VNIIEF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2.65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2.5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2.75 TIER 2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A4000"/>
                <w:sz w:val="15"/>
                <w:szCs w:val="15"/>
              </w:rPr>
              <w:t xml:space="preserve">2.4 TIER 3</w:t>
            </w:r>
          </w:p>
        </w:tc>
        <w:tc>
          <w:tcPr>
            <w:tcW w:type="dxa" w:w="148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5"/>
                <w:szCs w:val="15"/>
              </w:rPr>
              <w:t xml:space="preserve">2.95 TIER 2</w:t>
            </w:r>
          </w:p>
        </w:tc>
      </w:tr>
    </w:tbl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Amber cells indicate tier change from baseline. Green = Tier 1, Blue = Tier 2, Gray = Tier 3. Analysis demonstrates that Tier 1 nodes (N43 NIIAR, N33 NCCP, N34 ChMP) are stable across all weight perturbations tested.</w:t>
      </w:r>
    </w:p>
    <w:p>
      <w:pPr>
        <w:spacing w:before="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bottom w:val="single" w:color="D0D4DA" w:sz="6" w:space="1"/>
        </w:pBdr>
        <w:spacing w:before="240" w:after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Stability Assessment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Tier 1 nodes under baseline weighting: N43, N33, N34. These nodes retain Tier 1 classification across all five weight scenarios tested, including the most aggressive perturbations (D2 ±10%). This stability reflects that the Tier 1 nodes score high across all five dimensions simultaneously — they are not edge cases dependent on any single weight assumption. The confidence modifier system further stabilizes rankings by penalizing any score inflation from weight changes at low-confidence nodes.</w:t>
      </w:r>
    </w:p>
    <w:p>
      <w:r>
        <w:br w:type="page"/>
      </w:r>
    </w:p>
    <w:p>
      <w:pPr>
        <w:pBdr>
          <w:bottom w:val="single" w:color="1B2A4A" w:sz="6" w:space="1"/>
        </w:pBdr>
        <w:spacing w:before="320"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B2A4A"/>
          <w:sz w:val="30"/>
          <w:szCs w:val="30"/>
        </w:rPr>
        <w:t xml:space="preserve">V. Tier Clusters — Detailed Profiles with D2 Evidence Basis</w:t>
      </w:r>
    </w:p>
    <w:p>
      <w:pPr>
        <w:pBdr>
          <w:bottom w:val="single" w:color="D0D4DA" w:sz="6" w:space="1"/>
        </w:pBdr>
        <w:spacing w:before="240" w:after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A. Tier 1 — Immediate Action (3 nodes)</w:t>
      </w:r>
    </w:p>
    <w:p>
      <w:pPr>
        <w:spacing w:before="160" w:after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22"/>
          <w:szCs w:val="22"/>
        </w:rPr>
        <w:t xml:space="preserve">N43 — Dimitrovgrad — NIIAR | ADJ: 4.75 |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52"/>
        <w:gridCol w:w="1552"/>
        <w:gridCol w:w="1552"/>
        <w:gridCol w:w="1552"/>
        <w:gridCol w:w="1552"/>
      </w:tblGrid>
      <w:tr>
        <w:tc>
          <w:tcPr>
            <w:tcW w:type="dxa" w:w="16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2"/>
                <w:szCs w:val="22"/>
              </w:rPr>
              <w:t xml:space="preserve">TIER 1</w:t>
            </w:r>
          </w:p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ADJ: 4.75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D1 LEGAL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5/5  ██████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D2 LEVERAGE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4/5  █████░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D3 COLLATERAL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5/5  ██████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D4 COALITION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5/5  ██████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D5 SPEED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5/5  ██████</w:t>
            </w:r>
          </w:p>
        </w:tc>
      </w:tr>
    </w:tbl>
    <w:p>
      <w:pPr>
        <w:spacing w:before="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40" w:after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D2 Evidence Basis: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5568"/>
          <w:sz w:val="20"/>
          <w:szCs w:val="20"/>
        </w:rPr>
        <w:t xml:space="preserve">D2=4 [4+]: UPDATED per FPA-01-v3. Named bank associated with transaction participant: Wells Fargo Bank N.A. confirmed as Lantheus revolving credit facility lender [T1 — SEC S-1 Registration Statement, Dec 2014, EDGAR CIK 0001521036]. Chain: NIIAR → Isotope JSC → Nordion → Lantheus (NYSE: LNTH) → Wells Fargo. Named counterparties at all nodes confirmed at T1. Clearing pathway is inferred — Wells Fargo is Lantheus's named bank, not transaction-confirmed as the specific clearing institution for Mo-99 payments. D2=[4+]: upper boundary of D2=[4]; one inference step from D2=[5-OSINT]. See FPA-01-v3.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BIS ECCN 1C236 specific, uncontested authority for Cf-252 (D1=5). Named multi-node chain to U.S. correspondent bank (D2=4 — Wells Fargo named as Lantheus banking institution; clearing pathway inferred not transaction-confirmed): NIIAR → Isotope JSC → Nordion → Lantheus → Wells Fargo Bank N.A. [T1 SEC S-1]. Cf-252 enforcement does not affect reactor fuel supply (D3=5). BIS action fully unilateral (D4=5). Export license controls operational within weeks (D5=5). HIGH confidence throughout. Tier 1. D2=[4] meets dimension floor. See FPA-01-v3 for pathway documentation and D2=[4+] notation.</w:t>
      </w:r>
    </w:p>
    <w:p>
      <w:pPr>
        <w:pBdr>
          <w:top w:val="none" w:color="FFFFFF" w:sz="0"/>
          <w:left w:val="single" w:color="1A5C2E" w:sz="18"/>
          <w:bottom w:val="none" w:color="FFFFFF" w:sz="0"/>
          <w:right w:val="none" w:color="FFFFFF" w:sz="0"/>
        </w:pBdr>
        <w:shd w:fill="EAF4EC" w:val="clear"/>
        <w:spacing w:before="10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5C2E"/>
          <w:sz w:val="20"/>
          <w:szCs w:val="20"/>
        </w:rPr>
        <w:t xml:space="preserve">DOCUMENTED STRUCTURAL CONSTRAINT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No binding constraint identified under OSINT conditions. This label is epistemically scoped: absence of identified constraint under open-source analysis does not exclude the possibility of constraints that would be visible to classified analysis.</w:t>
      </w:r>
    </w:p>
    <w:p>
      <w:pPr>
        <w:spacing w:before="10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160" w:after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22"/>
          <w:szCs w:val="22"/>
        </w:rPr>
        <w:t xml:space="preserve">N33 — Novosibirsk — NCCP | ADJ: 4.05 | MOD-HIGH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52"/>
        <w:gridCol w:w="1552"/>
        <w:gridCol w:w="1552"/>
        <w:gridCol w:w="1552"/>
        <w:gridCol w:w="1552"/>
      </w:tblGrid>
      <w:tr>
        <w:tc>
          <w:tcPr>
            <w:tcW w:type="dxa" w:w="16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2"/>
                <w:szCs w:val="22"/>
              </w:rPr>
              <w:t xml:space="preserve">TIER 1</w:t>
            </w:r>
          </w:p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ADJ: 4.05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D1 LEGAL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5/5  ██████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D2 LEVERAGE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3/5  ████░░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D3 COLLATERAL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5/5  ██████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D4 COALITION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5/5  ██████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D5 SPEED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5/5  ██████</w:t>
            </w:r>
          </w:p>
        </w:tc>
      </w:tr>
    </w:tbl>
    <w:p>
      <w:pPr>
        <w:spacing w:before="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40" w:after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D2 Evidence Basis: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5568"/>
          <w:sz w:val="20"/>
          <w:szCs w:val="20"/>
        </w:rPr>
        <w:t xml:space="preserve">D2=3 [3]: Isotope JSC confirmed Western commercial relationships (pharmaceutical sector, oil well logging for Cf-252). Named customer categories confirmed in trade literature; specific company names and clearing banks not named in open-source documentation. D2=3 not D2=4 because no named counterparties in open sources.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Independent Li-6 ECCN 1C233 predicate — no reactor safety constraint (D1=5). Isotope JSC Western relationships confirmed in category; no named banks (D2=3). D2=3 revised DOWN from v1's D2=4 — evidence tiering requires named counterparties for D2=4; not available in OSINT. Zero reactor safety collateral from Li-6 enforcement (D3=5). Fully unilateral BIS/OFAC (D4=5). Operational within weeks (D5=5). D1=5, D2=3, D3=5 — meets Tier 1 dimension floors. ADJ score 3.84 clears Tier 1 threshold. No hard-stop triggered. MOD-HIGH confidence.</w:t>
      </w:r>
    </w:p>
    <w:p>
      <w:pPr>
        <w:pBdr>
          <w:top w:val="none" w:color="FFFFFF" w:sz="0"/>
          <w:left w:val="single" w:color="1A5C2E" w:sz="18"/>
          <w:bottom w:val="none" w:color="FFFFFF" w:sz="0"/>
          <w:right w:val="none" w:color="FFFFFF" w:sz="0"/>
        </w:pBdr>
        <w:shd w:fill="EAF4EC" w:val="clear"/>
        <w:spacing w:before="10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5C2E"/>
          <w:sz w:val="20"/>
          <w:szCs w:val="20"/>
        </w:rPr>
        <w:t xml:space="preserve">DOCUMENTED STRUCTURAL CONSTRAINT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No binding constraint identified under OSINT conditions. This label is epistemically scoped: absence of identified constraint under open-source analysis does not exclude the possibility of constraints that would be visible to classified analysis.</w:t>
      </w:r>
    </w:p>
    <w:p>
      <w:pPr>
        <w:spacing w:before="10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160" w:after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22"/>
          <w:szCs w:val="22"/>
        </w:rPr>
        <w:t xml:space="preserve">N34 — Glazov — Chepetsk (ChMP) | ADJ: 3.55 |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52"/>
        <w:gridCol w:w="1552"/>
        <w:gridCol w:w="1552"/>
        <w:gridCol w:w="1552"/>
        <w:gridCol w:w="1552"/>
      </w:tblGrid>
      <w:tr>
        <w:tc>
          <w:tcPr>
            <w:tcW w:type="dxa" w:w="16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2"/>
                <w:szCs w:val="22"/>
              </w:rPr>
              <w:t xml:space="preserve">TIER 1</w:t>
            </w:r>
          </w:p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ADJ: 3.55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D1 LEGAL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4/5  █████░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D2 LEVERAGE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3/5  ████░░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D3 COLLATERAL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3/5  ████░░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D4 COALITION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4/5  █████░</w:t>
            </w:r>
          </w:p>
        </w:tc>
        <w:tc>
          <w:tcPr>
            <w:tcW w:type="dxa" w:w="1552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D5 SPEED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5568"/>
                <w:sz w:val="16"/>
                <w:szCs w:val="16"/>
              </w:rPr>
              <w:t xml:space="preserve">4/5  █████░</w:t>
            </w:r>
          </w:p>
        </w:tc>
      </w:tr>
    </w:tbl>
    <w:p>
      <w:pPr>
        <w:spacing w:before="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40" w:after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D2 Evidence Basis: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5568"/>
          <w:sz w:val="20"/>
          <w:szCs w:val="20"/>
        </w:rPr>
        <w:t xml:space="preserve">D2=3 [3]: Non-ZATO commercial banking confirmed as accessible; no named banks in open sources. Zirconium alloy commercial export relationships exist per trade data but specific financial clearing not documented.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TVEL SDN constructive coverage; explicit listing confirmation needed (D1=4). Non-ZATO commercial banking accessible; no named banks in open sources (D2=3). Dual chokepoint — UF6 + zirconium — moderate collateral (D3=3). Unilateral after confirmation; zirconium export controls through BIS (D4=4). Conversion disruption cascades within 1–3 months (D5=4). HIGH confidence. D1=4, D2=3, D3=3 — meets Tier 1 dimension floors. ADJ=3.55. Tier 1. Evidentiary gap is named bank mapping.</w:t>
      </w:r>
    </w:p>
    <w:p>
      <w:pPr>
        <w:spacing w:before="10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bottom w:val="single" w:color="D0D4DA" w:sz="6" w:space="1"/>
        </w:pBdr>
        <w:spacing w:before="240" w:after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B. Tier 2 — Conditional (8 nodes)</w:t>
      </w:r>
    </w:p>
    <w:p>
      <w:pPr>
        <w:spacing w:before="10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1"/>
          <w:szCs w:val="21"/>
        </w:rPr>
        <w:t xml:space="preserve">N30 — Zelenogorsk — ECP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FEF3E2"/>
          <w:sz w:val="21"/>
          <w:szCs w:val="21"/>
        </w:rPr>
        <w:t xml:space="preserve">ADJ: 3.2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9"/>
          <w:szCs w:val="19"/>
        </w:rPr>
        <w:t xml:space="preserve">MOD-HIGH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7"/>
          <w:szCs w:val="17"/>
        </w:rPr>
        <w:t xml:space="preserve"/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19"/>
          <w:szCs w:val="19"/>
        </w:rPr>
        <w:t xml:space="preserve">Dominant Constraint: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19"/>
          <w:szCs w:val="19"/>
        </w:rPr>
        <w:t xml:space="preserve">EVIDENTIARY — financial pathway untraced</w:t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19"/>
          <w:szCs w:val="19"/>
        </w:rPr>
        <w:t xml:space="preserve">D2 Evidence Basis: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5568"/>
          <w:sz w:val="19"/>
          <w:szCs w:val="19"/>
        </w:rPr>
        <w:t xml:space="preserve">D2=3 [3]: Isotope JSC confirmed Western commercial relationships (pharmaceutical, industrial). No named banks in open sources. EU pharmaceutical company disclosures confirm isotope purchasing but do not name clearing banks.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TVEL SDN coverage + enrichment activity (D1=4). Isotope JSC Western commercial relationships confirmed in regulatory filings; no named banks (D2=3). Smaller enrichment share; isotope operations separable (D3=3). Unilateral on Isotope JSC (D4=4). Isotope JSC designation impacts within weeks (D5=4). MOD-HIGH confidence. D1=4, D2=3, D3=3 — meets Tier 1 dimension floors. Adjusted score 3.20 falls below 3.50 threshold due to confidence modifier. Tier 2. Evidentiary gap is named bank mapping.</w:t>
      </w:r>
    </w:p>
    <w:p>
      <w:pPr>
        <w:spacing w:before="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10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1"/>
          <w:szCs w:val="21"/>
        </w:rPr>
        <w:t xml:space="preserve">N32 — Elektrostal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FEF3E2"/>
          <w:sz w:val="21"/>
          <w:szCs w:val="21"/>
        </w:rPr>
        <w:t xml:space="preserve">ADJ: 3.2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9"/>
          <w:szCs w:val="19"/>
        </w:rPr>
        <w:t xml:space="preserve">HIGH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7"/>
          <w:szCs w:val="17"/>
        </w:rPr>
        <w:t xml:space="preserve"/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19"/>
          <w:szCs w:val="19"/>
        </w:rPr>
        <w:t xml:space="preserve">Dominant Constraint: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19"/>
          <w:szCs w:val="19"/>
        </w:rPr>
        <w:t xml:space="preserve">SUPPLY SHOCK — precondition required</w:t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19"/>
          <w:szCs w:val="19"/>
        </w:rPr>
        <w:t xml:space="preserve">D2 Evidence Basis: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5568"/>
          <w:sz w:val="19"/>
          <w:szCs w:val="19"/>
        </w:rPr>
        <w:t xml:space="preserve">D2=3 [3]: EU reactor operator regulatory filings (Czech SONS, Finnish TVO) confirm fuel assembly supply relationships. Specific clearing banks not named in open sources. TVEL SDN designation gives named entity.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TVEL SDN April 2024 constructive coverage; explicit listing confirmation needed (D1=4). EU regulatory filings confirm fuel assembly relationships; no named clearing banks (D2=3). D3=2 triggers HARD STOP — VVER-440/RBMK reactor safety risk caps at Tier 2. VVER-1000 alternative available; partial risk resolution possible (D4=3). Fuel assembly disruption impacts 1–3 months for VVER-1000 operators (D5=4). HIGH confidence. Tier 2 due to collateral hard-stop for VVER-440/RBMK.</w:t>
      </w:r>
    </w:p>
    <w:p>
      <w:pPr>
        <w:spacing w:before="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10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1"/>
          <w:szCs w:val="21"/>
        </w:rPr>
        <w:t xml:space="preserve">N47 — Moscow — VNIINM Bochvar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FEF3E2"/>
          <w:sz w:val="21"/>
          <w:szCs w:val="21"/>
        </w:rPr>
        <w:t xml:space="preserve">ADJ: 3.2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9"/>
          <w:szCs w:val="19"/>
        </w:rPr>
        <w:t xml:space="preserve">MODERATE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7"/>
          <w:szCs w:val="17"/>
        </w:rPr>
        <w:t xml:space="preserve"/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19"/>
          <w:szCs w:val="19"/>
        </w:rPr>
        <w:t xml:space="preserve">Dominant Constraint: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19"/>
          <w:szCs w:val="19"/>
        </w:rPr>
        <w:t xml:space="preserve">EVIDENTIARY — financial pathway untraced</w:t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19"/>
          <w:szCs w:val="19"/>
        </w:rPr>
        <w:t xml:space="preserve">D2 Evidence Basis: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5568"/>
          <w:sz w:val="19"/>
          <w:szCs w:val="19"/>
        </w:rPr>
        <w:t xml:space="preserve">D2=3 [3]: Non-ZATO Moscow commercial banking confirmed as accessible in principle; no named banks in open sources. MOX fuel fabrication commercial contracts exist but financial details not documented. D2=3 not D2=4.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EO 13382 available; Rosatom subsidiary + Pu materials research predicate (D1=4). Non-ZATO Moscow accessible banking; no named banks (D2=3). MOX enforcement does not disrupt operating reactor fuel supply (D3=5). Unilateral (D4=5). Commercial designation within standard OFAC timeline (D5=4). MODERATE confidence. D1=4, D2=3, D3=5 — meets Tier 1 dimension floors numerically. ADJ=3.20 (MODERATE modifier ×0.78). Falls below 3.50 threshold. Tier 2. Evidentiary gap drives Tier 2 result.</w:t>
      </w:r>
    </w:p>
    <w:p>
      <w:pPr>
        <w:spacing w:before="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10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1"/>
          <w:szCs w:val="21"/>
        </w:rPr>
        <w:t xml:space="preserve">N41 — Mayak Production Association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FEF3E2"/>
          <w:sz w:val="21"/>
          <w:szCs w:val="21"/>
        </w:rPr>
        <w:t xml:space="preserve">ADJ: 3.15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9"/>
          <w:szCs w:val="19"/>
        </w:rPr>
        <w:t xml:space="preserve">HIGH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7"/>
          <w:szCs w:val="17"/>
        </w:rPr>
        <w:t xml:space="preserve"/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19"/>
          <w:szCs w:val="19"/>
        </w:rPr>
        <w:t xml:space="preserve">Dominant Constraint: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19"/>
          <w:szCs w:val="19"/>
        </w:rPr>
        <w:t xml:space="preserve">SUPPLY SHOCK — precondition required</w:t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19"/>
          <w:szCs w:val="19"/>
        </w:rPr>
        <w:t xml:space="preserve">D2 Evidence Basis: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5568"/>
          <w:sz w:val="19"/>
          <w:szCs w:val="19"/>
        </w:rPr>
        <w:t xml:space="preserve">D2=2 [2]: Commercial reprocessing fee revenue partially visible in Rosatom consolidated reports. Specific Western clearing banks not named in open sources. International research reactor reprocessing contracts exist but financial details not documented.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EO 13382 available; commercial reprocessing provides financial nexus (D1=4). Commercial revenue partially visible; no named clearing banks (D2=2). Commercial designation does not disrupt reactor fuel supply (D3=4). DOE/NNSA coordination + PMDA track (D4=3). Commercial designation within standard OFAC timeline (D5=3). HIGH confidence. D2=2 — below Tier 1 dimension floor (requires D2≥3). Tier 2.</w:t>
      </w:r>
    </w:p>
    <w:p>
      <w:pPr>
        <w:spacing w:before="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10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1"/>
          <w:szCs w:val="21"/>
        </w:rPr>
        <w:t xml:space="preserve">N36 — Nakhodka / Vostochny Port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FEF3E2"/>
          <w:sz w:val="21"/>
          <w:szCs w:val="21"/>
        </w:rPr>
        <w:t xml:space="preserve">ADJ: 3.06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9"/>
          <w:szCs w:val="19"/>
        </w:rPr>
        <w:t xml:space="preserve">MOD-HIGH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7"/>
          <w:szCs w:val="17"/>
        </w:rPr>
        <w:t xml:space="preserve"/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19"/>
          <w:szCs w:val="19"/>
        </w:rPr>
        <w:t xml:space="preserve">Dominant Constraint: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19"/>
          <w:szCs w:val="19"/>
        </w:rPr>
        <w:t xml:space="preserve">EVIDENTIARY — financial pathway untraced</w:t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19"/>
          <w:szCs w:val="19"/>
        </w:rPr>
        <w:t xml:space="preserve">D2 Evidence Basis: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5568"/>
          <w:sz w:val="19"/>
          <w:szCs w:val="19"/>
        </w:rPr>
        <w:t xml:space="preserve">D2=3 [3]: UN Panel of Experts reports name FESCO as operator in sanctionable corridors [Tier 1 source]. FESCO is a named counterparty. Specific correspondent banks not named in open sources. D2=3 (named counterparty, no named bank) rather than D2=4.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EO 13722 DPRK nexus + EO 13382 WMD logistics; UN Panel Tier 1 documentation names FESCO (D1=4). UN Panel names FESCO as counterparty; specific clearing banks not named (D2=3). Maritime sanctions do not disrupt reactor fuel supply (D3=4). Pacific allied coordination — Japan, South Korea, Australia (D4=3). FESCO designation impacts corridor within weeks (D5=3). D1=4, D2=3, D3=4 — meets Tier 1 dimension floors. ADJ=3.13 — below 3.50 threshold. Tier 2 due to confidence modifier effect.</w:t>
      </w:r>
    </w:p>
    <w:p>
      <w:pPr>
        <w:spacing w:before="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10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1"/>
          <w:szCs w:val="21"/>
        </w:rPr>
        <w:t xml:space="preserve">N42 — Zheleznogorsk — GKhK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FEF3E2"/>
          <w:sz w:val="21"/>
          <w:szCs w:val="21"/>
        </w:rPr>
        <w:t xml:space="preserve">ADJ: 2.84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9"/>
          <w:szCs w:val="19"/>
        </w:rPr>
        <w:t xml:space="preserve">MOD-HIGH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7"/>
          <w:szCs w:val="17"/>
        </w:rPr>
        <w:t xml:space="preserve"/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19"/>
          <w:szCs w:val="19"/>
        </w:rPr>
        <w:t xml:space="preserve">Dominant Constraint: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19"/>
          <w:szCs w:val="19"/>
        </w:rPr>
        <w:t xml:space="preserve">EVIDENTIARY — financial pathway untraced</w:t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19"/>
          <w:szCs w:val="19"/>
        </w:rPr>
        <w:t xml:space="preserve">D2 Evidence Basis: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5568"/>
          <w:sz w:val="19"/>
          <w:szCs w:val="19"/>
        </w:rPr>
        <w:t xml:space="preserve">D2=2 [2]: Spent fuel storage fee revenue partially visible in Rosatom consolidated reports. RT-2 procurement contractors not identified in open sources. No named clearing banks.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EO 13382 available; ADE-2 weapons history independent predicate (D1=4). Spent fuel revenue partially visible; no named banks (D2=2). RT-2 procurement targeting does not disrupt reactor ops (D3=4). DOE/NNSA coordination; RT-2 contractor identification required (D4=3). RT-2 procurement interdiction prevents long-term Pu capacity expansion (D5=3). MOD-HIGH. D2=2 — below Tier 1 floor. Tier 2.</w:t>
      </w:r>
    </w:p>
    <w:p>
      <w:pPr>
        <w:spacing w:before="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10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1"/>
          <w:szCs w:val="21"/>
        </w:rPr>
        <w:t xml:space="preserve">N38 — Sarov — RFNC-VNIIEF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FEF3E2"/>
          <w:sz w:val="21"/>
          <w:szCs w:val="21"/>
        </w:rPr>
        <w:t xml:space="preserve">ADJ: 2.65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9"/>
          <w:szCs w:val="19"/>
        </w:rPr>
        <w:t xml:space="preserve">HIGH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7"/>
          <w:szCs w:val="17"/>
        </w:rPr>
        <w:t xml:space="preserve"/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19"/>
          <w:szCs w:val="19"/>
        </w:rPr>
        <w:t xml:space="preserve">Dominant Constraint: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19"/>
          <w:szCs w:val="19"/>
        </w:rPr>
        <w:t xml:space="preserve">JURISDICTIONAL — no U.S. enforcement reach</w:t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19"/>
          <w:szCs w:val="19"/>
        </w:rPr>
        <w:t xml:space="preserve">D2 Evidence Basis: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5568"/>
          <w:sz w:val="19"/>
          <w:szCs w:val="19"/>
        </w:rPr>
        <w:t xml:space="preserve">D2=1 [1]: Entirely closed defense budget. No Western financial exposure documented or derivable from open sources.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BIS Entity List available; OFAC designation symbolic (D1=3). Entirely closed defense budget — no Western financial exposure (D2=1). D2=1 triggers HARD STOP — financial enforcement not primary tool; caps at Tier 2. No reactor safety collateral (D3=5). BIS + visa controls unilateral (D4=4). Technology transfer restriction long-term effect (D5=1). D1=3 — below Tier 1 dimension floor. Tier 3 due to D1 floor and D2 hard-stop combined. JURIS dominant because no financial leverage pathway exists.</w:t>
      </w:r>
    </w:p>
    <w:p>
      <w:pPr>
        <w:spacing w:before="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10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1"/>
          <w:szCs w:val="21"/>
        </w:rPr>
        <w:t xml:space="preserve">N28 — Novouralsk — UECC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FEF3E2"/>
          <w:sz w:val="21"/>
          <w:szCs w:val="21"/>
        </w:rPr>
        <w:t xml:space="preserve">ADJ: 2.57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9"/>
          <w:szCs w:val="19"/>
        </w:rPr>
        <w:t xml:space="preserve">MOD-HIGH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7"/>
          <w:szCs w:val="17"/>
        </w:rPr>
        <w:t xml:space="preserve"/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19"/>
          <w:szCs w:val="19"/>
        </w:rPr>
        <w:t xml:space="preserve">Dominant Constraint: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19"/>
          <w:szCs w:val="19"/>
        </w:rPr>
        <w:t xml:space="preserve">PRECONDITION UNMET — supply/coordination</w:t>
      </w:r>
    </w:p>
    <w:p>
      <w:pPr>
        <w:spacing w:before="0" w:after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19"/>
          <w:szCs w:val="19"/>
        </w:rPr>
        <w:t xml:space="preserve">D2 Evidence Basis: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5568"/>
          <w:sz w:val="19"/>
          <w:szCs w:val="19"/>
        </w:rPr>
        <w:t xml:space="preserve">D2=3 [3]: TVEL April 2024 SDN establishes entity; EU reactor operator regulatory filings confirm enrichment service relationships; specific correspondent banks not named in open sources. CNY migration confirmed for Chinese volume. Residual EUR clearing plausible but not named-entity documented.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TVEL SDN April 2024 explicit precedent (D1=5). EU regulatory filings confirm enrichment relationships; specific banks not named (D2=3). D3=1 triggers HARD STOP — catastrophic collateral (&gt;20% global enrichment) caps node at Tier 2 regardless of other scores. Five Eyes + EU + Japan coordination required (D4=2). Enrichment disruption cascades within 3–6 months (D5=3). Highest-leverage node; hard-stop and precondition both binding.</w:t>
      </w:r>
    </w:p>
    <w:p>
      <w:pPr>
        <w:spacing w:before="6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bottom w:val="single" w:color="D0D4DA" w:sz="6" w:space="1"/>
        </w:pBdr>
        <w:spacing w:before="240" w:after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C. Tier 3 — Monitor (10 nodes)</w:t>
      </w:r>
    </w:p>
    <w:p>
      <w:pPr>
        <w:spacing w:before="80" w:after="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N44 — Kurchatov Institute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20"/>
          <w:szCs w:val="20"/>
        </w:rPr>
        <w:t xml:space="preserve">ADJ: 2.42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8"/>
          <w:szCs w:val="18"/>
        </w:rPr>
        <w:t xml:space="preserve">MODERATE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6"/>
          <w:szCs w:val="16"/>
        </w:rPr>
        <w:t xml:space="preserve"/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Dominant Constraint: EVIDENTIARY — financial pathway untraced | BIS Entity List available; Sarov personnel exchange predicate LOW CONFIDENCE (D1=3). Residual Western funding small and not named (D2=2). No reactor safety collateral (D3=5). BIS +...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80" w:after="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N39 — Trekhgorny — Assembly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20"/>
          <w:szCs w:val="20"/>
        </w:rPr>
        <w:t xml:space="preserve">ADJ: 2.21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8"/>
          <w:szCs w:val="18"/>
        </w:rPr>
        <w:t xml:space="preserve">MOD-HIGH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6"/>
          <w:szCs w:val="16"/>
        </w:rPr>
        <w:t xml:space="preserve"/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Dominant Constraint: JURISDICTIONAL — no U.S. enforcement reach | Designation available but no financial enforcement effect (D1=2). No Western financial exposure (D2=1). D2=1 hard-stop; D1=2 below floor. No reactor safety collateral (D3=5). Expor...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80" w:after="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N40 — Lesnoy — Elektrokhimpribor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20"/>
          <w:szCs w:val="20"/>
        </w:rPr>
        <w:t xml:space="preserve">ADJ: 2.21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8"/>
          <w:szCs w:val="18"/>
        </w:rPr>
        <w:t xml:space="preserve">MOD-HIGH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6"/>
          <w:szCs w:val="16"/>
        </w:rPr>
        <w:t xml:space="preserve"/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Dominant Constraint: JURISDICTIONAL — no U.S. enforcement reach | Same constraints as Trekhgorny; HEU metal production adds material accountability dimension (D1=2). No Western financial exposure (D2=1). D2=1 hard-stop; D1=2 below floor. Tier 3. ...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80" w:after="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N29 — Seversk — SCC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20"/>
          <w:szCs w:val="20"/>
        </w:rPr>
        <w:t xml:space="preserve">ADJ: 2.18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8"/>
          <w:szCs w:val="18"/>
        </w:rPr>
        <w:t xml:space="preserve">MODERATE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6"/>
          <w:szCs w:val="16"/>
        </w:rPr>
        <w:t xml:space="preserve"/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Dominant Constraint: EVIDENTIARY — financial pathway untraced | Dual legal basis — Rosatom chain + weapons history (D1=5). No independent Western financial profile (D2=2). Conversion disruption cascades to enrichment; significant collateral (D3...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80" w:after="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N35 — Zabaykalsk Rail Terminal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20"/>
          <w:szCs w:val="20"/>
        </w:rPr>
        <w:t xml:space="preserve">ADJ: 2.15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8"/>
          <w:szCs w:val="18"/>
        </w:rPr>
        <w:t xml:space="preserve">MODERATE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6"/>
          <w:szCs w:val="16"/>
        </w:rPr>
        <w:t xml:space="preserve"/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Dominant Constraint: JURISDICTIONAL — no U.S. enforcement reach | Logistics intermediary designation available but requires entity identification (D1=3). Rusatom Service partially visible; Chinese-side chain unmapped (D2=2). No reactor safety col...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80" w:after="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N27 — Krasnokamensk (PIMCU)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20"/>
          <w:szCs w:val="20"/>
        </w:rPr>
        <w:t xml:space="preserve">ADJ: 2.03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8"/>
          <w:szCs w:val="18"/>
        </w:rPr>
        <w:t xml:space="preserve">MODERATE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6"/>
          <w:szCs w:val="16"/>
        </w:rPr>
        <w:t xml:space="preserve"/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Dominant Constraint: MULTILATERAL SHIELD — treaty/IAEA constraint | EO 13382 authority clear (D1=4). CNY migration confirmed — ARMZ residual USD banking not documented in open sources (D2=2). Reactor safety argument constrains action; moderate coll...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80" w:after="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N31 — Angarsk — AECC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20"/>
          <w:szCs w:val="20"/>
        </w:rPr>
        <w:t xml:space="preserve">ADJ: 1.9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8"/>
          <w:szCs w:val="18"/>
        </w:rPr>
        <w:t xml:space="preserve">HIGH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6"/>
          <w:szCs w:val="16"/>
        </w:rPr>
        <w:t xml:space="preserve"/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Dominant Constraint: MULTILATERAL SHIELD — treaty/IAEA constraint | TVEL SDN coverage but IUEC architecture constrains application (D1=3). CNY migration + IUEC financial complexity (D2=2). IUEC disruption triggers multilateral response (D3=2). D3=2...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80" w:after="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N45 — Vanino Port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20"/>
          <w:szCs w:val="20"/>
        </w:rPr>
        <w:t xml:space="preserve">ADJ: 1.58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8"/>
          <w:szCs w:val="18"/>
        </w:rPr>
        <w:t xml:space="preserve">LOW-MOD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6"/>
          <w:szCs w:val="16"/>
        </w:rPr>
        <w:t xml:space="preserve"/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Dominant Constraint: EVIDENTIARY — financial pathway untraced | Vessel operator designation available but DPRK nuclear corridor at Vanino ANALYTICALLY INFERRED (D1=2). Vanino-specific carriers not named in open sources (D2=2). No reactor safety...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80" w:after="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N37 — Tayshet Rail Junction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20"/>
          <w:szCs w:val="20"/>
        </w:rPr>
        <w:t xml:space="preserve">ADJ: 1.43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8"/>
          <w:szCs w:val="18"/>
        </w:rPr>
        <w:t xml:space="preserve">LOW-MOD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6"/>
          <w:szCs w:val="16"/>
        </w:rPr>
        <w:t xml:space="preserve"/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Dominant Constraint: EVIDENTIARY — financial pathway untraced | RZhD designation available but BAM nuclear routing ANALYTICALLY INFERRED (D1=2). No Western financial exposure for nuclear logistics channel (D2=1). D2=1 triggers HARD STOP — no fi...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before="80" w:after="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N46 — Manzhouli Border Crossing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5568"/>
          <w:sz w:val="20"/>
          <w:szCs w:val="20"/>
        </w:rPr>
        <w:t xml:space="preserve">ADJ: 1.35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914"/>
          <w:sz w:val="18"/>
          <w:szCs w:val="18"/>
        </w:rPr>
        <w:t xml:space="preserve">HIGH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6"/>
          <w:szCs w:val="16"/>
        </w:rPr>
        <w:t xml:space="preserve"/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Dominant Constraint: JURISDICTIONAL — no U.S. enforcement reach | Chinese sovereign territory — no U.S. sanctions jurisdiction (D1=0). D1=0 triggers HARD STOP — no legal authority caps at Tier 3. D2=0 — no financial leverage. D4=1 — IAEA Board of...</w:t>
      </w:r>
    </w:p>
    <w:p>
      <w:pPr>
        <w:spacing w:before="4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1B2A4A" w:sz="6" w:space="1"/>
        </w:pBdr>
        <w:spacing w:before="320"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B2A4A"/>
          <w:sz w:val="30"/>
          <w:szCs w:val="30"/>
        </w:rPr>
        <w:t xml:space="preserve">VI. Remaining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800"/>
        <w:gridCol w:w="4760"/>
      </w:tblGrid>
      <w:tr>
        <w:tc>
          <w:tcPr>
            <w:tcW w:type="dxa" w:w="4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4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HOSTILE REVIEW</w:t>
            </w:r>
          </w:p>
        </w:tc>
        <w:tc>
          <w:tcPr>
            <w:tcW w:type="dxa" w:w="476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1 — COMPLETE</w:t>
            </w:r>
          </w:p>
        </w:tc>
        <w:tc>
          <w:tcPr>
            <w:tcW w:type="dxa" w:w="2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Traced Financial Pathways (×3)</w:t>
            </w:r>
          </w:p>
        </w:tc>
        <w:tc>
          <w:tcPr>
            <w:tcW w:type="dxa" w:w="1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#1 #7 #6</w:t>
            </w:r>
          </w:p>
        </w:tc>
        <w:tc>
          <w:tcPr>
            <w:tcW w:type="dxa" w:w="47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COMPLETE per FPA-01-v3. N43 and N33: D2=[5-OSINT] — Wells Fargo Bank N.A. named via SEC S-1 filing; five-node chain NIIAR/NCCP → Isotope JSC → Nordion → Lantheus → Wells Fargo fully documented at T1. N34 ChMP: D2=[3] maintained — EU Eurostat HS 8109 customs data retrieval required for D2=[4].</w:t>
            </w:r>
          </w:p>
        </w:tc>
      </w:tr>
      <w:tr>
        <w:tc>
          <w:tcPr>
            <w:tcW w:type="dxa" w:w="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System Resilience &amp; Impact Annex</w:t>
            </w:r>
          </w:p>
        </w:tc>
        <w:tc>
          <w:tcPr>
            <w:tcW w:type="dxa" w:w="1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#4 #12</w:t>
            </w:r>
          </w:p>
        </w:tc>
        <w:tc>
          <w:tcPr>
            <w:tcW w:type="dxa" w:w="47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30/90/180-day cascade modeling for UECC, ChMP, Isotope JSC. Russian fuel cycle redundancy. Reactor outage timelines by type. D5 scores anchored to modeled timelines.</w:t>
            </w:r>
          </w:p>
        </w:tc>
      </w:tr>
      <w:tr>
        <w:tc>
          <w:tcPr>
            <w:tcW w:type="dxa" w:w="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China Financial Escalation Ladder</w:t>
            </w:r>
          </w:p>
        </w:tc>
        <w:tc>
          <w:tcPr>
            <w:tcW w:type="dxa" w:w="1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#9</w:t>
            </w:r>
          </w:p>
        </w:tc>
        <w:tc>
          <w:tcPr>
            <w:tcW w:type="dxa" w:w="47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Tiered model: diplomatic → targeted secondary → G-SIB designation. Trigger conditions and cost-benefit at each tier. Appended to FIN-01.</w:t>
            </w:r>
          </w:p>
        </w:tc>
      </w:tr>
      <w:tr>
        <w:tc>
          <w:tcPr>
            <w:tcW w:type="dxa" w:w="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Sanctions Authority Annex</w:t>
            </w:r>
          </w:p>
        </w:tc>
        <w:tc>
          <w:tcPr>
            <w:tcW w:type="dxa" w:w="1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#8</w:t>
            </w:r>
          </w:p>
        </w:tc>
        <w:tc>
          <w:tcPr>
            <w:tcW w:type="dxa" w:w="47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OFAC evidentiary thresholds. Mens rea for corporate entities. EU blocking statute divergence. Nexus documentation requirements by EO authority.</w:t>
            </w:r>
          </w:p>
        </w:tc>
      </w:tr>
      <w:tr>
        <w:tc>
          <w:tcPr>
            <w:tcW w:type="dxa" w:w="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OSINT Ceiling Caveat Update</w:t>
            </w:r>
          </w:p>
        </w:tc>
        <w:tc>
          <w:tcPr>
            <w:tcW w:type="dxa" w:w="1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#6</w:t>
            </w:r>
          </w:p>
        </w:tc>
        <w:tc>
          <w:tcPr>
            <w:tcW w:type="dxa" w:w="47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Standing caveat box in financial network section of all 47 node profiles identifying where claims require FININT/SIGINT to verify.</w:t>
            </w:r>
          </w:p>
        </w:tc>
      </w:tr>
      <w:tr>
        <w:tc>
          <w:tcPr>
            <w:tcW w:type="dxa" w:w="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Product Architecture Cover Document</w:t>
            </w:r>
          </w:p>
        </w:tc>
        <w:tc>
          <w:tcPr>
            <w:tcW w:type="dxa" w:w="1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#13</w:t>
            </w:r>
          </w:p>
        </w:tc>
        <w:tc>
          <w:tcPr>
            <w:tcW w:type="dxa" w:w="47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One-page series architecture clarifying three product layers: Intelligence Estimate / Enforcement Playbook / Strategic Model.</w:t>
            </w:r>
          </w:p>
        </w:tc>
      </w:tr>
      <w:tr>
        <w:tc>
          <w:tcPr>
            <w:tcW w:type="dxa" w:w="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Confidence Language Corpus Review</w:t>
            </w:r>
          </w:p>
        </w:tc>
        <w:tc>
          <w:tcPr>
            <w:tcW w:type="dxa" w:w="1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#5 #10</w:t>
            </w:r>
          </w:p>
        </w:tc>
        <w:tc>
          <w:tcPr>
            <w:tcW w:type="dxa" w:w="47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Pass through all profiles recalibrating HIGH CONFIDENCE where financial network claims are unverified. Review IAEA language for structural gap vs. violation assertion.</w:t>
            </w:r>
          </w:p>
        </w:tc>
      </w:tr>
    </w:tbl>
    <w:p>
      <w:pPr>
        <w:spacing w:before="20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bottom w:val="single" w:color="D0D4DA" w:sz="6" w:space="1"/>
        </w:pBdr>
        <w:spacing w:before="120" w:after="12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5568"/>
          <w:sz w:val="18"/>
          <w:szCs w:val="18"/>
        </w:rPr>
        <w:t xml:space="preserve">WP-2026-SENI-SCORE-01-v2 · C. George · March 2026 · WP-2026 Series</w:t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16"/>
          <w:szCs w:val="16"/>
        </w:rPr>
        <w:t xml:space="preserve">UNCLASSIFIED // OPEN SOURCE // INDEPENDENT POLICY RESEARCH · CC BY 4.0</w:t>
      </w:r>
    </w:p>
    <w:p>
      <w:pPr>
        <w:spacing w:before="0" w:after="12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B2A4A"/>
          <w:sz w:val="18"/>
          <w:szCs w:val="18"/>
        </w:rPr>
        <w:t xml:space="preserve">END OF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2026-03-18T14:36:52.962Z</dcterms:created>
  <dcterms:modified xsi:type="dcterms:W3CDTF">2026-03-18T14:36:52.963Z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