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WP-2026-SENI-22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VANINO — BAM MARITIME TERMINUS</w:t>
      </w:r>
    </w:p>
    <w:p>
      <w:pPr>
        <w:spacing w:before="0" w:after="160" w:line="276"/>
        <w:jc w:val="left"/>
      </w:pPr>
      <w:r>
        <w:rPr>
          <w:rFonts w:ascii="Arial" w:cs="Arial" w:eastAsia="Arial" w:hAnsi="Arial"/>
          <w:b/>
          <w:bCs/>
          <w:i w:val="false"/>
          <w:iCs w:val="false"/>
          <w:caps w:val="false"/>
          <w:color w:val="4A5568"/>
          <w:sz w:val="24"/>
          <w:szCs w:val="24"/>
        </w:rPr>
        <w:t xml:space="preserve">BAM Railway Pacific Port — Secondary Russia-DPRK Maritime Corridor</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This document represents independent analytical assessment and does not constitute official policy direction or legal advice. Analytical recommendations reflect assessment of available instruments; implementation decisions rest with the relevant authorities.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5A00" w:val="clear"/>
        <w:spacing w:before="60" w:after="120" w:line="276"/>
        <w:jc w:val="left"/>
      </w:pPr>
      <w:r>
        <w:rPr>
          <w:rFonts w:ascii="Arial" w:cs="Arial" w:eastAsia="Arial" w:hAnsi="Arial"/>
          <w:b/>
          <w:bCs/>
          <w:i w:val="false"/>
          <w:iCs w:val="false"/>
          <w:caps/>
          <w:color w:val="FFFFFF"/>
          <w:sz w:val="18"/>
          <w:szCs w:val="18"/>
        </w:rPr>
        <w:t xml:space="preserve"> TRANSPORT TIER </w:t>
      </w:r>
    </w:p>
    <w:p>
      <w:pPr>
        <w:shd w:fill="1A7A3C" w:val="clear"/>
        <w:spacing w:before="0" w:after="80" w:line="276"/>
        <w:jc w:val="left"/>
      </w:pPr>
      <w:r>
        <w:rPr>
          <w:rFonts w:ascii="Arial" w:cs="Arial" w:eastAsia="Arial" w:hAnsi="Arial"/>
          <w:b/>
          <w:bCs/>
          <w:i w:val="false"/>
          <w:iCs w:val="false"/>
          <w:caps/>
          <w:color w:val="FFFFFF"/>
          <w:sz w:val="20"/>
          <w:szCs w:val="20"/>
        </w:rPr>
        <w:t xml:space="preserve"> MONITORING PRIORITY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45 — SENI-22</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Vanino, Khabarovsk Krai,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49.09°N, 140.27°E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Port of Vanino / FESCO and associated carriers / RZhD logistics chain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Transport / Logistics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Transport Node — BAM Maritime Terminus; Secondary Pacific Export Point North of Nakhodka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MONITORING PRIORITY — not currently designated as an enforcement target. Nuclear logistics relevance is ANALYTICALLY INFERRED from logistics position. Vessel operator designation would become available only upon evidentiary development confirming nuclear-relevant cargo at this port. Trigger condition: UN Panel or allied intelligence identification of Vanino-originating vessel in nuclear-relevant corridor.</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Vanino is the primary maritime terminus of the Baikal-Amur Mainline (BAM) railway, located approximately 690 km north of Nakhodka/Vostochny (Node 36). It provides an alternative Pacific maritime export route for cargo originating on the BAM branch at Tayshet (Node 37) that bypasses the more-monitored Nakhodka/Vostochny complex.</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Post-2022 expansion of Russia-DPRK maritime trade has used Pacific ports including Vanino as departure points. UN Panel of Experts reporting documents this corridor at a general level but does not specifically identify Vanino as a nuclear-relevant cargo departure point. The nuclear logistics concern at Vanino is ANALYTICALLY INFERRED from the port's logistics position relative to the BAM routing alternative.</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LOW-MODERATE CONFIDENCE — ANALYTICALLY INFERRED</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Vanino's geographic remoteness and lower commercial profile relative to Nakhodka/Vostochny means it has less established Western monitoring and compliance infrastructure. This creates an asymmetric surveillance gap relative to the primary port complex.</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Node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RZhD infrastructure documentation identifies Vanino as the BAM railway's Pacific maritime terminus in Khabarovsk Krai [TIER 3 — RZhD network documentation]. The port complex handles bulk cargo, container shipping, and general freight. FESCO and associated Russian Pacific carriers operate services from Vanino.</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Vanino's position as the BAM terminus makes it the natural maritime departure point for any cargo routed via the northern BAM alternative from Tayshet junction rather than the southern Trans-Siberian route to Nakhodka/Vostochny. The analytical concern is not that nuclear material has been shipped through Vanino, but that the port represents a surveillance gap in the eastern logistics corridor that warrants monitoring attention.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that any nuclear material or weapons-relevant cargo has transited Vanino. The proliferation concern at this node is ANALYTICALLY INFERRED from logistics position and is not supported by Tier 1 or Tier 2 evidence of specific nuclear-relevant cargo.</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The analytical basis for this node profile is LOW-MODERATE CONFIDENCE — ANALYTICALLY INFERRED. Vanino is included in the SENI index as a surveillance gap and logistics chokepoint, not as a confirmed proliferation node. Any enforcement action based on this profile alone would require additional evidentiary development.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Logistics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BAM railway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Tayshet junction (Node 37) → BAM northeast → Komsomolsk-on-Amur → Vanino</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Maritime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Pacific maritime routes; Russia-DPRK corridor (MODERATE CONFIDENCE per UN Panel reporting)</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Nakhodka/Vostochny (Node 36)</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Southern parallel: ~690 km south; Trans-Siberian-routed cargo uses this complex instead</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Sovetskaya Gavan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Adjacent port complex (~30 km south); effectively a unified port zone with Vanino</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Port of Vanino is operated by commercial port authorities and served by FESCO and Russian Pacific carriers. UN Panel of Experts reporting on Russia-DPRK maritime trade documents use of Russian Pacific ports generally but does not specifically identify Vanino-originating vessels in nuclear-relevant contexts [TIER 1 — UN Panel S/2024/215].</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low-moderate-confidence judgment that the financial enforcement leverage at Vanino is the same vessel operator and shipping intermediary channel applicable at Nakhodka/Vostochny — FESCO and associated carriers with potential Western financial exposure through Asian correspondent banking.</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vessel operators currently servicing Vanino with Russia-DPRK corridor connections, or whether any Vanino-originating carriers have Western financial relationships accessible to secondary sanctions enforcement.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Vanino's analytical basis is LOWER CONFIDENCE than Nakhodka/Vostochny. Enforcement action directed specifically at Vanino without additional evidentiary development would rest on analytical inference rather than documented activity. This distinction matters for the credibility of any enforcement predicate.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Analytical Gaps and Policy Options</w:t>
      </w:r>
    </w:p>
    <w:p>
      <w:pPr>
        <w:spacing w:before="160" w:after="60" w:line="276"/>
        <w:jc w:val="left"/>
      </w:pPr>
      <w:r>
        <w:rPr>
          <w:rFonts w:ascii="Arial" w:cs="Arial" w:eastAsia="Arial" w:hAnsi="Arial"/>
          <w:b/>
          <w:bCs/>
          <w:i w:val="false"/>
          <w:iCs w:val="false"/>
          <w:caps w:val="false"/>
          <w:color w:val="4A5568"/>
          <w:sz w:val="22"/>
          <w:szCs w:val="22"/>
        </w:rPr>
        <w:t xml:space="preserve">Gap 1 — No Confirmed Nuclear-Relevant Cargo at Vanino</w:t>
      </w:r>
    </w:p>
    <w:p>
      <w:pPr>
        <w:spacing w:before="40" w:after="120" w:line="276"/>
        <w:jc w:val="left"/>
      </w:pPr>
      <w:r>
        <w:rPr>
          <w:rFonts w:ascii="Arial" w:cs="Arial" w:eastAsia="Arial" w:hAnsi="Arial"/>
          <w:b w:val="false"/>
          <w:bCs w:val="false"/>
          <w:i w:val="false"/>
          <w:iCs w:val="false"/>
          <w:caps w:val="false"/>
          <w:color w:val="000000"/>
          <w:sz w:val="22"/>
          <w:szCs w:val="22"/>
        </w:rPr>
        <w:t xml:space="preserve">The public record does not establish that nuclear material or weapons-relevant cargo has transited Vanino. This is the primary analytical gap. LOW-MODERATE CONFIDENCE — ANALYTICALLY INFERRED that Vanino represents a surveillance gap warranting monitoring attention.</w:t>
      </w:r>
    </w:p>
    <w:p>
      <w:pPr>
        <w:spacing w:before="160" w:after="60" w:line="276"/>
        <w:jc w:val="left"/>
      </w:pPr>
      <w:r>
        <w:rPr>
          <w:rFonts w:ascii="Arial" w:cs="Arial" w:eastAsia="Arial" w:hAnsi="Arial"/>
          <w:b/>
          <w:bCs/>
          <w:i w:val="false"/>
          <w:iCs w:val="false"/>
          <w:caps w:val="false"/>
          <w:color w:val="4A5568"/>
          <w:sz w:val="22"/>
          <w:szCs w:val="22"/>
        </w:rPr>
        <w:t xml:space="preserve">Gap 2 — Vessel Identification for BAM-Terminus Corridor</w:t>
      </w:r>
    </w:p>
    <w:p>
      <w:pPr>
        <w:spacing w:before="40" w:after="120" w:line="276"/>
        <w:jc w:val="left"/>
      </w:pPr>
      <w:r>
        <w:rPr>
          <w:rFonts w:ascii="Arial" w:cs="Arial" w:eastAsia="Arial" w:hAnsi="Arial"/>
          <w:b w:val="false"/>
          <w:bCs w:val="false"/>
          <w:i w:val="false"/>
          <w:iCs w:val="false"/>
          <w:caps w:val="false"/>
          <w:color w:val="000000"/>
          <w:sz w:val="22"/>
          <w:szCs w:val="22"/>
        </w:rPr>
        <w:t xml:space="preserve">Specific vessels operating the Vanino-DPRK corridor are not identified in open-source reporting. UN Panel reporting covers Nakhodka/Vostochny corridor vessels but does not systematically address Vanino departures.</w:t>
      </w:r>
    </w:p>
    <w:p>
      <w:pPr>
        <w:spacing w:before="160" w:after="60" w:line="276"/>
        <w:jc w:val="left"/>
      </w:pPr>
      <w:r>
        <w:rPr>
          <w:rFonts w:ascii="Arial" w:cs="Arial" w:eastAsia="Arial" w:hAnsi="Arial"/>
          <w:b/>
          <w:bCs/>
          <w:i w:val="false"/>
          <w:iCs w:val="false"/>
          <w:caps w:val="false"/>
          <w:color w:val="4A5568"/>
          <w:sz w:val="22"/>
          <w:szCs w:val="22"/>
        </w:rPr>
        <w:t xml:space="preserve">Gap 3 — Sovetskaya Gavan Not Separately Profiled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adjacent Sovetskaya Gavan port complex is functionally a unified shipping zone with Vanino and warrants a supplementary profile. Cargo routing between the two facilities may be used to further obscure departure points.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Coordination with UN Panel of Experts on DPRK sanctions regarding Vanino-originating vessel identification would strengthen the evidentiary basis for any enforcement action directed at this corridor.</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Extension of the vessel port-of-call restrictions applicable to Nakhodka/Vostochny (Node 36) to cover Vanino departures would close the surveillance asymmetry between the two Pacific port complexes.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 supplementary SENI profile for Sovetskaya Gavan would complete coverage of the unified BAM maritime terminus zone.</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Allied intelligence assessment of BAM-terminus cargo volumes and Russia-DPRK corridor vessel identification at Vanino would provide the evidentiary basis needed before any enforcement action specifically targeting this port.</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WP-2026-SENI-22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WP-2026-SENI-23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MANZHOULI BORDER CROSSING</w:t>
      </w:r>
    </w:p>
    <w:p>
      <w:pPr>
        <w:spacing w:before="0" w:after="160" w:line="276"/>
        <w:jc w:val="left"/>
      </w:pPr>
      <w:r>
        <w:rPr>
          <w:rFonts w:ascii="Arial" w:cs="Arial" w:eastAsia="Arial" w:hAnsi="Arial"/>
          <w:b/>
          <w:bCs/>
          <w:i w:val="false"/>
          <w:iCs w:val="false"/>
          <w:caps w:val="false"/>
          <w:color w:val="4A5568"/>
          <w:sz w:val="24"/>
          <w:szCs w:val="24"/>
        </w:rPr>
        <w:t xml:space="preserve">China-Side Russia-China Rail Interface — Material Accountability Transition Point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This document represents independent analytical assessment and does not constitute official policy direction or legal advice. Analytical recommendations reflect assessment of available instruments; implementation decisions rest with the relevant authorities.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5A00" w:val="clear"/>
        <w:spacing w:before="60" w:after="120" w:line="276"/>
        <w:jc w:val="left"/>
      </w:pPr>
      <w:r>
        <w:rPr>
          <w:rFonts w:ascii="Arial" w:cs="Arial" w:eastAsia="Arial" w:hAnsi="Arial"/>
          <w:b/>
          <w:bCs/>
          <w:i w:val="false"/>
          <w:iCs w:val="false"/>
          <w:caps/>
          <w:color w:val="FFFFFF"/>
          <w:sz w:val="18"/>
          <w:szCs w:val="18"/>
        </w:rPr>
        <w:t xml:space="preserve"> TRANSPORT TIER </w:t>
      </w:r>
    </w:p>
    <w:p>
      <w:pPr>
        <w:shd w:fill="1A7A3C" w:val="clear"/>
        <w:spacing w:before="0" w:after="80" w:line="276"/>
        <w:jc w:val="left"/>
      </w:pPr>
      <w:r>
        <w:rPr>
          <w:rFonts w:ascii="Arial" w:cs="Arial" w:eastAsia="Arial" w:hAnsi="Arial"/>
          <w:b/>
          <w:bCs/>
          <w:i w:val="false"/>
          <w:iCs w:val="false"/>
          <w:caps/>
          <w:color w:val="FFFFFF"/>
          <w:sz w:val="20"/>
          <w:szCs w:val="20"/>
        </w:rPr>
        <w:t xml:space="preserve"> SYSTEM BOUNDARY NODE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46 — SENI-23</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Manzhouli, Inner Mongolia, China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49.60°N, 117.44°E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Chinese Customs / China Railway Harbin Group / CNNC logistics chain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Transport / Logistics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Transport Node — Chinese Receiving Terminal for Russia-China Rail Border; IAEA Safeguards Continuity Transition Point</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SYSTEM BOUNDARY NODE — not an enforcement node in any operational sense. Manzhouli defines the limit of U.S. sanctions jurisdiction and the beginning of Chinese sovereign safeguards responsibility. It is included to complete the Russia-China material transfer picture and identify the IAEA safeguards continuity gap at the border transition point. No enforcement instrument applies directly to this node.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Manzhouli is the Chinese receiving terminal for material crossing at Zabaykalsk (Node 35). Once nuclear material crosses into Manzhouli, IAEA safeguards continuity depends entirely on Chinese declarations and inspections. No independent verification mechanism for material accountability at this transition point exists.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Chinese sovereign territory creates a categorical jurisdictional constraint: U.S. sanctions enforcement instruments — OFAC SDN designation, IEEPA, EAR — do not apply to Chinese government operations at a Chinese border crossing. The operative instruments are diplomatic engagement and IAEA safeguards channel requests.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This assessment does not establish that undeclared nuclear material has transited Manzhouli. The analytical concern is the absence of an independent accountability mechanism at the material transfer point, not documented diversion. MODERATE CONFIDENCE — based on known IAEA safeguards structure rather than observed anomalies.</w:t>
            </w:r>
          </w:p>
          <w:p>
            <w:pPr>
              <w:spacing w:before="0" w:after="120" w:line="276"/>
              <w:jc w:val="left"/>
            </w:pPr>
            <w:r>
              <w:rPr>
                <w:rFonts w:ascii="Arial" w:cs="Arial" w:eastAsia="Arial" w:hAnsi="Arial"/>
                <w:b/>
                <w:bCs/>
                <w:i w:val="false"/>
                <w:iCs w:val="false"/>
                <w:caps w:val="false"/>
                <w:color w:val="4A5568"/>
                <w:sz w:val="18"/>
                <w:szCs w:val="18"/>
              </w:rPr>
              <w:t xml:space="preserve">LIKELY (GAP EXISTS)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Node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safeguards documentation establishes that nuclear material transfers between states require notification and continuity of safeguards coverage. The Russia-China material transfer at Zabaykalsk/Manzhouli is covered by IAEA safeguards on the Chinese side under China's Comprehensive Safeguards Agreement [TIER 1 — IAEA INFCIRC/369, China CSA]. The gauge-change crossing at Zabaykalsk/Manzhouli is documented in RZhD and China Railway operational literature [TIER 3 — RZhD/China Railway operational documentation].</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IAEA documentation supports a high-confidence judgment that Manzhouli is the material accountability transition point where Russian-jurisdiction safeguards end and Chinese-jurisdiction safeguards begin. The adequacy of safeguards continuity at this transition point depends on Chinese declaration accuracy and IAEA inspection access, neither of which is independently verifiable from open sources.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radiation detection capability at Manzhouli customs, the specific IAEA inspection schedule for Chinese fuel cycle facilities receiving Russian material, or whether any material accountability discrepancy has been identified at this crossing. This assessment reflects a structural analytical gap, not observed evidence of diversion.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Manzhouli is Chinese sovereign territory. No U.S. sanctions enforcement instrument applies directly to Chinese government border operations. The analytical and policy instruments available are IAEA safeguards channel engagement, bilateral diplomatic engagement with China through nuclear regulatory channels, and multilateral engagement through the IAEA Board of Governors. This is a categorically different enforcement environment from all other SENI nodes.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Logistics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Zabaykalsk (Node 35)</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border side — gauge-change dwell creates the primary Russian-jurisdiction interdiction window</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Chinese rail network</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Manzhouli → Inner Mongolia → Chinese national rail → CNNC fuel cycle facilities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IAEA safeguards transition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safeguards jurisdiction ends; Chinese CSA (INFCIRC/369) begins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Parallel road crossing</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Road border crossing approximately co-located — road transport of non-rail cargo uses this route</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Analytical Gaps</w:t>
      </w:r>
    </w:p>
    <w:p>
      <w:pPr>
        <w:spacing w:before="160" w:after="60" w:line="276"/>
        <w:jc w:val="left"/>
      </w:pPr>
      <w:r>
        <w:rPr>
          <w:rFonts w:ascii="Arial" w:cs="Arial" w:eastAsia="Arial" w:hAnsi="Arial"/>
          <w:b/>
          <w:bCs/>
          <w:i w:val="false"/>
          <w:iCs w:val="false"/>
          <w:caps w:val="false"/>
          <w:color w:val="4A5568"/>
          <w:sz w:val="22"/>
          <w:szCs w:val="22"/>
        </w:rPr>
        <w:t xml:space="preserve">Gap 1 — Radiation Detection Capability at Manzhouli Customs Unconfirmed</w:t>
      </w:r>
    </w:p>
    <w:p>
      <w:pPr>
        <w:spacing w:before="40" w:after="120" w:line="276"/>
        <w:jc w:val="left"/>
      </w:pPr>
      <w:r>
        <w:rPr>
          <w:rFonts w:ascii="Arial" w:cs="Arial" w:eastAsia="Arial" w:hAnsi="Arial"/>
          <w:b w:val="false"/>
          <w:bCs w:val="false"/>
          <w:i w:val="false"/>
          <w:iCs w:val="false"/>
          <w:caps w:val="false"/>
          <w:color w:val="000000"/>
          <w:sz w:val="22"/>
          <w:szCs w:val="22"/>
        </w:rPr>
        <w:t xml:space="preserve">Whether Chinese customs at Manzhouli operates radiation detection equipment adequate to identify anomalous nuclear material in commercial freight is not confirmed in open-source reporting. LOW-MODERATE CONFIDENCE — ANALYTICALLY INFERRED that standard commercial customs screening is insufficient for nuclear material verification at the required sensitivity level.</w:t>
      </w:r>
    </w:p>
    <w:p>
      <w:pPr>
        <w:spacing w:before="160" w:after="60" w:line="276"/>
        <w:jc w:val="left"/>
      </w:pPr>
      <w:r>
        <w:rPr>
          <w:rFonts w:ascii="Arial" w:cs="Arial" w:eastAsia="Arial" w:hAnsi="Arial"/>
          <w:b/>
          <w:bCs/>
          <w:i w:val="false"/>
          <w:iCs w:val="false"/>
          <w:caps w:val="false"/>
          <w:color w:val="4A5568"/>
          <w:sz w:val="22"/>
          <w:szCs w:val="22"/>
        </w:rPr>
        <w:t xml:space="preserve">Gap 2 — IAEA Safeguards Continuity Verification Mechanism Absent</w:t>
      </w:r>
    </w:p>
    <w:p>
      <w:pPr>
        <w:spacing w:before="40" w:after="120" w:line="276"/>
        <w:jc w:val="left"/>
      </w:pPr>
      <w:r>
        <w:rPr>
          <w:rFonts w:ascii="Arial" w:cs="Arial" w:eastAsia="Arial" w:hAnsi="Arial"/>
          <w:b w:val="false"/>
          <w:bCs w:val="false"/>
          <w:i w:val="false"/>
          <w:iCs w:val="false"/>
          <w:caps w:val="false"/>
          <w:color w:val="000000"/>
          <w:sz w:val="22"/>
          <w:szCs w:val="22"/>
        </w:rPr>
        <w:t xml:space="preserve">No independent mechanism exists for verifying that nuclear material declared on Russian-side manifests at Zabaykalsk accurately reflects the material received at Manzhouli. IAEA safeguards on the Chinese side operate on Chinese declarations; undeclared material would not be captured through current safeguards mechanisms at the crossing point.</w:t>
      </w:r>
    </w:p>
    <w:p>
      <w:pPr>
        <w:spacing w:before="160" w:after="60" w:line="276"/>
        <w:jc w:val="left"/>
      </w:pPr>
      <w:r>
        <w:rPr>
          <w:rFonts w:ascii="Arial" w:cs="Arial" w:eastAsia="Arial" w:hAnsi="Arial"/>
          <w:b/>
          <w:bCs/>
          <w:i w:val="false"/>
          <w:iCs w:val="false"/>
          <w:caps w:val="false"/>
          <w:color w:val="4A5568"/>
          <w:sz w:val="22"/>
          <w:szCs w:val="22"/>
        </w:rPr>
        <w:t xml:space="preserve">Gap 3 — Chinese Logistics Intermediary Chain Unmapped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freight forwarder and logistics intermediary chain handling nuclear material from Manzhouli to Chinese fuel cycle facilities has not been documented in open-source analysis. This chain is the financial interface between the Russian and Chinese fuel cycle logistics networks.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Engagement through IAEA Board of Governors channels on enhanced safeguards continuity verification at the Zabaykalsk/Manzhouli material transfer point represents the primary analytically available instrument at this node.</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Bilateral nuclear regulatory engagement with Chinese counterparts on material accountability procedures at the Manzhouli receiving terminal would address the safeguards continuity gap through diplomatic channels.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Assessment of Chinese customs radiation detection capability at Manzhouli through allied intelligence and diplomatic channels would provide the evidentiary basis for any diplomatic pressure track on detection standards.</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Mapping the logistics intermediary chain from Manzhouli to CNNC fuel cycle facilities — including freight forwarders, customs brokers, and logistics companies — would identify any entities with Western financial exposure accessible to secondary sanctions.</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WP-2026-SENI-23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WP-2026-SENI-24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MOSCOW — VNIINM BOCHVAR INSTITUTE</w:t>
      </w:r>
    </w:p>
    <w:p>
      <w:pPr>
        <w:spacing w:before="0" w:after="160" w:line="276"/>
        <w:jc w:val="left"/>
      </w:pPr>
      <w:r>
        <w:rPr>
          <w:rFonts w:ascii="Arial" w:cs="Arial" w:eastAsia="Arial" w:hAnsi="Arial"/>
          <w:b/>
          <w:bCs/>
          <w:i w:val="false"/>
          <w:iCs w:val="false"/>
          <w:caps w:val="false"/>
          <w:color w:val="4A5568"/>
          <w:sz w:val="24"/>
          <w:szCs w:val="24"/>
        </w:rPr>
        <w:t xml:space="preserve">MOX Fuel Fabrication — Plutonium Disposition Pathway — Nuclear Materials Research</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This document represents independent analytical assessment and does not constitute official policy direction or legal advice. Analytical recommendations reflect assessment of available instruments; implementation decisions rest with the relevant authorities.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6B2D8B" w:val="clear"/>
        <w:spacing w:before="60" w:after="120" w:line="276"/>
        <w:jc w:val="left"/>
      </w:pPr>
      <w:r>
        <w:rPr>
          <w:rFonts w:ascii="Arial" w:cs="Arial" w:eastAsia="Arial" w:hAnsi="Arial"/>
          <w:b/>
          <w:bCs/>
          <w:i w:val="false"/>
          <w:iCs w:val="false"/>
          <w:caps/>
          <w:color w:val="FFFFFF"/>
          <w:sz w:val="18"/>
          <w:szCs w:val="18"/>
        </w:rPr>
        <w:t xml:space="preserve"> REPROCESSING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47 — SENI-24</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Moscow, Russia (Shchukinskaya, NW Moscow)</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55.79°N, 37.46°E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A.A. Bochvar High-Technology Scientific Research Institute of Inorganic Materials (VNIINM)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Reprocessing / Pu Pathway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Downstream Pu Pathway — MOX Fuel Fabrication; Nuclear Materials Research; Pu Disposition Technology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Rosatom subsidiary; Moscow location means accessible commercial infrastructure; not currently designated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VNIINM Bochvar is Rosatom's primary nuclear materials research institute and the technical center for MOX fuel fabrication technology — the downstream application for separated plutonium from Mayak (Node 41) and Zheleznogorsk (Node 42). It is not currently designated by OFAC as of March 2026.</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VNIINM Bochvar's location in Moscow — outside the ZATO regime — means it has commercial banking relationships and procurement channels more accessible to Western financial monitoring than the closed-city facilities. This creates both greater enforcement leverage and greater front-company procurement exposure.</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VNIINM Bochvar's MOX fuel technology development is directly connected to Russia's fast reactor program (BN-800, BN-1200) and its strategic goal of closing the nuclear fuel cycle using separated plutonium. Completion of the MOX fabrication capability would give Russia a civilian disposition pathway for weapons-grade Pu that is simultaneously a strategic fast reactor fuel program.</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Rosatom's annual reporting and the IAEA's Nuclear Energy Series publications on the closed fuel cycle identify VNIINM Bochvar as Russia's primary nuclear materials research institute and the center of MOX fuel fabrication technology development [TIER 1 — IAEA NES publications on fast reactor fuel cycles; TIER 2 — Rosatom annual reports]. The institute was established in 1945 and has historically conducted both civilian nuclear materials research and weapons-related materials science.</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VNIINM Bochvar is the technical nexus connecting the Pu reprocessing nodes (Mayak, Zheleznogorsk) to the fast reactor program (BN-800/BN-1200) through MOX fuel fabrication technology. It is the missing link in the plutonium pathway that the current SENI index had not profiled.</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operational status of MOX fuel fabrication at VNIINM Bochvar, the quantities of plutonium processed for MOX fabrication research, or the extent of the institute's involvement in weapons-related plutonium materials science as distinct from civilian fast reactor fuel research.</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and Pu Pathway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Pu input — Mayak (Node 41)</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Separated Pu from civilian reprocessing → MOX fuel fabrication research and development</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Pu input — Zheleznogorsk (Node 42)</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Separated Pu from GKhK storage and reprocessing → MOX program</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Fast reactor fuel output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MOX fuel assemblies → BN-800 (Beloyarsk NPP) and planned BN-1200</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Research connection — NIIAR (Node 43)</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MOX fuel irradiation qualification at NIIAR's BOR-60 and other research reactors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Research connection — Kurchatov (Node 44)</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Nuclear materials science exchange; Pu metallurgy research overlap</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PMDA connection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VNIINM Bochvar was identified in PMDA technical annexes as a facility relevant to Pu disposition activities — PMDA now suspended</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VNIINM Bochvar operates as a Rosatom federal state unitary enterprise, receiving both Rosatom program funding and Russian federal budget research funding. As a non-ZATO Moscow-based facility, it has accessible commercial banking relationships [TIER 2 — Rosatom organizational structure; TIER 3 — VNIINM institute publications].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VNIINM Bochvar's Moscow commercial location creates financial enforcement leverage not available at ZATO-based facilities. Its Rosatom subsidiary status means TVEL's April 2024 SDN designation may constructively cover some of its operations, but VNIINM Bochvar is not explicitly listed.</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banking relationships used by VNIINM Bochvar, the commercial contract structure for MOX fuel fabrication services, or whether any Western financial institutions currently have exposure to VNIINM Bochvar transactions.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VNIINM Bochvar designatable as Rosatom subsidiary. Pu materials research provides independent WMD predicate.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sector designation; weapons-related materials science places VNIINM within defense-adjacent programs.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Entity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VNIINM Bochvar not currently designated. Non-ZATO Moscow location means accessible financial enforcement leverage.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PMDA / Arms Control</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Pu Disposition Framework</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VNIINM Bochvar's role in PMDA technical annexes makes it relevant to any PMDA restoration or successor mechanism discussions.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[TIER 1 — OFAC SDN List]. VNIINM Bochvar is a Rosatom subsidiary not currently designated. Its PMDA-relevant role is documented in U.S. State Department PMDA compliance reporting, which identified it as a facility involved in Russian Pu disposition activities prior to the 2016 suspension [TIER 1 — State Department PMDA compliance records].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VNIINM Bochvar presents a viable designation target under EO 13382 on two independent bases: Rosatom subsidiary chain, and independent Pu materials research predicate. Its Moscow commercial location provides more accessible financial enforcement leverage than most other Pu pathway nodes. The enforcement priority argument is strengthened by the PMDA suspension — designation of VNIINM Bochvar would signal that the Pu disposition pathway faces comprehensive enforcement attention, not just the reprocessing sites.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VNIINM Bochvar is constructively covered under the TVEL April 2024 SDN designation, whether it has independent OFAC exposure through any commercial contracts, or the current operational scope of its Pu-related research programs.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Not Currently Designated; Explicit Listing Status Unconfirmed</w:t>
      </w:r>
    </w:p>
    <w:p>
      <w:pPr>
        <w:spacing w:before="40" w:after="120" w:line="276"/>
        <w:jc w:val="left"/>
      </w:pPr>
      <w:r>
        <w:rPr>
          <w:rFonts w:ascii="Arial" w:cs="Arial" w:eastAsia="Arial" w:hAnsi="Arial"/>
          <w:b w:val="false"/>
          <w:bCs w:val="false"/>
          <w:i w:val="false"/>
          <w:iCs w:val="false"/>
          <w:caps w:val="false"/>
          <w:color w:val="000000"/>
          <w:sz w:val="22"/>
          <w:szCs w:val="22"/>
        </w:rPr>
        <w:t xml:space="preserve">VNIINM Bochvar is not on the OFAC SDN list as of March 2026. Whether it is constructively covered under TVEL's April 2024 designation warrants clarification. As a non-TVEL Rosatom subsidiary, it may fall outside the constructive coverage of the TVEL SDN action.</w:t>
      </w:r>
    </w:p>
    <w:p>
      <w:pPr>
        <w:spacing w:before="160" w:after="60" w:line="276"/>
        <w:jc w:val="left"/>
      </w:pPr>
      <w:r>
        <w:rPr>
          <w:rFonts w:ascii="Arial" w:cs="Arial" w:eastAsia="Arial" w:hAnsi="Arial"/>
          <w:b/>
          <w:bCs/>
          <w:i w:val="false"/>
          <w:iCs w:val="false"/>
          <w:caps w:val="false"/>
          <w:color w:val="4A5568"/>
          <w:sz w:val="22"/>
          <w:szCs w:val="22"/>
        </w:rPr>
        <w:t xml:space="preserve">Gap 2 — Pu Pathway Previously Incomplete in SENI Index</w:t>
      </w:r>
    </w:p>
    <w:p>
      <w:pPr>
        <w:spacing w:before="40" w:after="120" w:line="276"/>
        <w:jc w:val="left"/>
      </w:pPr>
      <w:r>
        <w:rPr>
          <w:rFonts w:ascii="Arial" w:cs="Arial" w:eastAsia="Arial" w:hAnsi="Arial"/>
          <w:b w:val="false"/>
          <w:bCs w:val="false"/>
          <w:i w:val="false"/>
          <w:iCs w:val="false"/>
          <w:caps w:val="false"/>
          <w:color w:val="000000"/>
          <w:sz w:val="22"/>
          <w:szCs w:val="22"/>
        </w:rPr>
        <w:t xml:space="preserve">The absence of VNIINM Bochvar from the initial SENI index meant the plutonium pathway was documented through Mayak (Node 41) and Zheleznogorsk (Node 42) without its downstream fabrication endpoint. This profile closes that gap. HIGH CONFIDENCE that VNIINM Bochvar is the analytically correct downstream node for the Pu pathway.</w:t>
      </w:r>
    </w:p>
    <w:p>
      <w:pPr>
        <w:spacing w:before="160" w:after="60" w:line="276"/>
        <w:jc w:val="left"/>
      </w:pPr>
      <w:r>
        <w:rPr>
          <w:rFonts w:ascii="Arial" w:cs="Arial" w:eastAsia="Arial" w:hAnsi="Arial"/>
          <w:b/>
          <w:bCs/>
          <w:i w:val="false"/>
          <w:iCs w:val="false"/>
          <w:caps w:val="false"/>
          <w:color w:val="4A5568"/>
          <w:sz w:val="22"/>
          <w:szCs w:val="22"/>
        </w:rPr>
        <w:t xml:space="preserve">Gap 3 — PMDA Technical Annex Role Post-Suspension</w:t>
      </w:r>
    </w:p>
    <w:p>
      <w:pPr>
        <w:spacing w:before="40" w:after="120" w:line="276"/>
        <w:jc w:val="left"/>
      </w:pPr>
      <w:r>
        <w:rPr>
          <w:rFonts w:ascii="Arial" w:cs="Arial" w:eastAsia="Arial" w:hAnsi="Arial"/>
          <w:b w:val="false"/>
          <w:bCs w:val="false"/>
          <w:i w:val="false"/>
          <w:iCs w:val="false"/>
          <w:caps w:val="false"/>
          <w:color w:val="000000"/>
          <w:sz w:val="22"/>
          <w:szCs w:val="22"/>
        </w:rPr>
        <w:t xml:space="preserve">VNIINM Bochvar's role in PMDA technical annexes identified it as a Pu disposition facility. Following Russia's 2016 PMDA suspension, the current status of Pu disposition activities at VNIINM Bochvar is not independently verifiable. MODERATE CONFIDENCE — ANALYTICALLY INFERRED that MOX fuel fabrication research continues but Pu disposition in the PMDA sense has ceased.</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Clarification of whether VNIINM Bochvar is constructively covered under TVEL's April 2024 SDN designation or falls outside its scope as a non-TVEL Rosatom subsidiary would resolve the primary designation gap.</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Development of a VNIINM Bochvar SDN designation package under EO 13382 — based on both the Rosatom subsidiary chain and the independent Pu materials research predicate — would complete enforcement coverage of the plutonium pathway downstream of Mayak and Zheleznogorsk.</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Incorporation of VNIINM Bochvar into any PMDA restoration or successor mechanism discussions would address its documented role as a Pu disposition facility and provide a non-sanctions diplomatic engagement pathway.</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Assessment of VNIINM Bochvar's commercial banking relationships and procurement channels — particularly for advanced materials science equipment — would map the Western financial exposure available for secondary sanctions targeting.</w:t>
      </w:r>
    </w:p>
    <w:p>
      <w:pPr>
        <w:spacing w:before="60" w:after="80" w:line="276"/>
        <w:ind w:left="360"/>
        <w:jc w:val="left"/>
      </w:pPr>
      <w:r>
        <w:rPr>
          <w:rFonts w:ascii="Arial" w:cs="Arial" w:eastAsia="Arial" w:hAnsi="Arial"/>
          <w:b/>
          <w:bCs/>
          <w:i w:val="false"/>
          <w:iCs w:val="false"/>
          <w:caps w:val="false"/>
          <w:color w:val="1B2A4A"/>
          <w:sz w:val="22"/>
          <w:szCs w:val="22"/>
        </w:rPr>
        <w:t xml:space="preserve">5.  </w:t>
      </w:r>
      <w:r>
        <w:rPr>
          <w:rFonts w:ascii="Arial" w:cs="Arial" w:eastAsia="Arial" w:hAnsi="Arial"/>
          <w:b w:val="false"/>
          <w:bCs w:val="false"/>
          <w:i w:val="false"/>
          <w:iCs w:val="false"/>
          <w:caps w:val="false"/>
          <w:color w:val="000000"/>
          <w:sz w:val="22"/>
          <w:szCs w:val="22"/>
        </w:rPr>
        <w:t xml:space="preserve">Pairing VNIINM Bochvar, Mayak (Node 41), and Zheleznogorsk (Node 42) in a consolidated Pu pathway enforcement assessment would ensure that any enforcement action at the reprocessing nodes accounts for downstream MOX fabrication capacity.</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WP-2026-SENI-24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2026-03-18T14:50:22.380Z</dcterms:created>
  <dcterms:modified xsi:type="dcterms:W3CDTF">2026-03-18T14:50:22.381Z</dcterms:modified>
</cp:coreProperties>
</file>

<file path=docProps/custom.xml><?xml version="1.0" encoding="utf-8"?>
<Properties xmlns="http://schemas.openxmlformats.org/officeDocument/2006/custom-properties" xmlns:vt="http://schemas.openxmlformats.org/officeDocument/2006/docPropsVTypes"/>
</file>