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0" w:before="0" w:line="276"/>
        <w:jc w:val="left"/>
      </w:pPr>
      <w:r>
        <w:rPr>
          <w:rFonts w:ascii="Arial" w:cs="Arial" w:eastAsia="Arial" w:hAnsi="Arial"/>
          <w:b w:val="false"/>
          <w:bCs w:val="false"/>
          <w:i w:val="false"/>
          <w:iCs w:val="false"/>
          <w:color w:val="000000"/>
          <w:sz w:val="22"/>
          <w:szCs w:val="22"/>
        </w:rPr>
        <w:t xml:space="preserve"/>
      </w:r>
    </w:p>
    <w:p>
      <w:pPr>
        <w:spacing w:after="200" w:before="0" w:line="276"/>
        <w:jc w:val="left"/>
      </w:pPr>
      <w:r>
        <w:rPr>
          <w:rFonts w:ascii="Arial" w:cs="Arial" w:eastAsia="Arial" w:hAnsi="Arial"/>
          <w:b/>
          <w:bCs/>
          <w:i w:val="false"/>
          <w:iCs w:val="false"/>
          <w:color w:val="8B6914"/>
          <w:sz w:val="20"/>
          <w:szCs w:val="20"/>
        </w:rPr>
        <w:t xml:space="preserve">STRAT-NSCC-01  |  v2.0 FINAL</w:t>
      </w:r>
    </w:p>
    <w:p>
      <w:pPr>
        <w:pBdr>
          <w:bottom w:val="single" w:color="1B2A4A" w:sz="6" w:space="8"/>
        </w:pBdr>
        <w:spacing w:after="80"/>
      </w:pPr>
      <w:r>
        <w:rPr>
          <w:rFonts w:ascii="Arial" w:cs="Arial" w:eastAsia="Arial" w:hAnsi="Arial"/>
          <w:b/>
          <w:bCs/>
          <w:color w:val="1B2A4A"/>
          <w:sz w:val="36"/>
          <w:szCs w:val="36"/>
        </w:rPr>
        <w:t xml:space="preserve">Exploitation of PRC Defense-Industrial Intelligence and Calibration of U.S. Enforcement Architecture</w:t>
      </w:r>
    </w:p>
    <w:p>
      <w:pPr>
        <w:spacing w:after="400" w:before="0" w:line="276"/>
        <w:jc w:val="left"/>
      </w:pPr>
      <w:r>
        <w:rPr>
          <w:rFonts w:ascii="Arial" w:cs="Arial" w:eastAsia="Arial" w:hAnsi="Arial"/>
          <w:b w:val="false"/>
          <w:bCs w:val="false"/>
          <w:i w:val="false"/>
          <w:iCs w:val="false"/>
          <w:color w:val="1B2A4A"/>
          <w:sz w:val="26"/>
          <w:szCs w:val="26"/>
        </w:rPr>
        <w:t xml:space="preserve">An Operational Strategy Memorandum</w:t>
      </w:r>
    </w:p>
    <w:p>
      <w:pPr>
        <w:spacing w:after="100" w:before="0" w:line="276"/>
        <w:jc w:val="left"/>
      </w:pPr>
      <w:r>
        <w:rPr>
          <w:rFonts w:ascii="Arial" w:cs="Arial" w:eastAsia="Arial" w:hAnsi="Arial"/>
          <w:b/>
          <w:bCs/>
          <w:i w:val="false"/>
          <w:iCs w:val="false"/>
          <w:color w:val="1B2A4A"/>
          <w:sz w:val="22"/>
          <w:szCs w:val="22"/>
        </w:rPr>
        <w:t xml:space="preserve">Collin George</w:t>
      </w:r>
    </w:p>
    <w:p>
      <w:pPr>
        <w:spacing w:after="100" w:before="0" w:line="276"/>
        <w:jc w:val="left"/>
      </w:pPr>
      <w:r>
        <w:rPr>
          <w:rFonts w:ascii="Arial" w:cs="Arial" w:eastAsia="Arial" w:hAnsi="Arial"/>
          <w:b w:val="false"/>
          <w:bCs w:val="false"/>
          <w:i w:val="false"/>
          <w:iCs w:val="false"/>
          <w:color w:val="666666"/>
          <w:sz w:val="20"/>
          <w:szCs w:val="20"/>
        </w:rPr>
        <w:t xml:space="preserve">Center for Competitive Statecraft &amp; Strategic Policy  |  collinbgeorge.com</w:t>
      </w:r>
    </w:p>
    <w:p>
      <w:pPr>
        <w:spacing w:after="600" w:before="0" w:line="276"/>
        <w:jc w:val="left"/>
      </w:pPr>
      <w:r>
        <w:rPr>
          <w:rFonts w:ascii="Arial" w:cs="Arial" w:eastAsia="Arial" w:hAnsi="Arial"/>
          <w:b w:val="false"/>
          <w:bCs w:val="false"/>
          <w:i w:val="false"/>
          <w:iCs w:val="false"/>
          <w:color w:val="666666"/>
          <w:sz w:val="20"/>
          <w:szCs w:val="20"/>
        </w:rPr>
        <w:t xml:space="preserve">April 2026</w:t>
      </w:r>
    </w:p>
    <w:p>
      <w:pPr>
        <w:spacing w:after="100" w:before="0" w:line="276"/>
        <w:jc w:val="left"/>
      </w:pPr>
      <w:r>
        <w:rPr>
          <w:rFonts w:ascii="Arial" w:cs="Arial" w:eastAsia="Arial" w:hAnsi="Arial"/>
          <w:b/>
          <w:bCs/>
          <w:i w:val="false"/>
          <w:iCs w:val="false"/>
          <w:color w:val="8B6914"/>
          <w:sz w:val="18"/>
          <w:szCs w:val="18"/>
        </w:rPr>
        <w:t xml:space="preserve">UNCLASSIFIED // OPEN SOURCE // INDEPENDENT POLICY RESEARCH</w:t>
      </w:r>
    </w:p>
    <w:p>
      <w:pPr>
        <w:spacing w:after="200" w:before="0" w:line="276"/>
        <w:jc w:val="left"/>
      </w:pPr>
      <w:r>
        <w:rPr>
          <w:rFonts w:ascii="Arial" w:cs="Arial" w:eastAsia="Arial" w:hAnsi="Arial"/>
          <w:b w:val="false"/>
          <w:bCs w:val="false"/>
          <w:i/>
          <w:iCs/>
          <w:color w:val="666666"/>
          <w:sz w:val="18"/>
          <w:szCs w:val="18"/>
        </w:rPr>
        <w:t xml:space="preserve">This memorandum relies exclusively on publicly reported information and open-source assessment.</w:t>
      </w:r>
      <w:r>
        <w:br w:type="page"/>
      </w:r>
    </w:p>
    <w:p>
      <w:pPr>
        <w:pStyle w:val="Heading1"/>
        <w:spacing w:after="240" w:before="360"/>
      </w:pPr>
      <w:r>
        <w:rPr>
          <w:rFonts w:ascii="Arial" w:cs="Arial" w:eastAsia="Arial" w:hAnsi="Arial"/>
          <w:b/>
          <w:bCs/>
          <w:color w:val="1B2A4A"/>
          <w:sz w:val="32"/>
          <w:szCs w:val="32"/>
        </w:rPr>
        <w:t xml:space="preserve">Executive Summary</w:t>
      </w:r>
    </w:p>
    <w:p>
      <w:pPr>
        <w:spacing w:after="200" w:before="0" w:line="276"/>
        <w:jc w:val="left"/>
      </w:pPr>
      <w:r>
        <w:rPr>
          <w:rFonts w:ascii="Arial" w:cs="Arial" w:eastAsia="Arial" w:hAnsi="Arial"/>
          <w:b w:val="false"/>
          <w:bCs w:val="false"/>
          <w:i w:val="false"/>
          <w:iCs w:val="false"/>
          <w:color w:val="000000"/>
          <w:sz w:val="22"/>
          <w:szCs w:val="22"/>
        </w:rPr>
        <w:t xml:space="preserve">This memorandum identifies operational actions available to U.S. departments and agencies in response to publicly reported compromises of People’s Republic of China (PRC) defense-industrial computing infrastructure. It focuses on enforcement calibration across financial intelligence, export controls, and allied diplomatic coordination. It does not constitute an intelligence assessment of the reported breach, a technical exploitation plan, or a comprehensive China strategy.</w:t>
      </w:r>
    </w:p>
    <w:p>
      <w:pPr>
        <w:pStyle w:val="Heading2"/>
        <w:spacing w:after="180" w:before="280"/>
      </w:pPr>
      <w:r>
        <w:rPr>
          <w:rFonts w:ascii="Arial" w:cs="Arial" w:eastAsia="Arial" w:hAnsi="Arial"/>
          <w:b/>
          <w:bCs/>
          <w:color w:val="1B2A4A"/>
          <w:sz w:val="26"/>
          <w:szCs w:val="26"/>
        </w:rPr>
        <w:t xml:space="preserve">Key Judgments</w:t>
      </w:r>
    </w:p>
    <w:p>
      <w:pPr>
        <w:spacing w:after="200" w:before="0" w:line="276"/>
        <w:jc w:val="left"/>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C4A24E" w:sz="6"/>
              <w:left w:val="single" w:color="C4A24E" w:sz="6"/>
              <w:bottom w:val="single" w:color="C4A24E" w:sz="6"/>
              <w:right w:val="none" w:sz="0"/>
            </w:tcBorders>
            <w:shd w:fill="1B2A4A" w:val="clear"/>
            <w:tcMar>
              <w:top w:type="dxa" w:w="120"/>
              <w:left w:type="dxa" w:w="80"/>
              <w:bottom w:type="dxa" w:w="120"/>
              <w:right w:type="dxa" w:w="80"/>
            </w:tcMar>
            <w:vAlign w:val="center"/>
          </w:tcPr>
          <w:p>
            <w:pPr>
              <w:spacing w:after="0"/>
              <w:jc w:val="center"/>
            </w:pPr>
            <w:r>
              <w:rPr>
                <w:rFonts w:ascii="Arial" w:cs="Arial" w:eastAsia="Arial" w:hAnsi="Arial"/>
                <w:b/>
                <w:bCs/>
                <w:color w:val="FFFFFF"/>
                <w:sz w:val="36"/>
                <w:szCs w:val="36"/>
              </w:rPr>
              <w:t xml:space="preserve">1</w:t>
            </w:r>
          </w:p>
        </w:tc>
        <w:tc>
          <w:tcPr>
            <w:tcW w:type="dxa" w:w="8660"/>
            <w:tcBorders>
              <w:top w:val="single" w:color="C4A24E" w:sz="6"/>
              <w:left w:val="none" w:sz="0"/>
              <w:bottom w:val="single" w:color="C4A24E" w:sz="6"/>
              <w:right w:val="single" w:color="C4A24E" w:sz="6"/>
            </w:tcBorders>
            <w:tcMar>
              <w:top w:type="dxa" w:w="120"/>
              <w:left w:type="dxa" w:w="160"/>
              <w:bottom w:type="dxa" w:w="120"/>
              <w:right w:type="dxa" w:w="160"/>
            </w:tcMar>
          </w:tcPr>
          <w:p>
            <w:pPr>
              <w:spacing w:after="80"/>
            </w:pPr>
            <w:r>
              <w:rPr>
                <w:rFonts w:ascii="Arial" w:cs="Arial" w:eastAsia="Arial" w:hAnsi="Arial"/>
                <w:b/>
                <w:bCs/>
                <w:color w:val="8B6914"/>
                <w:sz w:val="18"/>
                <w:szCs w:val="18"/>
              </w:rPr>
              <w:t xml:space="preserve">MODERATE CONFIDENCE</w:t>
            </w:r>
          </w:p>
          <w:p>
            <w:pPr>
              <w:spacing w:after="0" w:line="264"/>
            </w:pPr>
            <w:r>
              <w:rPr>
                <w:rFonts w:ascii="Arial" w:cs="Arial" w:eastAsia="Arial" w:hAnsi="Arial"/>
                <w:color w:val="000000"/>
                <w:sz w:val="21"/>
                <w:szCs w:val="21"/>
              </w:rPr>
              <w:t xml:space="preserve">Open-source reporting suggests some PRC defense-linked research entities have deployed domestically developed software for simulation activities previously conducted on U.S.-origin commercial platforms, including simulations that appear related to weapons and defense systems.</w:t>
            </w:r>
            <w:r>
              <w:rPr>
                <w:rStyle w:val="FootnoteReference"/>
              </w:rPr>
              <w:footnoteReference w:id="1"/>
            </w:r>
            <w:r>
              <w:rPr>
                <w:rStyle w:val="FootnoteReference"/>
              </w:rPr>
              <w:footnoteReference w:id="2"/>
            </w:r>
            <w:r>
              <w:rPr>
                <w:rFonts w:ascii="Arial" w:cs="Arial" w:eastAsia="Arial" w:hAnsi="Arial"/>
                <w:color w:val="000000"/>
                <w:sz w:val="21"/>
                <w:szCs w:val="21"/>
              </w:rPr>
              <w:t xml:space="preserve"> We assess with moderate confidence that this may reflect broader substitution activity, although open-source reporting does not establish sector-wide adoption breadth or permit independent technical characterization of the simulation capabilities involved. [TIER 2 — inferred from open-source news reporting on unverified breach claims; underlying data authenticity has not been independently confirmed.]</w:t>
            </w:r>
          </w:p>
        </w:tc>
      </w:tr>
    </w:tbl>
    <w:p>
      <w:pPr>
        <w:spacing w:after="160" w:before="0" w:line="276"/>
        <w:jc w:val="left"/>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C4A24E" w:sz="6"/>
              <w:left w:val="single" w:color="C4A24E" w:sz="6"/>
              <w:bottom w:val="single" w:color="C4A24E" w:sz="6"/>
              <w:right w:val="none" w:sz="0"/>
            </w:tcBorders>
            <w:shd w:fill="1B2A4A" w:val="clear"/>
            <w:tcMar>
              <w:top w:type="dxa" w:w="120"/>
              <w:left w:type="dxa" w:w="80"/>
              <w:bottom w:type="dxa" w:w="120"/>
              <w:right w:type="dxa" w:w="80"/>
            </w:tcMar>
            <w:vAlign w:val="center"/>
          </w:tcPr>
          <w:p>
            <w:pPr>
              <w:spacing w:after="0"/>
              <w:jc w:val="center"/>
            </w:pPr>
            <w:r>
              <w:rPr>
                <w:rFonts w:ascii="Arial" w:cs="Arial" w:eastAsia="Arial" w:hAnsi="Arial"/>
                <w:b/>
                <w:bCs/>
                <w:color w:val="FFFFFF"/>
                <w:sz w:val="36"/>
                <w:szCs w:val="36"/>
              </w:rPr>
              <w:t xml:space="preserve">2</w:t>
            </w:r>
          </w:p>
        </w:tc>
        <w:tc>
          <w:tcPr>
            <w:tcW w:type="dxa" w:w="8660"/>
            <w:tcBorders>
              <w:top w:val="single" w:color="C4A24E" w:sz="6"/>
              <w:left w:val="none" w:sz="0"/>
              <w:bottom w:val="single" w:color="C4A24E" w:sz="6"/>
              <w:right w:val="single" w:color="C4A24E" w:sz="6"/>
            </w:tcBorders>
            <w:tcMar>
              <w:top w:type="dxa" w:w="120"/>
              <w:left w:type="dxa" w:w="160"/>
              <w:bottom w:type="dxa" w:w="120"/>
              <w:right w:type="dxa" w:w="160"/>
            </w:tcMar>
          </w:tcPr>
          <w:p>
            <w:pPr>
              <w:spacing w:after="80"/>
            </w:pPr>
            <w:r>
              <w:rPr>
                <w:rFonts w:ascii="Arial" w:cs="Arial" w:eastAsia="Arial" w:hAnsi="Arial"/>
                <w:b/>
                <w:bCs/>
                <w:color w:val="8B6914"/>
                <w:sz w:val="18"/>
                <w:szCs w:val="18"/>
              </w:rPr>
              <w:t xml:space="preserve">HIGH CONFIDENCE</w:t>
            </w:r>
          </w:p>
          <w:p>
            <w:pPr>
              <w:spacing w:after="0" w:line="264"/>
            </w:pPr>
            <w:r>
              <w:rPr>
                <w:rFonts w:ascii="Arial" w:cs="Arial" w:eastAsia="Arial" w:hAnsi="Arial"/>
                <w:color w:val="000000"/>
                <w:sz w:val="21"/>
                <w:szCs w:val="21"/>
              </w:rPr>
              <w:t xml:space="preserve">Current U.S. enforcement instruments across Treasury, Commerce, and State operate on desynchronized timelines and targeting criteria. Designation cycles, export control updates, and diplomatic coordination proceed on independent schedules without systematic cross-agency synchronization. [TIER 1 — BIS; FinCEN; OFAC program structure]</w:t>
            </w:r>
          </w:p>
        </w:tc>
      </w:tr>
    </w:tbl>
    <w:p>
      <w:pPr>
        <w:spacing w:after="160" w:before="0" w:line="276"/>
        <w:jc w:val="left"/>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C4A24E" w:sz="6"/>
              <w:left w:val="single" w:color="C4A24E" w:sz="6"/>
              <w:bottom w:val="single" w:color="C4A24E" w:sz="6"/>
              <w:right w:val="none" w:sz="0"/>
            </w:tcBorders>
            <w:shd w:fill="1B2A4A" w:val="clear"/>
            <w:tcMar>
              <w:top w:type="dxa" w:w="120"/>
              <w:left w:type="dxa" w:w="80"/>
              <w:bottom w:type="dxa" w:w="120"/>
              <w:right w:type="dxa" w:w="80"/>
            </w:tcMar>
            <w:vAlign w:val="center"/>
          </w:tcPr>
          <w:p>
            <w:pPr>
              <w:spacing w:after="0"/>
              <w:jc w:val="center"/>
            </w:pPr>
            <w:r>
              <w:rPr>
                <w:rFonts w:ascii="Arial" w:cs="Arial" w:eastAsia="Arial" w:hAnsi="Arial"/>
                <w:b/>
                <w:bCs/>
                <w:color w:val="FFFFFF"/>
                <w:sz w:val="36"/>
                <w:szCs w:val="36"/>
              </w:rPr>
              <w:t xml:space="preserve">3</w:t>
            </w:r>
          </w:p>
        </w:tc>
        <w:tc>
          <w:tcPr>
            <w:tcW w:type="dxa" w:w="8660"/>
            <w:tcBorders>
              <w:top w:val="single" w:color="C4A24E" w:sz="6"/>
              <w:left w:val="none" w:sz="0"/>
              <w:bottom w:val="single" w:color="C4A24E" w:sz="6"/>
              <w:right w:val="single" w:color="C4A24E" w:sz="6"/>
            </w:tcBorders>
            <w:tcMar>
              <w:top w:type="dxa" w:w="120"/>
              <w:left w:type="dxa" w:w="160"/>
              <w:bottom w:type="dxa" w:w="120"/>
              <w:right w:type="dxa" w:w="160"/>
            </w:tcMar>
          </w:tcPr>
          <w:p>
            <w:pPr>
              <w:spacing w:after="80"/>
            </w:pPr>
            <w:r>
              <w:rPr>
                <w:rFonts w:ascii="Arial" w:cs="Arial" w:eastAsia="Arial" w:hAnsi="Arial"/>
                <w:b/>
                <w:bCs/>
                <w:color w:val="8B6914"/>
                <w:sz w:val="18"/>
                <w:szCs w:val="18"/>
              </w:rPr>
              <w:t xml:space="preserve">MODERATE CONFIDENCE · ANALYTICALLY INFERRED</w:t>
            </w:r>
          </w:p>
          <w:p>
            <w:pPr>
              <w:spacing w:after="0" w:line="264"/>
            </w:pPr>
            <w:r>
              <w:rPr>
                <w:rFonts w:ascii="Arial" w:cs="Arial" w:eastAsia="Arial" w:hAnsi="Arial"/>
                <w:color w:val="000000"/>
                <w:sz w:val="21"/>
                <w:szCs w:val="21"/>
              </w:rPr>
              <w:t xml:space="preserve">We assess with moderate confidence that this desynchronization may create exploitable seams in the enforcement architecture that PRC-linked procurement networks can use to reduce targeting pressure, increase substitution options, and lengthen enforcement timelines. [TIER 2 — analytic inference from enforcement structure analysis]</w:t>
            </w:r>
          </w:p>
        </w:tc>
      </w:tr>
    </w:tbl>
    <w:p>
      <w:pPr>
        <w:spacing w:after="160" w:before="0" w:line="276"/>
        <w:jc w:val="left"/>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C4A24E" w:sz="6"/>
              <w:left w:val="single" w:color="C4A24E" w:sz="6"/>
              <w:bottom w:val="single" w:color="C4A24E" w:sz="6"/>
              <w:right w:val="none" w:sz="0"/>
            </w:tcBorders>
            <w:shd w:fill="1B2A4A" w:val="clear"/>
            <w:tcMar>
              <w:top w:type="dxa" w:w="120"/>
              <w:left w:type="dxa" w:w="80"/>
              <w:bottom w:type="dxa" w:w="120"/>
              <w:right w:type="dxa" w:w="80"/>
            </w:tcMar>
            <w:vAlign w:val="center"/>
          </w:tcPr>
          <w:p>
            <w:pPr>
              <w:spacing w:after="0"/>
              <w:jc w:val="center"/>
            </w:pPr>
            <w:r>
              <w:rPr>
                <w:rFonts w:ascii="Arial" w:cs="Arial" w:eastAsia="Arial" w:hAnsi="Arial"/>
                <w:b/>
                <w:bCs/>
                <w:color w:val="FFFFFF"/>
                <w:sz w:val="36"/>
                <w:szCs w:val="36"/>
              </w:rPr>
              <w:t xml:space="preserve">4</w:t>
            </w:r>
          </w:p>
        </w:tc>
        <w:tc>
          <w:tcPr>
            <w:tcW w:type="dxa" w:w="8660"/>
            <w:tcBorders>
              <w:top w:val="single" w:color="C4A24E" w:sz="6"/>
              <w:left w:val="none" w:sz="0"/>
              <w:bottom w:val="single" w:color="C4A24E" w:sz="6"/>
              <w:right w:val="single" w:color="C4A24E" w:sz="6"/>
            </w:tcBorders>
            <w:tcMar>
              <w:top w:type="dxa" w:w="120"/>
              <w:left w:type="dxa" w:w="160"/>
              <w:bottom w:type="dxa" w:w="120"/>
              <w:right w:type="dxa" w:w="160"/>
            </w:tcMar>
          </w:tcPr>
          <w:p>
            <w:pPr>
              <w:spacing w:after="80"/>
            </w:pPr>
            <w:r>
              <w:rPr>
                <w:rFonts w:ascii="Arial" w:cs="Arial" w:eastAsia="Arial" w:hAnsi="Arial"/>
                <w:b/>
                <w:bCs/>
                <w:color w:val="8B6914"/>
                <w:sz w:val="18"/>
                <w:szCs w:val="18"/>
              </w:rPr>
              <w:t xml:space="preserve">HIGH CONFIDENCE</w:t>
            </w:r>
          </w:p>
          <w:p>
            <w:pPr>
              <w:spacing w:after="0" w:line="264"/>
            </w:pPr>
            <w:r>
              <w:rPr>
                <w:rFonts w:ascii="Arial" w:cs="Arial" w:eastAsia="Arial" w:hAnsi="Arial"/>
                <w:color w:val="000000"/>
                <w:sz w:val="21"/>
                <w:szCs w:val="21"/>
              </w:rPr>
              <w:t xml:space="preserve">The intelligence value of publicly reported PRC defense-industrial data is perishable. PRC-linked entities assessed to have materially enabled controlled or sanctionable procurement activity are likely to adapt routing, corporate structures, and financial channels on a relatively short timeline following public exposure or enforcement action, potentially within a period of months. [TIER 2 — analytic inference from enforcement case literature]</w:t>
            </w:r>
          </w:p>
        </w:tc>
      </w:tr>
    </w:tbl>
    <w:p>
      <w:pPr>
        <w:spacing w:after="160" w:before="0" w:line="276"/>
        <w:jc w:val="left"/>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C4A24E" w:sz="6"/>
              <w:left w:val="single" w:color="C4A24E" w:sz="6"/>
              <w:bottom w:val="single" w:color="C4A24E" w:sz="6"/>
              <w:right w:val="none" w:sz="0"/>
            </w:tcBorders>
            <w:shd w:fill="1B2A4A" w:val="clear"/>
            <w:tcMar>
              <w:top w:type="dxa" w:w="120"/>
              <w:left w:type="dxa" w:w="80"/>
              <w:bottom w:type="dxa" w:w="120"/>
              <w:right w:type="dxa" w:w="80"/>
            </w:tcMar>
            <w:vAlign w:val="center"/>
          </w:tcPr>
          <w:p>
            <w:pPr>
              <w:spacing w:after="0"/>
              <w:jc w:val="center"/>
            </w:pPr>
            <w:r>
              <w:rPr>
                <w:rFonts w:ascii="Arial" w:cs="Arial" w:eastAsia="Arial" w:hAnsi="Arial"/>
                <w:b/>
                <w:bCs/>
                <w:color w:val="FFFFFF"/>
                <w:sz w:val="36"/>
                <w:szCs w:val="36"/>
              </w:rPr>
              <w:t xml:space="preserve">5</w:t>
            </w:r>
          </w:p>
        </w:tc>
        <w:tc>
          <w:tcPr>
            <w:tcW w:type="dxa" w:w="8660"/>
            <w:tcBorders>
              <w:top w:val="single" w:color="C4A24E" w:sz="6"/>
              <w:left w:val="none" w:sz="0"/>
              <w:bottom w:val="single" w:color="C4A24E" w:sz="6"/>
              <w:right w:val="single" w:color="C4A24E" w:sz="6"/>
            </w:tcBorders>
            <w:tcMar>
              <w:top w:type="dxa" w:w="120"/>
              <w:left w:type="dxa" w:w="160"/>
              <w:bottom w:type="dxa" w:w="120"/>
              <w:right w:type="dxa" w:w="160"/>
            </w:tcMar>
          </w:tcPr>
          <w:p>
            <w:pPr>
              <w:spacing w:after="80"/>
            </w:pPr>
            <w:r>
              <w:rPr>
                <w:rFonts w:ascii="Arial" w:cs="Arial" w:eastAsia="Arial" w:hAnsi="Arial"/>
                <w:b/>
                <w:bCs/>
                <w:color w:val="8B6914"/>
                <w:sz w:val="18"/>
                <w:szCs w:val="18"/>
              </w:rPr>
              <w:t xml:space="preserve">HIGH CONFIDENCE</w:t>
            </w:r>
          </w:p>
          <w:p>
            <w:pPr>
              <w:spacing w:after="0" w:line="264"/>
            </w:pPr>
            <w:r>
              <w:rPr>
                <w:rFonts w:ascii="Arial" w:cs="Arial" w:eastAsia="Arial" w:hAnsi="Arial"/>
                <w:color w:val="000000"/>
                <w:sz w:val="21"/>
                <w:szCs w:val="21"/>
              </w:rPr>
              <w:t xml:space="preserve">Eleven of twelve recommended actions appear executable under existing delegated authorities, although several would still require interagency coordination, rulemaking, or resource prioritization. Only one action (pre-positioned financial deterrence framework) would require presidential direction and new directive issuance. [TIER 1 — statutory authority review]</w:t>
            </w:r>
          </w:p>
        </w:tc>
      </w:tr>
    </w:tbl>
    <w:p>
      <w:pPr>
        <w:spacing w:after="160" w:before="0" w:line="276"/>
        <w:jc w:val="left"/>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C4A24E" w:sz="6"/>
              <w:left w:val="single" w:color="C4A24E" w:sz="6"/>
              <w:bottom w:val="single" w:color="C4A24E" w:sz="6"/>
              <w:right w:val="none" w:sz="0"/>
            </w:tcBorders>
            <w:shd w:fill="1B2A4A" w:val="clear"/>
            <w:tcMar>
              <w:top w:type="dxa" w:w="120"/>
              <w:left w:type="dxa" w:w="80"/>
              <w:bottom w:type="dxa" w:w="120"/>
              <w:right w:type="dxa" w:w="80"/>
            </w:tcMar>
            <w:vAlign w:val="center"/>
          </w:tcPr>
          <w:p>
            <w:pPr>
              <w:spacing w:after="0"/>
              <w:jc w:val="center"/>
            </w:pPr>
            <w:r>
              <w:rPr>
                <w:rFonts w:ascii="Arial" w:cs="Arial" w:eastAsia="Arial" w:hAnsi="Arial"/>
                <w:b/>
                <w:bCs/>
                <w:color w:val="FFFFFF"/>
                <w:sz w:val="36"/>
                <w:szCs w:val="36"/>
              </w:rPr>
              <w:t xml:space="preserve">6</w:t>
            </w:r>
          </w:p>
        </w:tc>
        <w:tc>
          <w:tcPr>
            <w:tcW w:type="dxa" w:w="8660"/>
            <w:tcBorders>
              <w:top w:val="single" w:color="C4A24E" w:sz="6"/>
              <w:left w:val="none" w:sz="0"/>
              <w:bottom w:val="single" w:color="C4A24E" w:sz="6"/>
              <w:right w:val="single" w:color="C4A24E" w:sz="6"/>
            </w:tcBorders>
            <w:tcMar>
              <w:top w:type="dxa" w:w="120"/>
              <w:left w:type="dxa" w:w="160"/>
              <w:bottom w:type="dxa" w:w="120"/>
              <w:right w:type="dxa" w:w="160"/>
            </w:tcMar>
          </w:tcPr>
          <w:p>
            <w:pPr>
              <w:spacing w:after="80"/>
            </w:pPr>
            <w:r>
              <w:rPr>
                <w:rFonts w:ascii="Arial" w:cs="Arial" w:eastAsia="Arial" w:hAnsi="Arial"/>
                <w:b/>
                <w:bCs/>
                <w:color w:val="8B6914"/>
                <w:sz w:val="18"/>
                <w:szCs w:val="18"/>
              </w:rPr>
              <w:t xml:space="preserve">HIGH CONFIDENCE</w:t>
            </w:r>
          </w:p>
          <w:p>
            <w:pPr>
              <w:spacing w:after="0" w:line="264"/>
            </w:pPr>
            <w:r>
              <w:rPr>
                <w:rFonts w:ascii="Arial" w:cs="Arial" w:eastAsia="Arial" w:hAnsi="Arial"/>
                <w:color w:val="000000"/>
                <w:sz w:val="21"/>
                <w:szCs w:val="21"/>
              </w:rPr>
              <w:t xml:space="preserve">Unilateral export controls appear to lose effectiveness over time in the absence of multilateral alignment, as affected actors increase investment in indigenous substitution pathways.</w:t>
            </w:r>
            <w:r>
              <w:rPr>
                <w:rStyle w:val="FootnoteReference"/>
              </w:rPr>
              <w:footnoteReference w:id="3"/>
            </w:r>
            <w:r>
              <w:rPr>
                <w:rFonts w:ascii="Arial" w:cs="Arial" w:eastAsia="Arial" w:hAnsi="Arial"/>
                <w:color w:val="000000"/>
                <w:sz w:val="21"/>
                <w:szCs w:val="21"/>
              </w:rPr>
              <w:t xml:space="preserve"> Allied coordination through the Wassenaar Arrangement and bilateral frameworks with the Netherlands, Japan, and the Republic of Korea is a primary determinant of long-term control effectiveness.</w:t>
            </w:r>
            <w:r>
              <w:rPr>
                <w:rStyle w:val="FootnoteReference"/>
              </w:rPr>
              <w:footnoteReference w:id="4"/>
            </w:r>
            <w:r>
              <w:rPr>
                <w:rFonts w:ascii="Arial" w:cs="Arial" w:eastAsia="Arial" w:hAnsi="Arial"/>
                <w:color w:val="000000"/>
                <w:sz w:val="21"/>
                <w:szCs w:val="21"/>
              </w:rPr>
              <w:t xml:space="preserve"> [TIER 1 — BIS control chronology; Wassenaar Arrangement public documents]</w:t>
            </w:r>
          </w:p>
        </w:tc>
      </w:tr>
    </w:tbl>
    <w:p>
      <w:pPr>
        <w:spacing w:after="160" w:before="0" w:line="276"/>
        <w:jc w:val="left"/>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C4A24E" w:sz="6"/>
              <w:left w:val="single" w:color="C4A24E" w:sz="6"/>
              <w:bottom w:val="single" w:color="C4A24E" w:sz="6"/>
              <w:right w:val="none" w:sz="0"/>
            </w:tcBorders>
            <w:shd w:fill="1B2A4A" w:val="clear"/>
            <w:tcMar>
              <w:top w:type="dxa" w:w="120"/>
              <w:left w:type="dxa" w:w="80"/>
              <w:bottom w:type="dxa" w:w="120"/>
              <w:right w:type="dxa" w:w="80"/>
            </w:tcMar>
            <w:vAlign w:val="center"/>
          </w:tcPr>
          <w:p>
            <w:pPr>
              <w:spacing w:after="0"/>
              <w:jc w:val="center"/>
            </w:pPr>
            <w:r>
              <w:rPr>
                <w:rFonts w:ascii="Arial" w:cs="Arial" w:eastAsia="Arial" w:hAnsi="Arial"/>
                <w:b/>
                <w:bCs/>
                <w:color w:val="FFFFFF"/>
                <w:sz w:val="36"/>
                <w:szCs w:val="36"/>
              </w:rPr>
              <w:t xml:space="preserve">7</w:t>
            </w:r>
          </w:p>
        </w:tc>
        <w:tc>
          <w:tcPr>
            <w:tcW w:type="dxa" w:w="8660"/>
            <w:tcBorders>
              <w:top w:val="single" w:color="C4A24E" w:sz="6"/>
              <w:left w:val="none" w:sz="0"/>
              <w:bottom w:val="single" w:color="C4A24E" w:sz="6"/>
              <w:right w:val="single" w:color="C4A24E" w:sz="6"/>
            </w:tcBorders>
            <w:tcMar>
              <w:top w:type="dxa" w:w="120"/>
              <w:left w:type="dxa" w:w="160"/>
              <w:bottom w:type="dxa" w:w="120"/>
              <w:right w:type="dxa" w:w="160"/>
            </w:tcMar>
          </w:tcPr>
          <w:p>
            <w:pPr>
              <w:spacing w:after="80"/>
            </w:pPr>
            <w:r>
              <w:rPr>
                <w:rFonts w:ascii="Arial" w:cs="Arial" w:eastAsia="Arial" w:hAnsi="Arial"/>
                <w:b/>
                <w:bCs/>
                <w:color w:val="8B6914"/>
                <w:sz w:val="18"/>
                <w:szCs w:val="18"/>
              </w:rPr>
              <w:t xml:space="preserve">MODERATE CONFIDENCE · ANALYTICALLY INFERRED</w:t>
            </w:r>
          </w:p>
          <w:p>
            <w:pPr>
              <w:spacing w:after="0" w:line="264"/>
            </w:pPr>
            <w:r>
              <w:rPr>
                <w:rFonts w:ascii="Arial" w:cs="Arial" w:eastAsia="Arial" w:hAnsi="Arial"/>
                <w:color w:val="000000"/>
                <w:sz w:val="21"/>
                <w:szCs w:val="21"/>
              </w:rPr>
              <w:t xml:space="preserve">Financial deterrence options targeting PRC financial intermediaries appear underdeveloped relative to other deterrence signaling tools in the Taiwan contingency context, particularly in open-source policy discussion. [TIER 2 — analytic inference from open-source policy literature]</w:t>
            </w:r>
          </w:p>
        </w:tc>
      </w:tr>
    </w:tbl>
    <w:p>
      <w:pPr>
        <w:spacing w:after="160" w:before="0" w:line="276"/>
        <w:jc w:val="left"/>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C4A24E" w:sz="6"/>
              <w:left w:val="single" w:color="C4A24E" w:sz="6"/>
              <w:bottom w:val="single" w:color="C4A24E" w:sz="6"/>
              <w:right w:val="none" w:sz="0"/>
            </w:tcBorders>
            <w:shd w:fill="1B2A4A" w:val="clear"/>
            <w:tcMar>
              <w:top w:type="dxa" w:w="120"/>
              <w:left w:type="dxa" w:w="80"/>
              <w:bottom w:type="dxa" w:w="120"/>
              <w:right w:type="dxa" w:w="80"/>
            </w:tcMar>
            <w:vAlign w:val="center"/>
          </w:tcPr>
          <w:p>
            <w:pPr>
              <w:spacing w:after="0"/>
              <w:jc w:val="center"/>
            </w:pPr>
            <w:r>
              <w:rPr>
                <w:rFonts w:ascii="Arial" w:cs="Arial" w:eastAsia="Arial" w:hAnsi="Arial"/>
                <w:b/>
                <w:bCs/>
                <w:color w:val="FFFFFF"/>
                <w:sz w:val="36"/>
                <w:szCs w:val="36"/>
              </w:rPr>
              <w:t xml:space="preserve">8</w:t>
            </w:r>
          </w:p>
        </w:tc>
        <w:tc>
          <w:tcPr>
            <w:tcW w:type="dxa" w:w="8660"/>
            <w:tcBorders>
              <w:top w:val="single" w:color="C4A24E" w:sz="6"/>
              <w:left w:val="none" w:sz="0"/>
              <w:bottom w:val="single" w:color="C4A24E" w:sz="6"/>
              <w:right w:val="single" w:color="C4A24E" w:sz="6"/>
            </w:tcBorders>
            <w:tcMar>
              <w:top w:type="dxa" w:w="120"/>
              <w:left w:type="dxa" w:w="160"/>
              <w:bottom w:type="dxa" w:w="120"/>
              <w:right w:type="dxa" w:w="160"/>
            </w:tcMar>
          </w:tcPr>
          <w:p>
            <w:pPr>
              <w:spacing w:after="80"/>
            </w:pPr>
            <w:r>
              <w:rPr>
                <w:rFonts w:ascii="Arial" w:cs="Arial" w:eastAsia="Arial" w:hAnsi="Arial"/>
                <w:b/>
                <w:bCs/>
                <w:color w:val="8B6914"/>
                <w:sz w:val="18"/>
                <w:szCs w:val="18"/>
              </w:rPr>
              <w:t xml:space="preserve">MODERATE CONFIDENCE · ANALYTICALLY INFERRED</w:t>
            </w:r>
          </w:p>
          <w:p>
            <w:pPr>
              <w:spacing w:after="0" w:line="264"/>
            </w:pPr>
            <w:r>
              <w:rPr>
                <w:rFonts w:ascii="Arial" w:cs="Arial" w:eastAsia="Arial" w:hAnsi="Arial"/>
                <w:color w:val="000000"/>
                <w:sz w:val="21"/>
                <w:szCs w:val="21"/>
              </w:rPr>
              <w:t xml:space="preserve">We assess with moderate confidence that publicly reported PRC defense-industrial data, if authentic, may yield significant enforcement value through organizational network mapping—including entity relationships, procurement dependencies, and financial routing—independent of any weapons-physics content. [TIER 2 — analytic inference; comparative value assessment is author judgment, not sourced finding]</w:t>
            </w:r>
          </w:p>
        </w:tc>
      </w:tr>
    </w:tbl>
    <w:p>
      <w:pPr>
        <w:spacing w:after="200" w:before="0" w:line="276"/>
        <w:jc w:val="left"/>
      </w:pPr>
      <w:r>
        <w:rPr>
          <w:rFonts w:ascii="Arial" w:cs="Arial" w:eastAsia="Arial" w:hAnsi="Arial"/>
          <w:b w:val="false"/>
          <w:bCs w:val="false"/>
          <w:i w:val="false"/>
          <w:iCs w:val="false"/>
          <w:color w:val="000000"/>
          <w:sz w:val="22"/>
          <w:szCs w:val="22"/>
        </w:rPr>
        <w:t xml:space="preserve"/>
      </w:r>
      <w:r>
        <w:br w:type="page"/>
      </w:r>
    </w:p>
    <w:p>
      <w:pPr>
        <w:pStyle w:val="Heading1"/>
        <w:spacing w:after="240" w:before="360"/>
      </w:pPr>
      <w:r>
        <w:rPr>
          <w:rFonts w:ascii="Arial" w:cs="Arial" w:eastAsia="Arial" w:hAnsi="Arial"/>
          <w:b/>
          <w:bCs/>
          <w:color w:val="1B2A4A"/>
          <w:sz w:val="32"/>
          <w:szCs w:val="32"/>
        </w:rPr>
        <w:t xml:space="preserve">Situational Assessment</w:t>
      </w:r>
    </w:p>
    <w:p>
      <w:pPr>
        <w:spacing w:after="200" w:before="0" w:line="276"/>
        <w:jc w:val="left"/>
      </w:pPr>
      <w:r>
        <w:rPr>
          <w:rFonts w:ascii="Arial" w:cs="Arial" w:eastAsia="Arial" w:hAnsi="Arial"/>
          <w:b w:val="false"/>
          <w:bCs w:val="false"/>
          <w:i w:val="false"/>
          <w:iCs w:val="false"/>
          <w:color w:val="000000"/>
          <w:sz w:val="22"/>
          <w:szCs w:val="22"/>
        </w:rPr>
        <w:t xml:space="preserve">This section summarizes publicly reported indicators relevant to enforcement calibration. It does not reproduce or characterize specific breach data. An important methodological caveat applies throughout: publicly available data samples represent a small fraction of the claimed total dataset, and the NSCC Tianjin facility serves academic and civilian research clients in addition to defense-linked entities. Inferences drawn from available samples may not be representative of the full dataset or of broader PRC defense-industrial activity.</w:t>
      </w:r>
    </w:p>
    <w:p>
      <w:pPr>
        <w:pStyle w:val="Heading2"/>
        <w:spacing w:after="180" w:before="280"/>
      </w:pPr>
      <w:r>
        <w:rPr>
          <w:rFonts w:ascii="Arial" w:cs="Arial" w:eastAsia="Arial" w:hAnsi="Arial"/>
          <w:b/>
          <w:bCs/>
          <w:color w:val="1B2A4A"/>
          <w:sz w:val="26"/>
          <w:szCs w:val="26"/>
        </w:rPr>
        <w:t xml:space="preserve">PRC Defense-Industrial Capability Indicators</w:t>
      </w:r>
    </w:p>
    <w:p>
      <w:pPr>
        <w:spacing w:after="200" w:before="0" w:line="276"/>
        <w:jc w:val="left"/>
      </w:pPr>
      <w:r>
        <w:rPr>
          <w:rFonts w:ascii="Arial" w:cs="Arial" w:eastAsia="Arial" w:hAnsi="Arial"/>
          <w:color w:val="000000"/>
          <w:sz w:val="22"/>
          <w:szCs w:val="22"/>
        </w:rPr>
        <w:t xml:space="preserve">Open-source reporting from publicly available cybersecurity and trade-press sources indicates that PRC defense-linked research entities have deployed domestically developed simulation software for activities previously conducted on U.S.-origin commercial platforms, including simulations that appear related to weapons and defense systems.</w:t>
      </w:r>
      <w:r>
        <w:rPr>
          <w:rStyle w:val="FootnoteReference"/>
        </w:rPr>
        <w:footnoteReference w:id="5"/>
      </w:r>
      <w:r>
        <w:rPr>
          <w:rStyle w:val="FootnoteReference"/>
        </w:rPr>
        <w:footnoteReference w:id="6"/>
      </w:r>
      <w:r>
        <w:rPr>
          <w:rStyle w:val="FootnoteReference"/>
        </w:rPr>
        <w:footnoteReference w:id="7"/>
      </w:r>
      <w:r>
        <w:rPr>
          <w:rFonts w:ascii="Arial" w:cs="Arial" w:eastAsia="Arial" w:hAnsi="Arial"/>
          <w:color w:val="000000"/>
          <w:sz w:val="22"/>
          <w:szCs w:val="22"/>
        </w:rPr>
        <w:t xml:space="preserve"> We assess with moderate confidence that this transition reflects a deliberate effort to reduce reliance on foreign-origin tools, likely accelerated by the tightening of U.S. and allied export restrictions since 2022.</w:t>
      </w:r>
      <w:r>
        <w:rPr>
          <w:rStyle w:val="FootnoteReference"/>
        </w:rPr>
        <w:footnoteReference w:id="8"/>
      </w:r>
      <w:r>
        <w:rPr>
          <w:rStyle w:val="FootnoteReference"/>
        </w:rPr>
        <w:footnoteReference w:id="9"/>
      </w:r>
      <w:r>
        <w:rPr>
          <w:rFonts w:ascii="Arial" w:cs="Arial" w:eastAsia="Arial" w:hAnsi="Arial"/>
          <w:color w:val="000000"/>
          <w:sz w:val="22"/>
          <w:szCs w:val="22"/>
        </w:rPr>
        <w:t xml:space="preserve"> [TIER 2 — inferred from open-source news reporting on unverified breach claims; underlying data authenticity has not been independently confirmed.]</w:t>
      </w:r>
    </w:p>
    <w:p>
      <w:pPr>
        <w:spacing w:after="200" w:before="0" w:line="276"/>
        <w:jc w:val="left"/>
      </w:pPr>
      <w:r>
        <w:rPr>
          <w:rFonts w:ascii="Arial" w:cs="Arial" w:eastAsia="Arial" w:hAnsi="Arial"/>
          <w:color w:val="000000"/>
          <w:sz w:val="22"/>
          <w:szCs w:val="22"/>
        </w:rPr>
        <w:t xml:space="preserve">Reported data samples include simulation files depicting defense equipment including mobile rocket artillery systems, naval vessels, and fortified structures.</w:t>
      </w:r>
      <w:r>
        <w:rPr>
          <w:rStyle w:val="FootnoteReference"/>
        </w:rPr>
        <w:footnoteReference w:id="10"/>
      </w:r>
      <w:r>
        <w:rPr>
          <w:rFonts w:ascii="Arial" w:cs="Arial" w:eastAsia="Arial" w:hAnsi="Arial"/>
          <w:color w:val="000000"/>
          <w:sz w:val="22"/>
          <w:szCs w:val="22"/>
        </w:rPr>
        <w:t xml:space="preserve"> This is more consistent with what may be an established defense simulation workflow than with purely exploratory capability development, although open-source reporting does not allow independent validation of the maturity or scale of those workflows, and independent weapons-effects subject-matter expert validation has not been conducted. [TIER 2 — inferred from preliminary open-source review of sample data.] One open-source commentator noted that one of the simulated systems (HIMARS) has been acquired by Taiwan, although the data sample alone does not establish operational planning context or theater-specific targeting intent.</w:t>
      </w:r>
    </w:p>
    <w:p>
      <w:pPr>
        <w:pStyle w:val="Heading2"/>
        <w:spacing w:after="180" w:before="280"/>
      </w:pPr>
      <w:r>
        <w:rPr>
          <w:rFonts w:ascii="Arial" w:cs="Arial" w:eastAsia="Arial" w:hAnsi="Arial"/>
          <w:b/>
          <w:bCs/>
          <w:color w:val="1B2A4A"/>
          <w:sz w:val="26"/>
          <w:szCs w:val="26"/>
        </w:rPr>
        <w:t xml:space="preserve">Procurement Behavior Indicators</w:t>
      </w:r>
    </w:p>
    <w:p>
      <w:pPr>
        <w:spacing w:after="200" w:before="0" w:line="276"/>
        <w:jc w:val="left"/>
      </w:pPr>
      <w:r>
        <w:rPr>
          <w:rFonts w:ascii="Arial" w:cs="Arial" w:eastAsia="Arial" w:hAnsi="Arial"/>
          <w:color w:val="000000"/>
          <w:sz w:val="22"/>
          <w:szCs w:val="22"/>
        </w:rPr>
        <w:t xml:space="preserve">The reported computing infrastructure supporting these workloads is hosted at centralized, government-operated supercomputing facilities serving more than 6,000 client entities across defense, aerospace, and dual-use research sectors.</w:t>
      </w:r>
      <w:r>
        <w:rPr>
          <w:rStyle w:val="FootnoteReference"/>
        </w:rPr>
        <w:footnoteReference w:id="11"/>
      </w:r>
      <w:r>
        <w:rPr>
          <w:rStyle w:val="FootnoteReference"/>
        </w:rPr>
        <w:footnoteReference w:id="12"/>
      </w:r>
      <w:r>
        <w:rPr>
          <w:rFonts w:ascii="Arial" w:cs="Arial" w:eastAsia="Arial" w:hAnsi="Arial"/>
          <w:color w:val="000000"/>
          <w:sz w:val="22"/>
          <w:szCs w:val="22"/>
        </w:rPr>
        <w:t xml:space="preserve"> This centralized architecture may create a comparatively concentrated observation point for procurement analysis, including hardware acquisition, software licensing, maintenance relationships, and user-affiliation patterns.</w:t>
      </w:r>
    </w:p>
    <w:p>
      <w:pPr>
        <w:spacing w:after="200" w:before="0" w:line="276"/>
        <w:jc w:val="left"/>
      </w:pPr>
      <w:r>
        <w:rPr>
          <w:rFonts w:ascii="Arial" w:cs="Arial" w:eastAsia="Arial" w:hAnsi="Arial"/>
          <w:color w:val="000000"/>
          <w:sz w:val="22"/>
          <w:szCs w:val="22"/>
        </w:rPr>
        <w:t xml:space="preserve">We assess with moderate confidence that procurement networks supporting PRC defense-industrial high-performance computing exhibit patterns-of-conduct consistent with sanctions evasion and export-control circumvention behavior (including but not limited to: use of newly incorporated intermediary entities, transshipment through jurisdictions without indigenous demand for controlled items, systematic undervaluation of declared shipment contents, and structuring of transactions below reporting thresholds), including third-country intermediary routing through Singapore, the United Arab Emirates, and Malaysia.</w:t>
      </w:r>
      <w:r>
        <w:rPr>
          <w:rStyle w:val="FootnoteReference"/>
        </w:rPr>
        <w:footnoteReference w:id="13"/>
      </w:r>
      <w:r>
        <w:rPr>
          <w:rFonts w:ascii="Arial" w:cs="Arial" w:eastAsia="Arial" w:hAnsi="Arial"/>
          <w:color w:val="000000"/>
          <w:sz w:val="22"/>
          <w:szCs w:val="22"/>
        </w:rPr>
        <w:t xml:space="preserve"> This assessment is based on publicly reported trade flow analysis and is consistent with prior BIS enforcement actions against similar networks.</w:t>
      </w:r>
    </w:p>
    <w:p>
      <w:pPr>
        <w:pStyle w:val="Heading2"/>
        <w:spacing w:after="180" w:before="280"/>
      </w:pPr>
      <w:r>
        <w:rPr>
          <w:rFonts w:ascii="Arial" w:cs="Arial" w:eastAsia="Arial" w:hAnsi="Arial"/>
          <w:b/>
          <w:bCs/>
          <w:color w:val="1B2A4A"/>
          <w:sz w:val="26"/>
          <w:szCs w:val="26"/>
        </w:rPr>
        <w:t xml:space="preserve">System Vulnerability Indicators</w:t>
      </w:r>
    </w:p>
    <w:p>
      <w:pPr>
        <w:spacing w:after="200" w:before="0" w:line="276"/>
        <w:jc w:val="left"/>
      </w:pPr>
      <w:r>
        <w:rPr>
          <w:rFonts w:ascii="Arial" w:cs="Arial" w:eastAsia="Arial" w:hAnsi="Arial"/>
          <w:color w:val="000000"/>
          <w:sz w:val="22"/>
          <w:szCs w:val="22"/>
        </w:rPr>
        <w:t xml:space="preserve">The reported compromise of PRC defense-industrial computing infrastructure—if authentic—would be consistent with material cybersecurity weaknesses at facilities processing sensitive research data. The reported attack vector (compromised VPN access with sustained multi-month data exfiltration) is consistent with known PRC institutional cybersecurity gaps documented in prior publicly reported incidents, including the 2022 Shanghai police database exposure</w:t>
      </w:r>
      <w:r>
        <w:rPr>
          <w:rStyle w:val="FootnoteReference"/>
        </w:rPr>
        <w:footnoteReference w:id="14"/>
      </w:r>
      <w:r>
        <w:rPr>
          <w:rFonts w:ascii="Arial" w:cs="Arial" w:eastAsia="Arial" w:hAnsi="Arial"/>
          <w:color w:val="000000"/>
          <w:sz w:val="22"/>
          <w:szCs w:val="22"/>
        </w:rPr>
        <w:t xml:space="preserve"> and the 2025 exposure of a large-scale aggregated surveillance database containing personal, financial, and behavioral records of Chinese citizens.</w:t>
      </w:r>
      <w:r>
        <w:rPr>
          <w:rStyle w:val="FootnoteReference"/>
        </w:rPr>
        <w:footnoteReference w:id="15"/>
      </w:r>
      <w:r>
        <w:rPr>
          <w:rFonts w:ascii="Arial" w:cs="Arial" w:eastAsia="Arial" w:hAnsi="Arial"/>
          <w:color w:val="000000"/>
          <w:sz w:val="22"/>
          <w:szCs w:val="22"/>
        </w:rPr>
        <w:t xml:space="preserve"> This pattern of centralized data aggregation with inadequate access controls is structurally analogous to vulnerabilities in U.S. national laboratory and FFRDC computing architectures, warranting parallel defensive review.</w:t>
      </w:r>
    </w:p>
    <w:p>
      <w:pPr>
        <w:spacing w:after="200" w:before="0" w:line="276"/>
        <w:jc w:val="left"/>
      </w:pPr>
      <w:r>
        <w:rPr>
          <w:rFonts w:ascii="Arial" w:cs="Arial" w:eastAsia="Arial" w:hAnsi="Arial"/>
          <w:b w:val="false"/>
          <w:bCs w:val="false"/>
          <w:i w:val="false"/>
          <w:iCs w:val="false"/>
          <w:color w:val="000000"/>
          <w:sz w:val="22"/>
          <w:szCs w:val="22"/>
        </w:rPr>
        <w:t xml:space="preserve"/>
      </w:r>
      <w:r>
        <w:br w:type="page"/>
      </w:r>
    </w:p>
    <w:p>
      <w:pPr>
        <w:pStyle w:val="Heading1"/>
        <w:spacing w:after="240" w:before="360"/>
      </w:pPr>
      <w:r>
        <w:rPr>
          <w:rFonts w:ascii="Arial" w:cs="Arial" w:eastAsia="Arial" w:hAnsi="Arial"/>
          <w:b/>
          <w:bCs/>
          <w:color w:val="1B2A4A"/>
          <w:sz w:val="32"/>
          <w:szCs w:val="32"/>
        </w:rPr>
        <w:t xml:space="preserve">Line of Effort 1: Financial Intelligence Targeting</w:t>
      </w:r>
    </w:p>
    <w:p>
      <w:pPr>
        <w:spacing w:after="200" w:before="0" w:line="276"/>
        <w:jc w:val="left"/>
      </w:pPr>
      <w:r>
        <w:rPr>
          <w:rFonts w:ascii="Arial" w:cs="Arial" w:eastAsia="Arial" w:hAnsi="Arial"/>
          <w:b/>
          <w:bCs/>
          <w:color w:val="000000"/>
          <w:sz w:val="22"/>
          <w:szCs w:val="22"/>
        </w:rPr>
        <w:t xml:space="preserve">Lead Agency: </w:t>
      </w:r>
      <w:r>
        <w:rPr>
          <w:rFonts w:ascii="Arial" w:cs="Arial" w:eastAsia="Arial" w:hAnsi="Arial"/>
          <w:color w:val="000000"/>
          <w:sz w:val="22"/>
          <w:szCs w:val="22"/>
        </w:rPr>
        <w:t xml:space="preserve">Department of the Treasury (FinCEN / OFAC)</w:t>
      </w:r>
    </w:p>
    <w:p>
      <w:pPr>
        <w:spacing w:after="200" w:before="0" w:line="276"/>
        <w:jc w:val="left"/>
      </w:pPr>
      <w:r>
        <w:rPr>
          <w:rFonts w:ascii="Arial" w:cs="Arial" w:eastAsia="Arial" w:hAnsi="Arial"/>
          <w:b/>
          <w:bCs/>
          <w:color w:val="000000"/>
          <w:sz w:val="22"/>
          <w:szCs w:val="22"/>
        </w:rPr>
        <w:t xml:space="preserve">Coordinating Agencies: </w:t>
      </w:r>
      <w:r>
        <w:rPr>
          <w:rFonts w:ascii="Arial" w:cs="Arial" w:eastAsia="Arial" w:hAnsi="Arial"/>
          <w:color w:val="000000"/>
          <w:sz w:val="22"/>
          <w:szCs w:val="22"/>
        </w:rPr>
        <w:t xml:space="preserve">ODNI, Commerce (BIS), State (ISN/T)</w:t>
      </w:r>
    </w:p>
    <w:p>
      <w:pPr>
        <w:pStyle w:val="Heading2"/>
        <w:spacing w:after="180" w:before="280"/>
      </w:pPr>
      <w:r>
        <w:rPr>
          <w:rFonts w:ascii="Arial" w:cs="Arial" w:eastAsia="Arial" w:hAnsi="Arial"/>
          <w:b/>
          <w:bCs/>
          <w:color w:val="1B2A4A"/>
          <w:sz w:val="26"/>
          <w:szCs w:val="26"/>
        </w:rPr>
        <w:t xml:space="preserve">1.1 Current Authority and Gaps</w:t>
      </w:r>
    </w:p>
    <w:p>
      <w:pPr>
        <w:spacing w:after="200" w:before="0" w:line="276"/>
        <w:jc w:val="left"/>
      </w:pPr>
      <w:r>
        <w:rPr>
          <w:rFonts w:ascii="Arial" w:cs="Arial" w:eastAsia="Arial" w:hAnsi="Arial"/>
          <w:color w:val="000000"/>
          <w:sz w:val="22"/>
          <w:szCs w:val="22"/>
        </w:rPr>
        <w:t xml:space="preserve">FinCEN possesses broad authority under USA PATRIOT Act Section 311 (31 U.S.C. §5318A) to impose special measures against foreign jurisdictions, financial institutions, or classes of transactions of primary money laundering concern.</w:t>
      </w:r>
      <w:r>
        <w:rPr>
          <w:rStyle w:val="FootnoteReference"/>
        </w:rPr>
        <w:footnoteReference w:id="16"/>
      </w:r>
      <w:r>
        <w:rPr>
          <w:rStyle w:val="FootnoteReference"/>
        </w:rPr>
        <w:footnoteReference w:id="17"/>
      </w:r>
      <w:r>
        <w:rPr>
          <w:rFonts w:ascii="Arial" w:cs="Arial" w:eastAsia="Arial" w:hAnsi="Arial"/>
          <w:color w:val="000000"/>
          <w:sz w:val="22"/>
          <w:szCs w:val="22"/>
        </w:rPr>
        <w:t xml:space="preserve"> OFAC maintains designation authority under IEEPA as delegated through multiple program-specific Executive Orders, including E.O. 13959 (as amended by E.O. 14032) addressing PRC military-industrial complex companies,</w:t>
      </w:r>
      <w:r>
        <w:rPr>
          <w:rStyle w:val="FootnoteReference"/>
        </w:rPr>
        <w:footnoteReference w:id="18"/>
      </w:r>
      <w:r>
        <w:rPr>
          <w:rStyle w:val="FootnoteReference"/>
        </w:rPr>
        <w:footnoteReference w:id="19"/>
      </w:r>
      <w:r>
        <w:rPr>
          <w:rFonts w:ascii="Arial" w:cs="Arial" w:eastAsia="Arial" w:hAnsi="Arial"/>
          <w:color w:val="000000"/>
          <w:sz w:val="22"/>
          <w:szCs w:val="22"/>
        </w:rPr>
        <w:t xml:space="preserve"> and E.O. 14105 addressing outbound investment in PRC entities engaged in sensitive technology sectors.</w:t>
      </w:r>
      <w:r>
        <w:rPr>
          <w:rStyle w:val="FootnoteReference"/>
        </w:rPr>
        <w:footnoteReference w:id="20"/>
      </w:r>
    </w:p>
    <w:p>
      <w:pPr>
        <w:spacing w:after="200" w:before="0" w:line="276"/>
        <w:jc w:val="left"/>
      </w:pPr>
      <w:r>
        <w:rPr>
          <w:rFonts w:ascii="Arial" w:cs="Arial" w:eastAsia="Arial" w:hAnsi="Arial"/>
          <w:b/>
          <w:bCs/>
          <w:color w:val="000000"/>
          <w:sz w:val="22"/>
          <w:szCs w:val="22"/>
        </w:rPr>
        <w:t xml:space="preserve">Gap identified: </w:t>
      </w:r>
      <w:r>
        <w:rPr>
          <w:rFonts w:ascii="Arial" w:cs="Arial" w:eastAsia="Arial" w:hAnsi="Arial"/>
          <w:color w:val="000000"/>
          <w:sz w:val="22"/>
          <w:szCs w:val="22"/>
        </w:rPr>
        <w:t xml:space="preserve">Section 311 authorities do not appear to have been used against PRC-linked defense-industrial procurement networks with the same frequency or operational urgency seen in selected counter-narcotics and counter-proliferation finance contexts.</w:t>
      </w:r>
      <w:r>
        <w:rPr>
          <w:rStyle w:val="FootnoteReference"/>
        </w:rPr>
        <w:footnoteReference w:id="21"/>
      </w:r>
      <w:r>
        <w:rPr>
          <w:rStyle w:val="FootnoteReference"/>
        </w:rPr>
        <w:footnoteReference w:id="22"/>
      </w:r>
      <w:r>
        <w:rPr>
          <w:rFonts w:ascii="Arial" w:cs="Arial" w:eastAsia="Arial" w:hAnsi="Arial"/>
          <w:color w:val="000000"/>
          <w:sz w:val="22"/>
          <w:szCs w:val="22"/>
        </w:rPr>
        <w:t xml:space="preserve"> Counter-narcotics and counter-proliferation financial intelligence targeting currently operate as separate analytic tracks despite substantial overlap in money service businesses, trade-based laundering methodologies, and third-country intermediary nodes.</w:t>
      </w:r>
      <w:r>
        <w:rPr>
          <w:rFonts w:ascii="Arial" w:cs="Arial" w:eastAsia="Arial" w:hAnsi="Arial"/>
          <w:i/>
          <w:iCs/>
          <w:color w:val="666666"/>
          <w:sz w:val="20"/>
          <w:szCs w:val="20"/>
        </w:rPr>
        <w:t xml:space="preserve"> [Confidence: High]</w:t>
      </w:r>
    </w:p>
    <w:p>
      <w:pPr>
        <w:spacing w:after="200" w:before="0" w:line="276"/>
        <w:jc w:val="left"/>
      </w:pPr>
      <w:r>
        <w:rPr>
          <w:rFonts w:ascii="Arial" w:cs="Arial" w:eastAsia="Arial" w:hAnsi="Arial"/>
          <w:b/>
          <w:bCs/>
          <w:color w:val="000000"/>
          <w:sz w:val="22"/>
          <w:szCs w:val="22"/>
        </w:rPr>
        <w:t xml:space="preserve">Gap identified: </w:t>
      </w:r>
      <w:r>
        <w:rPr>
          <w:rFonts w:ascii="Arial" w:cs="Arial" w:eastAsia="Arial" w:hAnsi="Arial"/>
          <w:color w:val="000000"/>
          <w:sz w:val="22"/>
          <w:szCs w:val="22"/>
        </w:rPr>
        <w:t xml:space="preserve">OFAC designation cycles can extend well beyond the adaptation cycle of targeted procurement networks, creating persistent enforcement lag. In practice, adversary-linked entities may be able to alter ownership, routing, or intermediary structures before designation action is finalized.</w:t>
      </w:r>
      <w:r>
        <w:rPr>
          <w:rFonts w:ascii="Arial" w:cs="Arial" w:eastAsia="Arial" w:hAnsi="Arial"/>
          <w:i/>
          <w:iCs/>
          <w:color w:val="666666"/>
          <w:sz w:val="20"/>
          <w:szCs w:val="20"/>
        </w:rPr>
        <w:t xml:space="preserve"> [Confidence: Moderate]</w:t>
      </w:r>
    </w:p>
    <w:p>
      <w:pPr>
        <w:pStyle w:val="Heading2"/>
        <w:spacing w:after="180" w:before="280"/>
      </w:pPr>
      <w:r>
        <w:rPr>
          <w:rFonts w:ascii="Arial" w:cs="Arial" w:eastAsia="Arial" w:hAnsi="Arial"/>
          <w:b/>
          <w:bCs/>
          <w:color w:val="1B2A4A"/>
          <w:sz w:val="26"/>
          <w:szCs w:val="26"/>
        </w:rPr>
        <w:t xml:space="preserve">1.2 Operational Actions</w:t>
      </w:r>
    </w:p>
    <w:p>
      <w:pPr>
        <w:pStyle w:val="Heading3"/>
        <w:spacing w:after="140" w:before="240"/>
      </w:pPr>
      <w:r>
        <w:rPr>
          <w:rFonts w:ascii="Arial" w:cs="Arial" w:eastAsia="Arial" w:hAnsi="Arial"/>
          <w:b/>
          <w:bCs/>
          <w:color w:val="1B2A4A"/>
          <w:sz w:val="24"/>
          <w:szCs w:val="24"/>
        </w:rPr>
        <w:t xml:space="preserve">Action 1.1: Unified Financial Targeting Cell</w:t>
      </w:r>
    </w:p>
    <w:p>
      <w:pPr>
        <w:spacing w:after="200" w:before="0" w:line="276"/>
        <w:jc w:val="left"/>
      </w:pPr>
      <w:r>
        <w:rPr>
          <w:rFonts w:ascii="Arial" w:cs="Arial" w:eastAsia="Arial" w:hAnsi="Arial"/>
          <w:color w:val="000000"/>
          <w:sz w:val="22"/>
          <w:szCs w:val="22"/>
        </w:rPr>
        <w:t xml:space="preserve">Consider establishing a dedicated interagency financial targeting cell within FinCEN’s Analysis and Liaison Division, staffed with detailees from OFAC, BIS, and ODNI, tasked with producing integrated targeting packages that span counter-narcotics, counter-proliferation, and defense-industrial procurement evasion. Because FinCEN Section 311 findings, OFAC SDN designations, and BIS Entity List additions each require different evidentiary showings and classification handling procedures, the cell should include embedded legal counsel from each participating agency. This cell could operate under existing FinCEN organizational authorities and would not require new statutory authorization.</w:t>
      </w:r>
      <w:r>
        <w:rPr>
          <w:rStyle w:val="FootnoteReference"/>
        </w:rPr>
        <w:footnoteReference w:id="23"/>
      </w:r>
    </w:p>
    <w:p>
      <w:pPr>
        <w:spacing w:after="200" w:before="0" w:line="276"/>
        <w:jc w:val="left"/>
      </w:pPr>
      <w:r>
        <w:rPr>
          <w:rFonts w:ascii="Arial" w:cs="Arial" w:eastAsia="Arial" w:hAnsi="Arial"/>
          <w:b/>
          <w:bCs/>
          <w:color w:val="000000"/>
          <w:sz w:val="22"/>
          <w:szCs w:val="22"/>
        </w:rPr>
        <w:t xml:space="preserve">Authority: </w:t>
      </w:r>
      <w:r>
        <w:rPr>
          <w:rFonts w:ascii="Arial" w:cs="Arial" w:eastAsia="Arial" w:hAnsi="Arial"/>
          <w:color w:val="000000"/>
          <w:sz w:val="22"/>
          <w:szCs w:val="22"/>
        </w:rPr>
        <w:t xml:space="preserve">31 U.S.C. §5311 et seq.; FinCEN organizational charter</w:t>
      </w:r>
    </w:p>
    <w:p>
      <w:pPr>
        <w:spacing w:after="200" w:before="0" w:line="276"/>
        <w:jc w:val="left"/>
      </w:pPr>
      <w:r>
        <w:rPr>
          <w:rFonts w:ascii="Arial" w:cs="Arial" w:eastAsia="Arial" w:hAnsi="Arial"/>
          <w:b/>
          <w:bCs/>
          <w:color w:val="000000"/>
          <w:sz w:val="22"/>
          <w:szCs w:val="22"/>
        </w:rPr>
        <w:t xml:space="preserve">Timeline: </w:t>
      </w:r>
      <w:r>
        <w:rPr>
          <w:rFonts w:ascii="Arial" w:cs="Arial" w:eastAsia="Arial" w:hAnsi="Arial"/>
          <w:color w:val="000000"/>
          <w:sz w:val="22"/>
          <w:szCs w:val="22"/>
        </w:rPr>
        <w:t xml:space="preserve">Charter and initial staffing within 90 days; full operational capability with detailees in place within 180 days</w:t>
      </w:r>
    </w:p>
    <w:p>
      <w:pPr>
        <w:pStyle w:val="Heading3"/>
        <w:spacing w:after="140" w:before="240"/>
      </w:pPr>
      <w:r>
        <w:rPr>
          <w:rFonts w:ascii="Arial" w:cs="Arial" w:eastAsia="Arial" w:hAnsi="Arial"/>
          <w:b/>
          <w:bCs/>
          <w:color w:val="1B2A4A"/>
          <w:sz w:val="24"/>
          <w:szCs w:val="24"/>
        </w:rPr>
        <w:t xml:space="preserve">Action 1.2: Section 311 Finding Against Intermediary Financial Institutions</w:t>
      </w:r>
    </w:p>
    <w:p>
      <w:pPr>
        <w:spacing w:after="200" w:before="0" w:line="276"/>
        <w:jc w:val="left"/>
      </w:pPr>
      <w:r>
        <w:rPr>
          <w:rFonts w:ascii="Arial" w:cs="Arial" w:eastAsia="Arial" w:hAnsi="Arial"/>
          <w:color w:val="000000"/>
          <w:sz w:val="22"/>
          <w:szCs w:val="22"/>
        </w:rPr>
        <w:t xml:space="preserve">Evaluate initiation of rulemaking under Section 311 to impose enhanced due diligence requirements (fifth special measure) on foreign financial institutions assessed to have processed transactions for entities exhibiting patterns-of-conduct consistent with PRC defense-industrial procurement evasion.</w:t>
      </w:r>
      <w:r>
        <w:rPr>
          <w:rStyle w:val="FootnoteReference"/>
        </w:rPr>
        <w:footnoteReference w:id="24"/>
      </w:r>
      <w:r>
        <w:rPr>
          <w:rFonts w:ascii="Arial" w:cs="Arial" w:eastAsia="Arial" w:hAnsi="Arial"/>
          <w:color w:val="000000"/>
          <w:sz w:val="22"/>
          <w:szCs w:val="22"/>
        </w:rPr>
        <w:t xml:space="preserve"> Priority targets would include intermediary banks in jurisdictions identified as transshipment nodes for dual-use technology procurement.</w:t>
      </w:r>
    </w:p>
    <w:p>
      <w:pPr>
        <w:spacing w:after="200" w:before="0" w:line="276"/>
        <w:jc w:val="left"/>
      </w:pPr>
      <w:r>
        <w:rPr>
          <w:rFonts w:ascii="Arial" w:cs="Arial" w:eastAsia="Arial" w:hAnsi="Arial"/>
          <w:b/>
          <w:bCs/>
          <w:color w:val="000000"/>
          <w:sz w:val="22"/>
          <w:szCs w:val="22"/>
        </w:rPr>
        <w:t xml:space="preserve">Authority: </w:t>
      </w:r>
      <w:r>
        <w:rPr>
          <w:rFonts w:ascii="Arial" w:cs="Arial" w:eastAsia="Arial" w:hAnsi="Arial"/>
          <w:color w:val="000000"/>
          <w:sz w:val="22"/>
          <w:szCs w:val="22"/>
        </w:rPr>
        <w:t xml:space="preserve">USA PATRIOT Act §311; 31 U.S.C. §5318A; 31 CFR Part 1010.670</w:t>
      </w:r>
    </w:p>
    <w:p>
      <w:pPr>
        <w:spacing w:after="200" w:before="0" w:line="276"/>
        <w:jc w:val="left"/>
      </w:pPr>
      <w:r>
        <w:rPr>
          <w:rFonts w:ascii="Arial" w:cs="Arial" w:eastAsia="Arial" w:hAnsi="Arial"/>
          <w:b/>
          <w:bCs/>
          <w:color w:val="000000"/>
          <w:sz w:val="22"/>
          <w:szCs w:val="22"/>
        </w:rPr>
        <w:t xml:space="preserve">Timeline: </w:t>
      </w:r>
      <w:r>
        <w:rPr>
          <w:rFonts w:ascii="Arial" w:cs="Arial" w:eastAsia="Arial" w:hAnsi="Arial"/>
          <w:color w:val="000000"/>
          <w:sz w:val="22"/>
          <w:szCs w:val="22"/>
        </w:rPr>
        <w:t xml:space="preserve">NPRM within 180 days; final rule within 360 days</w:t>
      </w:r>
    </w:p>
    <w:p>
      <w:pPr>
        <w:pStyle w:val="Heading3"/>
        <w:spacing w:after="140" w:before="240"/>
      </w:pPr>
      <w:r>
        <w:rPr>
          <w:rFonts w:ascii="Arial" w:cs="Arial" w:eastAsia="Arial" w:hAnsi="Arial"/>
          <w:b/>
          <w:bCs/>
          <w:color w:val="1B2A4A"/>
          <w:sz w:val="24"/>
          <w:szCs w:val="24"/>
        </w:rPr>
        <w:t xml:space="preserve">Action 1.3: Accelerated SDN Designation Pipeline</w:t>
      </w:r>
    </w:p>
    <w:p>
      <w:pPr>
        <w:spacing w:after="200" w:before="0" w:line="276"/>
        <w:jc w:val="left"/>
      </w:pPr>
      <w:r>
        <w:rPr>
          <w:rFonts w:ascii="Arial" w:cs="Arial" w:eastAsia="Arial" w:hAnsi="Arial"/>
          <w:color w:val="000000"/>
          <w:sz w:val="22"/>
          <w:szCs w:val="22"/>
        </w:rPr>
        <w:t xml:space="preserve">Recommend that OFAC establish an expedited designation track for entities identified through integrated financial intelligence (Action 1.1), with the objective of reducing cycle time from identification to SDN publication for entities meeting evidentiary thresholds.</w:t>
      </w:r>
      <w:r>
        <w:rPr>
          <w:rStyle w:val="FootnoteReference"/>
        </w:rPr>
        <w:footnoteReference w:id="25"/>
      </w:r>
      <w:r>
        <w:rPr>
          <w:rFonts w:ascii="Arial" w:cs="Arial" w:eastAsia="Arial" w:hAnsi="Arial"/>
          <w:color w:val="000000"/>
          <w:sz w:val="22"/>
          <w:szCs w:val="22"/>
        </w:rPr>
        <w:t xml:space="preserve"> This would require prioritization within existing OFAC legal review capacity, not new authority. Any acceleration of designation timelines should be paired with corresponding acceleration of pre-designation notice and post-designation administrative review procedures to avoid the process deficits identified in applicable due process jurisprudence.</w:t>
      </w:r>
    </w:p>
    <w:p>
      <w:pPr>
        <w:spacing w:after="200" w:before="0" w:line="276"/>
        <w:jc w:val="left"/>
      </w:pPr>
      <w:r>
        <w:rPr>
          <w:rFonts w:ascii="Arial" w:cs="Arial" w:eastAsia="Arial" w:hAnsi="Arial"/>
          <w:b/>
          <w:bCs/>
          <w:color w:val="000000"/>
          <w:sz w:val="22"/>
          <w:szCs w:val="22"/>
        </w:rPr>
        <w:t xml:space="preserve">Authority: </w:t>
      </w:r>
      <w:r>
        <w:rPr>
          <w:rFonts w:ascii="Arial" w:cs="Arial" w:eastAsia="Arial" w:hAnsi="Arial"/>
          <w:color w:val="000000"/>
          <w:sz w:val="22"/>
          <w:szCs w:val="22"/>
        </w:rPr>
        <w:t xml:space="preserve">IEEPA; relevant program-specific E.O.s (E.O. 13959, E.O. 14105)</w:t>
      </w:r>
    </w:p>
    <w:p>
      <w:pPr>
        <w:spacing w:after="200" w:before="0" w:line="276"/>
        <w:jc w:val="left"/>
      </w:pPr>
      <w:r>
        <w:rPr>
          <w:rFonts w:ascii="Arial" w:cs="Arial" w:eastAsia="Arial" w:hAnsi="Arial"/>
          <w:b/>
          <w:bCs/>
          <w:color w:val="000000"/>
          <w:sz w:val="22"/>
          <w:szCs w:val="22"/>
        </w:rPr>
        <w:t xml:space="preserve">Timeline: </w:t>
      </w:r>
      <w:r>
        <w:rPr>
          <w:rFonts w:ascii="Arial" w:cs="Arial" w:eastAsia="Arial" w:hAnsi="Arial"/>
          <w:color w:val="000000"/>
          <w:sz w:val="22"/>
          <w:szCs w:val="22"/>
        </w:rPr>
        <w:t xml:space="preserve">Process redesign within 90 days; first expedited designations within 180 days</w:t>
      </w:r>
    </w:p>
    <w:p>
      <w:pPr>
        <w:pStyle w:val="Heading3"/>
        <w:spacing w:after="140" w:before="240"/>
      </w:pPr>
      <w:r>
        <w:rPr>
          <w:rFonts w:ascii="Arial" w:cs="Arial" w:eastAsia="Arial" w:hAnsi="Arial"/>
          <w:b/>
          <w:bCs/>
          <w:color w:val="1B2A4A"/>
          <w:sz w:val="24"/>
          <w:szCs w:val="24"/>
        </w:rPr>
        <w:t xml:space="preserve">Action 1.4: SAR Advisory on Defense-Industrial Procurement Indicators</w:t>
      </w:r>
    </w:p>
    <w:p>
      <w:pPr>
        <w:spacing w:after="200" w:before="0" w:line="276"/>
        <w:jc w:val="left"/>
      </w:pPr>
      <w:r>
        <w:rPr>
          <w:rFonts w:ascii="Arial" w:cs="Arial" w:eastAsia="Arial" w:hAnsi="Arial"/>
          <w:b w:val="false"/>
          <w:bCs w:val="false"/>
          <w:i w:val="false"/>
          <w:iCs w:val="false"/>
          <w:color w:val="000000"/>
          <w:sz w:val="22"/>
          <w:szCs w:val="22"/>
        </w:rPr>
        <w:t xml:space="preserve">Issue a FinCEN Advisory to U.S. financial institutions identifying red flag indicators associated with PRC-linked defense-industrial procurement and diversion networks, including transactions indicative of procurement routing behavior through third-country intermediaries, anomalous trade finance patterns in dual-use technology sectors, and shell company structures exhibiting characteristics consistent with evasion of existing sanctions programs.</w:t>
      </w:r>
    </w:p>
    <w:p>
      <w:pPr>
        <w:spacing w:after="200" w:before="0" w:line="276"/>
        <w:jc w:val="left"/>
      </w:pPr>
      <w:r>
        <w:rPr>
          <w:rFonts w:ascii="Arial" w:cs="Arial" w:eastAsia="Arial" w:hAnsi="Arial"/>
          <w:b/>
          <w:bCs/>
          <w:color w:val="000000"/>
          <w:sz w:val="22"/>
          <w:szCs w:val="22"/>
        </w:rPr>
        <w:t xml:space="preserve">Authority: </w:t>
      </w:r>
      <w:r>
        <w:rPr>
          <w:rFonts w:ascii="Arial" w:cs="Arial" w:eastAsia="Arial" w:hAnsi="Arial"/>
          <w:color w:val="000000"/>
          <w:sz w:val="22"/>
          <w:szCs w:val="22"/>
        </w:rPr>
        <w:t xml:space="preserve">31 U.S.C. §5318(g)(8); FinCEN Advisory authority</w:t>
      </w:r>
    </w:p>
    <w:p>
      <w:pPr>
        <w:spacing w:after="200" w:before="0" w:line="276"/>
        <w:jc w:val="left"/>
      </w:pPr>
      <w:r>
        <w:rPr>
          <w:rFonts w:ascii="Arial" w:cs="Arial" w:eastAsia="Arial" w:hAnsi="Arial"/>
          <w:b/>
          <w:bCs/>
          <w:color w:val="000000"/>
          <w:sz w:val="22"/>
          <w:szCs w:val="22"/>
        </w:rPr>
        <w:t xml:space="preserve">Timeline: </w:t>
      </w:r>
      <w:r>
        <w:rPr>
          <w:rFonts w:ascii="Arial" w:cs="Arial" w:eastAsia="Arial" w:hAnsi="Arial"/>
          <w:color w:val="000000"/>
          <w:sz w:val="22"/>
          <w:szCs w:val="22"/>
        </w:rPr>
        <w:t xml:space="preserve">Publication within 90 days</w:t>
      </w:r>
    </w:p>
    <w:p>
      <w:pPr>
        <w:pStyle w:val="Heading2"/>
        <w:spacing w:after="180" w:before="280"/>
      </w:pPr>
      <w:r>
        <w:rPr>
          <w:rFonts w:ascii="Arial" w:cs="Arial" w:eastAsia="Arial" w:hAnsi="Arial"/>
          <w:b/>
          <w:bCs/>
          <w:color w:val="1B2A4A"/>
          <w:sz w:val="26"/>
          <w:szCs w:val="26"/>
        </w:rPr>
        <w:t xml:space="preserve">1.3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2200"/>
        <w:gridCol w:w="1960"/>
      </w:tblGrid>
      <w:tr>
        <w:tc>
          <w:tcPr>
            <w:tcW w:type="dxa" w:w="2200"/>
            <w:tcBorders>
              <w:top w:val="single" w:color="AAAAAA" w:sz="1"/>
              <w:left w:val="single" w:color="AAAAAA" w:sz="1"/>
              <w:bottom w:val="single" w:color="AAAAAA" w:sz="1"/>
              <w:right w:val="single" w:color="AAAAAA" w:sz="1"/>
            </w:tcBorders>
            <w:shd w:fill="D5DDE5" w:val="clear"/>
            <w:tcMar>
              <w:top w:type="dxa" w:w="60"/>
              <w:left w:type="dxa" w:w="100"/>
              <w:bottom w:type="dxa" w:w="60"/>
              <w:right w:type="dxa" w:w="100"/>
            </w:tcMar>
          </w:tcPr>
          <w:p>
            <w:pPr>
              <w:spacing w:after="40"/>
            </w:pPr>
            <w:r>
              <w:rPr>
                <w:rFonts w:ascii="Arial" w:cs="Arial" w:eastAsia="Arial" w:hAnsi="Arial"/>
                <w:b/>
                <w:bCs/>
                <w:color w:val="000000"/>
                <w:sz w:val="20"/>
                <w:szCs w:val="20"/>
              </w:rPr>
              <w:t xml:space="preserve">Metric</w:t>
            </w:r>
          </w:p>
        </w:tc>
        <w:tc>
          <w:tcPr>
            <w:tcW w:type="dxa" w:w="3000"/>
            <w:tcBorders>
              <w:top w:val="single" w:color="AAAAAA" w:sz="1"/>
              <w:left w:val="single" w:color="AAAAAA" w:sz="1"/>
              <w:bottom w:val="single" w:color="AAAAAA" w:sz="1"/>
              <w:right w:val="single" w:color="AAAAAA" w:sz="1"/>
            </w:tcBorders>
            <w:shd w:fill="D5DDE5" w:val="clear"/>
            <w:tcMar>
              <w:top w:type="dxa" w:w="60"/>
              <w:left w:type="dxa" w:w="100"/>
              <w:bottom w:type="dxa" w:w="60"/>
              <w:right w:type="dxa" w:w="100"/>
            </w:tcMar>
          </w:tcPr>
          <w:p>
            <w:pPr>
              <w:spacing w:after="40"/>
            </w:pPr>
            <w:r>
              <w:rPr>
                <w:rFonts w:ascii="Arial" w:cs="Arial" w:eastAsia="Arial" w:hAnsi="Arial"/>
                <w:b/>
                <w:bCs/>
                <w:color w:val="000000"/>
                <w:sz w:val="20"/>
                <w:szCs w:val="20"/>
              </w:rPr>
              <w:t xml:space="preserve">Definition</w:t>
            </w:r>
          </w:p>
        </w:tc>
        <w:tc>
          <w:tcPr>
            <w:tcW w:type="dxa" w:w="2200"/>
            <w:tcBorders>
              <w:top w:val="single" w:color="AAAAAA" w:sz="1"/>
              <w:left w:val="single" w:color="AAAAAA" w:sz="1"/>
              <w:bottom w:val="single" w:color="AAAAAA" w:sz="1"/>
              <w:right w:val="single" w:color="AAAAAA" w:sz="1"/>
            </w:tcBorders>
            <w:shd w:fill="D5DDE5" w:val="clear"/>
            <w:tcMar>
              <w:top w:type="dxa" w:w="60"/>
              <w:left w:type="dxa" w:w="100"/>
              <w:bottom w:type="dxa" w:w="60"/>
              <w:right w:type="dxa" w:w="100"/>
            </w:tcMar>
          </w:tcPr>
          <w:p>
            <w:pPr>
              <w:spacing w:after="40"/>
            </w:pPr>
            <w:r>
              <w:rPr>
                <w:rFonts w:ascii="Arial" w:cs="Arial" w:eastAsia="Arial" w:hAnsi="Arial"/>
                <w:b/>
                <w:bCs/>
                <w:color w:val="000000"/>
                <w:sz w:val="20"/>
                <w:szCs w:val="20"/>
              </w:rPr>
              <w:t xml:space="preserve">Data Source</w:t>
            </w:r>
          </w:p>
        </w:tc>
        <w:tc>
          <w:tcPr>
            <w:tcW w:type="dxa" w:w="1960"/>
            <w:tcBorders>
              <w:top w:val="single" w:color="AAAAAA" w:sz="1"/>
              <w:left w:val="single" w:color="AAAAAA" w:sz="1"/>
              <w:bottom w:val="single" w:color="AAAAAA" w:sz="1"/>
              <w:right w:val="single" w:color="AAAAAA" w:sz="1"/>
            </w:tcBorders>
            <w:shd w:fill="D5DDE5" w:val="clear"/>
            <w:tcMar>
              <w:top w:type="dxa" w:w="60"/>
              <w:left w:type="dxa" w:w="100"/>
              <w:bottom w:type="dxa" w:w="60"/>
              <w:right w:type="dxa" w:w="100"/>
            </w:tcMar>
          </w:tcPr>
          <w:p>
            <w:pPr>
              <w:spacing w:after="40"/>
            </w:pPr>
            <w:r>
              <w:rPr>
                <w:rFonts w:ascii="Arial" w:cs="Arial" w:eastAsia="Arial" w:hAnsi="Arial"/>
                <w:b/>
                <w:bCs/>
                <w:color w:val="000000"/>
                <w:sz w:val="20"/>
                <w:szCs w:val="20"/>
              </w:rPr>
              <w:t xml:space="preserve">Time Horizon</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Designation latency</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Days from entity identification to SDN publication</w:t>
            </w:r>
          </w:p>
        </w:tc>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OFAC internal tracking</w:t>
            </w:r>
          </w:p>
        </w:tc>
        <w:tc>
          <w:tcPr>
            <w:tcW w:type="dxa" w:w="19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Quarterly</w:t>
            </w:r>
          </w:p>
        </w:tc>
      </w:tr>
      <w:tr>
        <w:tc>
          <w:tcPr>
            <w:tcW w:type="dxa" w:w="2200"/>
            <w:tcBorders>
              <w:top w:val="single" w:color="AAAAAA" w:sz="1"/>
              <w:left w:val="single" w:color="AAAAAA" w:sz="1"/>
              <w:bottom w:val="single" w:color="AAAAAA" w:sz="1"/>
              <w:right w:val="single" w:color="AAAAAA" w:sz="1"/>
            </w:tcBorders>
            <w:shd w:fill="F2F5F7" w:val="clear"/>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SAR velocity</w:t>
            </w:r>
          </w:p>
        </w:tc>
        <w:tc>
          <w:tcPr>
            <w:tcW w:type="dxa" w:w="3000"/>
            <w:tcBorders>
              <w:top w:val="single" w:color="AAAAAA" w:sz="1"/>
              <w:left w:val="single" w:color="AAAAAA" w:sz="1"/>
              <w:bottom w:val="single" w:color="AAAAAA" w:sz="1"/>
              <w:right w:val="single" w:color="AAAAAA" w:sz="1"/>
            </w:tcBorders>
            <w:shd w:fill="F2F5F7" w:val="clear"/>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Volume of defense-industrial procurement SARs filed per quarter post-advisory</w:t>
            </w:r>
          </w:p>
        </w:tc>
        <w:tc>
          <w:tcPr>
            <w:tcW w:type="dxa" w:w="2200"/>
            <w:tcBorders>
              <w:top w:val="single" w:color="AAAAAA" w:sz="1"/>
              <w:left w:val="single" w:color="AAAAAA" w:sz="1"/>
              <w:bottom w:val="single" w:color="AAAAAA" w:sz="1"/>
              <w:right w:val="single" w:color="AAAAAA" w:sz="1"/>
            </w:tcBorders>
            <w:shd w:fill="F2F5F7" w:val="clear"/>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FinCEN BSA database</w:t>
            </w:r>
          </w:p>
        </w:tc>
        <w:tc>
          <w:tcPr>
            <w:tcW w:type="dxa" w:w="1960"/>
            <w:tcBorders>
              <w:top w:val="single" w:color="AAAAAA" w:sz="1"/>
              <w:left w:val="single" w:color="AAAAAA" w:sz="1"/>
              <w:bottom w:val="single" w:color="AAAAAA" w:sz="1"/>
              <w:right w:val="single" w:color="AAAAAA" w:sz="1"/>
            </w:tcBorders>
            <w:shd w:fill="F2F5F7" w:val="clear"/>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Quarterly</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Rerouting frequency</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Observed changes in transaction routing by designated or flagged entities</w:t>
            </w:r>
          </w:p>
        </w:tc>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FinCEN / ODNI analytic product</w:t>
            </w:r>
          </w:p>
        </w:tc>
        <w:tc>
          <w:tcPr>
            <w:tcW w:type="dxa" w:w="19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Semi-annual</w:t>
            </w:r>
          </w:p>
        </w:tc>
      </w:tr>
      <w:tr>
        <w:tc>
          <w:tcPr>
            <w:tcW w:type="dxa" w:w="2200"/>
            <w:tcBorders>
              <w:top w:val="single" w:color="AAAAAA" w:sz="1"/>
              <w:left w:val="single" w:color="AAAAAA" w:sz="1"/>
              <w:bottom w:val="single" w:color="AAAAAA" w:sz="1"/>
              <w:right w:val="single" w:color="AAAAAA" w:sz="1"/>
            </w:tcBorders>
            <w:shd w:fill="F2F5F7" w:val="clear"/>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Targeting cell output</w:t>
            </w:r>
          </w:p>
        </w:tc>
        <w:tc>
          <w:tcPr>
            <w:tcW w:type="dxa" w:w="3000"/>
            <w:tcBorders>
              <w:top w:val="single" w:color="AAAAAA" w:sz="1"/>
              <w:left w:val="single" w:color="AAAAAA" w:sz="1"/>
              <w:bottom w:val="single" w:color="AAAAAA" w:sz="1"/>
              <w:right w:val="single" w:color="AAAAAA" w:sz="1"/>
            </w:tcBorders>
            <w:shd w:fill="F2F5F7" w:val="clear"/>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Integrated targeting packages produced per quarter</w:t>
            </w:r>
          </w:p>
        </w:tc>
        <w:tc>
          <w:tcPr>
            <w:tcW w:type="dxa" w:w="2200"/>
            <w:tcBorders>
              <w:top w:val="single" w:color="AAAAAA" w:sz="1"/>
              <w:left w:val="single" w:color="AAAAAA" w:sz="1"/>
              <w:bottom w:val="single" w:color="AAAAAA" w:sz="1"/>
              <w:right w:val="single" w:color="AAAAAA" w:sz="1"/>
            </w:tcBorders>
            <w:shd w:fill="F2F5F7" w:val="clear"/>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Interagency cell reporting</w:t>
            </w:r>
          </w:p>
        </w:tc>
        <w:tc>
          <w:tcPr>
            <w:tcW w:type="dxa" w:w="1960"/>
            <w:tcBorders>
              <w:top w:val="single" w:color="AAAAAA" w:sz="1"/>
              <w:left w:val="single" w:color="AAAAAA" w:sz="1"/>
              <w:bottom w:val="single" w:color="AAAAAA" w:sz="1"/>
              <w:right w:val="single" w:color="AAAAAA" w:sz="1"/>
            </w:tcBorders>
            <w:shd w:fill="F2F5F7" w:val="clear"/>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Quarterly</w:t>
            </w:r>
          </w:p>
        </w:tc>
      </w:tr>
    </w:tbl>
    <w:p>
      <w:pPr>
        <w:spacing w:after="200" w:before="0" w:line="276"/>
        <w:jc w:val="left"/>
      </w:pPr>
      <w:r>
        <w:rPr>
          <w:rFonts w:ascii="Arial" w:cs="Arial" w:eastAsia="Arial" w:hAnsi="Arial"/>
          <w:b w:val="false"/>
          <w:bCs w:val="false"/>
          <w:i w:val="false"/>
          <w:iCs w:val="false"/>
          <w:color w:val="000000"/>
          <w:sz w:val="22"/>
          <w:szCs w:val="22"/>
        </w:rPr>
        <w:t xml:space="preserve"/>
      </w:r>
      <w:r>
        <w:br w:type="page"/>
      </w:r>
    </w:p>
    <w:p>
      <w:pPr>
        <w:pStyle w:val="Heading1"/>
        <w:spacing w:after="240" w:before="360"/>
      </w:pPr>
      <w:r>
        <w:rPr>
          <w:rFonts w:ascii="Arial" w:cs="Arial" w:eastAsia="Arial" w:hAnsi="Arial"/>
          <w:b/>
          <w:bCs/>
          <w:color w:val="1B2A4A"/>
          <w:sz w:val="32"/>
          <w:szCs w:val="32"/>
        </w:rPr>
        <w:t xml:space="preserve">Line of Effort 2: Export Control Recalibration</w:t>
      </w:r>
    </w:p>
    <w:p>
      <w:pPr>
        <w:spacing w:after="200" w:before="0" w:line="276"/>
        <w:jc w:val="left"/>
      </w:pPr>
      <w:r>
        <w:rPr>
          <w:rFonts w:ascii="Arial" w:cs="Arial" w:eastAsia="Arial" w:hAnsi="Arial"/>
          <w:b/>
          <w:bCs/>
          <w:color w:val="000000"/>
          <w:sz w:val="22"/>
          <w:szCs w:val="22"/>
        </w:rPr>
        <w:t xml:space="preserve">Lead Agency: </w:t>
      </w:r>
      <w:r>
        <w:rPr>
          <w:rFonts w:ascii="Arial" w:cs="Arial" w:eastAsia="Arial" w:hAnsi="Arial"/>
          <w:color w:val="000000"/>
          <w:sz w:val="22"/>
          <w:szCs w:val="22"/>
        </w:rPr>
        <w:t xml:space="preserve">Department of Commerce, Bureau of Industry and Security (BIS)</w:t>
      </w:r>
    </w:p>
    <w:p>
      <w:pPr>
        <w:spacing w:after="200" w:before="0" w:line="276"/>
        <w:jc w:val="left"/>
      </w:pPr>
      <w:r>
        <w:rPr>
          <w:rFonts w:ascii="Arial" w:cs="Arial" w:eastAsia="Arial" w:hAnsi="Arial"/>
          <w:b/>
          <w:bCs/>
          <w:color w:val="000000"/>
          <w:sz w:val="22"/>
          <w:szCs w:val="22"/>
        </w:rPr>
        <w:t xml:space="preserve">Coordinating Agencies: </w:t>
      </w:r>
      <w:r>
        <w:rPr>
          <w:rFonts w:ascii="Arial" w:cs="Arial" w:eastAsia="Arial" w:hAnsi="Arial"/>
          <w:color w:val="000000"/>
          <w:sz w:val="22"/>
          <w:szCs w:val="22"/>
        </w:rPr>
        <w:t xml:space="preserve">State (DDTC), Treasury (OFAC), DoD (DTSA)</w:t>
      </w:r>
    </w:p>
    <w:p>
      <w:pPr>
        <w:pStyle w:val="Heading2"/>
        <w:spacing w:after="180" w:before="280"/>
      </w:pPr>
      <w:r>
        <w:rPr>
          <w:rFonts w:ascii="Arial" w:cs="Arial" w:eastAsia="Arial" w:hAnsi="Arial"/>
          <w:b/>
          <w:bCs/>
          <w:color w:val="1B2A4A"/>
          <w:sz w:val="26"/>
          <w:szCs w:val="26"/>
        </w:rPr>
        <w:t xml:space="preserve">2.1 Current Authority and Gaps</w:t>
      </w:r>
    </w:p>
    <w:p>
      <w:pPr>
        <w:spacing w:after="200" w:before="0" w:line="276"/>
        <w:jc w:val="left"/>
      </w:pPr>
      <w:r>
        <w:rPr>
          <w:rFonts w:ascii="Arial" w:cs="Arial" w:eastAsia="Arial" w:hAnsi="Arial"/>
          <w:color w:val="000000"/>
          <w:sz w:val="22"/>
          <w:szCs w:val="22"/>
        </w:rPr>
        <w:t xml:space="preserve">BIS administers the Export Administration Regulations (15 CFR Parts 730–774), including the Entity List (§744 Supplement No. 4), the Military End-User (MEU) List (§744.21), and the Unverified List (§744 Supplement No. 6).</w:t>
      </w:r>
      <w:r>
        <w:rPr>
          <w:rStyle w:val="FootnoteReference"/>
        </w:rPr>
        <w:footnoteReference w:id="26"/>
      </w:r>
      <w:r>
        <w:rPr>
          <w:rFonts w:ascii="Arial" w:cs="Arial" w:eastAsia="Arial" w:hAnsi="Arial"/>
          <w:color w:val="000000"/>
          <w:sz w:val="22"/>
          <w:szCs w:val="22"/>
        </w:rPr>
        <w:t xml:space="preserve"> Recent amendments have expanded controls on advanced computing semiconductors, semiconductor manufacturing equipment, and supercomputer-related items to PRC end-users.</w:t>
      </w:r>
      <w:r>
        <w:rPr>
          <w:rStyle w:val="FootnoteReference"/>
        </w:rPr>
        <w:footnoteReference w:id="27"/>
      </w:r>
      <w:r>
        <w:rPr>
          <w:rStyle w:val="FootnoteReference"/>
        </w:rPr>
        <w:footnoteReference w:id="28"/>
      </w:r>
      <w:r>
        <w:rPr>
          <w:rStyle w:val="FootnoteReference"/>
        </w:rPr>
        <w:footnoteReference w:id="29"/>
      </w:r>
    </w:p>
    <w:p>
      <w:pPr>
        <w:spacing w:after="200" w:before="0" w:line="276"/>
        <w:jc w:val="left"/>
      </w:pPr>
      <w:r>
        <w:rPr>
          <w:rFonts w:ascii="Arial" w:cs="Arial" w:eastAsia="Arial" w:hAnsi="Arial"/>
          <w:b/>
          <w:bCs/>
          <w:color w:val="000000"/>
          <w:sz w:val="22"/>
          <w:szCs w:val="22"/>
        </w:rPr>
        <w:t xml:space="preserve">Gap identified: </w:t>
      </w:r>
      <w:r>
        <w:rPr>
          <w:rFonts w:ascii="Arial" w:cs="Arial" w:eastAsia="Arial" w:hAnsi="Arial"/>
          <w:color w:val="000000"/>
          <w:sz w:val="22"/>
          <w:szCs w:val="22"/>
        </w:rPr>
        <w:t xml:space="preserve">Entity List designations remain predominantly entity-specific, creating a recurring substitution dynamic in which front companies and replacement intermediaries can emerge faster than designation cycles can close them. The current Entity List includes hundreds of PRC-linked entries; open-source reporting on the NSCC Tianjin facility alone indicates more than 6,000 client entities, the majority of which have not been individually assessed for export control purposes.</w:t>
      </w:r>
      <w:r>
        <w:rPr>
          <w:rStyle w:val="FootnoteReference"/>
        </w:rPr>
        <w:footnoteReference w:id="30"/>
      </w:r>
      <w:r>
        <w:rPr>
          <w:rStyle w:val="FootnoteReference"/>
        </w:rPr>
        <w:footnoteReference w:id="31"/>
      </w:r>
      <w:r>
        <w:rPr>
          <w:rFonts w:ascii="Arial" w:cs="Arial" w:eastAsia="Arial" w:hAnsi="Arial"/>
          <w:i/>
          <w:iCs/>
          <w:color w:val="666666"/>
          <w:sz w:val="20"/>
          <w:szCs w:val="20"/>
        </w:rPr>
        <w:t xml:space="preserve"> [Confidence: High]</w:t>
      </w:r>
    </w:p>
    <w:p>
      <w:pPr>
        <w:spacing w:after="200" w:before="0" w:line="276"/>
        <w:jc w:val="left"/>
      </w:pPr>
      <w:r>
        <w:rPr>
          <w:rFonts w:ascii="Arial" w:cs="Arial" w:eastAsia="Arial" w:hAnsi="Arial"/>
          <w:b/>
          <w:bCs/>
          <w:color w:val="000000"/>
          <w:sz w:val="22"/>
          <w:szCs w:val="22"/>
        </w:rPr>
        <w:t xml:space="preserve">Gap identified: </w:t>
      </w:r>
      <w:r>
        <w:rPr>
          <w:rFonts w:ascii="Arial" w:cs="Arial" w:eastAsia="Arial" w:hAnsi="Arial"/>
          <w:color w:val="000000"/>
          <w:sz w:val="22"/>
          <w:szCs w:val="22"/>
        </w:rPr>
        <w:t xml:space="preserve">Simulation software, equation-of-state libraries, and materials databases used in weapons-effects modeling do not appear to be consistently or comprehensively captured under current ECCN classifications. We assess with moderate confidence that indigenous PRC substitution has followed a foreseeable adaptation pathway that current control architecture did not fully anticipate or constrain.</w:t>
      </w:r>
      <w:r>
        <w:rPr>
          <w:rFonts w:ascii="Arial" w:cs="Arial" w:eastAsia="Arial" w:hAnsi="Arial"/>
          <w:i/>
          <w:iCs/>
          <w:color w:val="666666"/>
          <w:sz w:val="20"/>
          <w:szCs w:val="20"/>
        </w:rPr>
        <w:t xml:space="preserve"> [Confidence: Moderate]</w:t>
      </w:r>
    </w:p>
    <w:p>
      <w:pPr>
        <w:spacing w:after="200" w:before="0" w:line="276"/>
        <w:jc w:val="left"/>
      </w:pPr>
      <w:r>
        <w:rPr>
          <w:rFonts w:ascii="Arial" w:cs="Arial" w:eastAsia="Arial" w:hAnsi="Arial"/>
          <w:b/>
          <w:bCs/>
          <w:color w:val="000000"/>
          <w:sz w:val="22"/>
          <w:szCs w:val="22"/>
        </w:rPr>
        <w:t xml:space="preserve">Gap identified: </w:t>
      </w:r>
      <w:r>
        <w:rPr>
          <w:rFonts w:ascii="Arial" w:cs="Arial" w:eastAsia="Arial" w:hAnsi="Arial"/>
          <w:color w:val="000000"/>
          <w:sz w:val="22"/>
          <w:szCs w:val="22"/>
        </w:rPr>
        <w:t xml:space="preserve">Civil monetary penalties for EAR violations (15 CFR §764.3(a)(1)) are capped at the greater of $300,000 (subject to periodic inflation adjustment under the Federal Civil Penalties Inflation Adjustment Act) or twice the transaction value.</w:t>
      </w:r>
      <w:r>
        <w:rPr>
          <w:rStyle w:val="FootnoteReference"/>
        </w:rPr>
        <w:footnoteReference w:id="32"/>
      </w:r>
      <w:r>
        <w:rPr>
          <w:rFonts w:ascii="Arial" w:cs="Arial" w:eastAsia="Arial" w:hAnsi="Arial"/>
          <w:color w:val="000000"/>
          <w:sz w:val="22"/>
          <w:szCs w:val="22"/>
        </w:rPr>
        <w:t xml:space="preserve"> For state-backed or strategically supported enterprises, existing civil monetary penalties may be insufficient to alter behavior when compared with the strategic value of successful acquisition. Debarment from U.S. government contracts—a significantly more consequential penalty for allied-nation firms—is underutilized as an enforcement mechanism.</w:t>
      </w:r>
      <w:r>
        <w:rPr>
          <w:rStyle w:val="FootnoteReference"/>
        </w:rPr>
        <w:footnoteReference w:id="33"/>
      </w:r>
      <w:r>
        <w:rPr>
          <w:rFonts w:ascii="Arial" w:cs="Arial" w:eastAsia="Arial" w:hAnsi="Arial"/>
          <w:i/>
          <w:iCs/>
          <w:color w:val="666666"/>
          <w:sz w:val="20"/>
          <w:szCs w:val="20"/>
        </w:rPr>
        <w:t xml:space="preserve"> [Confidence: High]</w:t>
      </w:r>
    </w:p>
    <w:p>
      <w:pPr>
        <w:pStyle w:val="Heading2"/>
        <w:spacing w:after="180" w:before="280"/>
      </w:pPr>
      <w:r>
        <w:rPr>
          <w:rFonts w:ascii="Arial" w:cs="Arial" w:eastAsia="Arial" w:hAnsi="Arial"/>
          <w:b/>
          <w:bCs/>
          <w:color w:val="1B2A4A"/>
          <w:sz w:val="26"/>
          <w:szCs w:val="26"/>
        </w:rPr>
        <w:t xml:space="preserve">2.2 Operational Actions</w:t>
      </w:r>
    </w:p>
    <w:p>
      <w:pPr>
        <w:pStyle w:val="Heading3"/>
        <w:spacing w:after="140" w:before="240"/>
      </w:pPr>
      <w:r>
        <w:rPr>
          <w:rFonts w:ascii="Arial" w:cs="Arial" w:eastAsia="Arial" w:hAnsi="Arial"/>
          <w:b/>
          <w:bCs/>
          <w:color w:val="1B2A4A"/>
          <w:sz w:val="24"/>
          <w:szCs w:val="24"/>
        </w:rPr>
        <w:t xml:space="preserve">Action 2.1: Sector-Oriented End-Use Control Approach</w:t>
      </w:r>
    </w:p>
    <w:p>
      <w:pPr>
        <w:spacing w:after="200" w:before="0" w:line="276"/>
        <w:jc w:val="left"/>
      </w:pPr>
      <w:r>
        <w:rPr>
          <w:rFonts w:ascii="Arial" w:cs="Arial" w:eastAsia="Arial" w:hAnsi="Arial"/>
          <w:color w:val="000000"/>
          <w:sz w:val="22"/>
          <w:szCs w:val="22"/>
        </w:rPr>
        <w:t xml:space="preserve">Assess the feasibility of a more sector-oriented end-use control approach for PRC defense-related simulation activity under existing EAR authorities, with initial application to clearly defined end-use categories tied to weapons-effects modeling and military end-use risk.</w:t>
      </w:r>
      <w:r>
        <w:rPr>
          <w:rStyle w:val="FootnoteReference"/>
        </w:rPr>
        <w:footnoteReference w:id="34"/>
      </w:r>
      <w:r>
        <w:rPr>
          <w:rFonts w:ascii="Arial" w:cs="Arial" w:eastAsia="Arial" w:hAnsi="Arial"/>
          <w:color w:val="000000"/>
          <w:sz w:val="22"/>
          <w:szCs w:val="22"/>
        </w:rPr>
        <w:t xml:space="preserve"> This approach would shift emphasis from entity-by-entity identification toward more durable activity- and end-use-based control logic, capturing current and future entities engaged in controlled activity without requiring individual designation cycles. Any such approach would require careful scoping to ensure definitional clarity, administrability, and defensibility under existing statutory authorities.</w:t>
      </w:r>
    </w:p>
    <w:p>
      <w:pPr>
        <w:spacing w:after="200" w:before="0" w:line="276"/>
        <w:jc w:val="left"/>
      </w:pPr>
      <w:r>
        <w:rPr>
          <w:rFonts w:ascii="Arial" w:cs="Arial" w:eastAsia="Arial" w:hAnsi="Arial"/>
          <w:b/>
          <w:bCs/>
          <w:color w:val="000000"/>
          <w:sz w:val="22"/>
          <w:szCs w:val="22"/>
        </w:rPr>
        <w:t xml:space="preserve">Authority: </w:t>
      </w:r>
      <w:r>
        <w:rPr>
          <w:rFonts w:ascii="Arial" w:cs="Arial" w:eastAsia="Arial" w:hAnsi="Arial"/>
          <w:color w:val="000000"/>
          <w:sz w:val="22"/>
          <w:szCs w:val="22"/>
        </w:rPr>
        <w:t xml:space="preserve">EAR §744.21; 15 CFR Part 744</w:t>
      </w:r>
    </w:p>
    <w:p>
      <w:pPr>
        <w:spacing w:after="200" w:before="0" w:line="276"/>
        <w:jc w:val="left"/>
      </w:pPr>
      <w:r>
        <w:rPr>
          <w:rFonts w:ascii="Arial" w:cs="Arial" w:eastAsia="Arial" w:hAnsi="Arial"/>
          <w:b/>
          <w:bCs/>
          <w:color w:val="000000"/>
          <w:sz w:val="22"/>
          <w:szCs w:val="22"/>
        </w:rPr>
        <w:t xml:space="preserve">Timeline: </w:t>
      </w:r>
      <w:r>
        <w:rPr>
          <w:rFonts w:ascii="Arial" w:cs="Arial" w:eastAsia="Arial" w:hAnsi="Arial"/>
          <w:color w:val="000000"/>
          <w:sz w:val="22"/>
          <w:szCs w:val="22"/>
        </w:rPr>
        <w:t xml:space="preserve">Feasibility assessment and proposed rule within 180 days; interagency coordination via Operating Committee</w:t>
      </w:r>
    </w:p>
    <w:p>
      <w:pPr>
        <w:pStyle w:val="Heading3"/>
        <w:spacing w:after="140" w:before="240"/>
      </w:pPr>
      <w:r>
        <w:rPr>
          <w:rFonts w:ascii="Arial" w:cs="Arial" w:eastAsia="Arial" w:hAnsi="Arial"/>
          <w:b/>
          <w:bCs/>
          <w:color w:val="1B2A4A"/>
          <w:sz w:val="24"/>
          <w:szCs w:val="24"/>
        </w:rPr>
        <w:t xml:space="preserve">Action 2.2: ECCN Expansion for Simulation Software and Validation Data</w:t>
      </w:r>
    </w:p>
    <w:p>
      <w:pPr>
        <w:spacing w:after="200" w:before="0" w:line="276"/>
        <w:jc w:val="left"/>
      </w:pPr>
      <w:r>
        <w:rPr>
          <w:rFonts w:ascii="Arial" w:cs="Arial" w:eastAsia="Arial" w:hAnsi="Arial"/>
          <w:color w:val="000000"/>
          <w:sz w:val="22"/>
          <w:szCs w:val="22"/>
        </w:rPr>
        <w:t xml:space="preserve">Initiate interagency review to expand Export Control Classification Numbers to capture: (a) hydrocode simulation software with demonstrated weapons-effects modeling utility, (b) equation-of-state libraries and materials databases calibrated for munition-target interaction, and (c) validation datasets derived from live-fire or instrumented testing. Propose these additions to the Wassenaar Arrangement for multilateral adoption (cross-reference LOE 3).</w:t>
      </w:r>
      <w:r>
        <w:rPr>
          <w:rStyle w:val="FootnoteReference"/>
        </w:rPr>
        <w:footnoteReference w:id="35"/>
      </w:r>
    </w:p>
    <w:p>
      <w:pPr>
        <w:spacing w:after="200" w:before="0" w:line="276"/>
        <w:jc w:val="left"/>
      </w:pPr>
      <w:r>
        <w:rPr>
          <w:rFonts w:ascii="Arial" w:cs="Arial" w:eastAsia="Arial" w:hAnsi="Arial"/>
          <w:b/>
          <w:bCs/>
          <w:color w:val="000000"/>
          <w:sz w:val="22"/>
          <w:szCs w:val="22"/>
        </w:rPr>
        <w:t xml:space="preserve">Authority: </w:t>
      </w:r>
      <w:r>
        <w:rPr>
          <w:rFonts w:ascii="Arial" w:cs="Arial" w:eastAsia="Arial" w:hAnsi="Arial"/>
          <w:color w:val="000000"/>
          <w:sz w:val="22"/>
          <w:szCs w:val="22"/>
        </w:rPr>
        <w:t xml:space="preserve">EAR §742; Wassenaar Arrangement dual-use list</w:t>
      </w:r>
    </w:p>
    <w:p>
      <w:pPr>
        <w:spacing w:after="200" w:before="0" w:line="276"/>
        <w:jc w:val="left"/>
      </w:pPr>
      <w:r>
        <w:rPr>
          <w:rFonts w:ascii="Arial" w:cs="Arial" w:eastAsia="Arial" w:hAnsi="Arial"/>
          <w:b/>
          <w:bCs/>
          <w:color w:val="000000"/>
          <w:sz w:val="22"/>
          <w:szCs w:val="22"/>
        </w:rPr>
        <w:t xml:space="preserve">Timeline: </w:t>
      </w:r>
      <w:r>
        <w:rPr>
          <w:rFonts w:ascii="Arial" w:cs="Arial" w:eastAsia="Arial" w:hAnsi="Arial"/>
          <w:color w:val="000000"/>
          <w:sz w:val="22"/>
          <w:szCs w:val="22"/>
        </w:rPr>
        <w:t xml:space="preserve">Interagency review within 90 days; Wassenaar proposal within 360 days</w:t>
      </w:r>
    </w:p>
    <w:p>
      <w:pPr>
        <w:pStyle w:val="Heading3"/>
        <w:spacing w:after="140" w:before="240"/>
      </w:pPr>
      <w:r>
        <w:rPr>
          <w:rFonts w:ascii="Arial" w:cs="Arial" w:eastAsia="Arial" w:hAnsi="Arial"/>
          <w:b/>
          <w:bCs/>
          <w:color w:val="1B2A4A"/>
          <w:sz w:val="24"/>
          <w:szCs w:val="24"/>
        </w:rPr>
        <w:t xml:space="preserve">Action 2.3: Debarment Enhancement</w:t>
      </w:r>
    </w:p>
    <w:p>
      <w:pPr>
        <w:spacing w:after="200" w:before="0" w:line="276"/>
        <w:jc w:val="left"/>
      </w:pPr>
      <w:r>
        <w:rPr>
          <w:rFonts w:ascii="Arial" w:cs="Arial" w:eastAsia="Arial" w:hAnsi="Arial"/>
          <w:color w:val="000000"/>
          <w:sz w:val="22"/>
          <w:szCs w:val="22"/>
        </w:rPr>
        <w:t xml:space="preserve">Establish a formal referral mechanism from BIS and DOJ to agency debarring officials for government contract debarment consideration (FAR 9.4) involving firms—including allied-nation multinationals—found to have materially enabled controlled technology transfer to designated PRC end-users.</w:t>
      </w:r>
      <w:r>
        <w:rPr>
          <w:rStyle w:val="FootnoteReference"/>
        </w:rPr>
        <w:footnoteReference w:id="36"/>
      </w:r>
      <w:r>
        <w:rPr>
          <w:rFonts w:ascii="Arial" w:cs="Arial" w:eastAsia="Arial" w:hAnsi="Arial"/>
          <w:color w:val="000000"/>
          <w:sz w:val="22"/>
          <w:szCs w:val="22"/>
        </w:rPr>
        <w:t xml:space="preserve"> This would leverage one of the most consequential penalties available to firms that rely on access to U.S. government contracting or closely aligned supply chains.</w:t>
      </w:r>
    </w:p>
    <w:p>
      <w:pPr>
        <w:spacing w:after="200" w:before="0" w:line="276"/>
        <w:jc w:val="left"/>
      </w:pPr>
      <w:r>
        <w:rPr>
          <w:rFonts w:ascii="Arial" w:cs="Arial" w:eastAsia="Arial" w:hAnsi="Arial"/>
          <w:b/>
          <w:bCs/>
          <w:color w:val="000000"/>
          <w:sz w:val="22"/>
          <w:szCs w:val="22"/>
        </w:rPr>
        <w:t xml:space="preserve">Authority: </w:t>
      </w:r>
      <w:r>
        <w:rPr>
          <w:rFonts w:ascii="Arial" w:cs="Arial" w:eastAsia="Arial" w:hAnsi="Arial"/>
          <w:color w:val="000000"/>
          <w:sz w:val="22"/>
          <w:szCs w:val="22"/>
        </w:rPr>
        <w:t xml:space="preserve">FAR 9.406; EAR §764; BIS-DOJ coordination under existing MOU</w:t>
      </w:r>
    </w:p>
    <w:p>
      <w:pPr>
        <w:spacing w:after="200" w:before="0" w:line="276"/>
        <w:jc w:val="left"/>
      </w:pPr>
      <w:r>
        <w:rPr>
          <w:rFonts w:ascii="Arial" w:cs="Arial" w:eastAsia="Arial" w:hAnsi="Arial"/>
          <w:b/>
          <w:bCs/>
          <w:color w:val="000000"/>
          <w:sz w:val="22"/>
          <w:szCs w:val="22"/>
        </w:rPr>
        <w:t xml:space="preserve">Timeline: </w:t>
      </w:r>
      <w:r>
        <w:rPr>
          <w:rFonts w:ascii="Arial" w:cs="Arial" w:eastAsia="Arial" w:hAnsi="Arial"/>
          <w:color w:val="000000"/>
          <w:sz w:val="22"/>
          <w:szCs w:val="22"/>
        </w:rPr>
        <w:t xml:space="preserve">Coordination mechanism within 90 days; first referrals within 180 days</w:t>
      </w:r>
    </w:p>
    <w:p>
      <w:pPr>
        <w:pStyle w:val="Heading3"/>
        <w:spacing w:after="140" w:before="240"/>
      </w:pPr>
      <w:r>
        <w:rPr>
          <w:rFonts w:ascii="Arial" w:cs="Arial" w:eastAsia="Arial" w:hAnsi="Arial"/>
          <w:b/>
          <w:bCs/>
          <w:color w:val="1B2A4A"/>
          <w:sz w:val="24"/>
          <w:szCs w:val="24"/>
        </w:rPr>
        <w:t xml:space="preserve">Action 2.4: End-Use Monitoring Expansion</w:t>
      </w:r>
    </w:p>
    <w:p>
      <w:pPr>
        <w:spacing w:after="200" w:before="0" w:line="276"/>
        <w:jc w:val="left"/>
      </w:pPr>
      <w:r>
        <w:rPr>
          <w:rFonts w:ascii="Arial" w:cs="Arial" w:eastAsia="Arial" w:hAnsi="Arial"/>
          <w:b w:val="false"/>
          <w:bCs w:val="false"/>
          <w:i w:val="false"/>
          <w:iCs w:val="false"/>
          <w:color w:val="000000"/>
          <w:sz w:val="22"/>
          <w:szCs w:val="22"/>
        </w:rPr>
        <w:t xml:space="preserve">Expand BIS Blue Lantern and Sentinel end-use verification programs to prioritize post-shipment verification for high-performance computing components, EDA tools, and simulation-adjacent software licenses shipped to PRC-adjacent jurisdictions. Current end-use monitoring capacity is insufficient relative to the volume of controlled items transiting identified transshipment nodes.</w:t>
      </w:r>
    </w:p>
    <w:p>
      <w:pPr>
        <w:spacing w:after="200" w:before="0" w:line="276"/>
        <w:jc w:val="left"/>
      </w:pPr>
      <w:r>
        <w:rPr>
          <w:rFonts w:ascii="Arial" w:cs="Arial" w:eastAsia="Arial" w:hAnsi="Arial"/>
          <w:b/>
          <w:bCs/>
          <w:color w:val="000000"/>
          <w:sz w:val="22"/>
          <w:szCs w:val="22"/>
        </w:rPr>
        <w:t xml:space="preserve">Authority: </w:t>
      </w:r>
      <w:r>
        <w:rPr>
          <w:rFonts w:ascii="Arial" w:cs="Arial" w:eastAsia="Arial" w:hAnsi="Arial"/>
          <w:color w:val="000000"/>
          <w:sz w:val="22"/>
          <w:szCs w:val="22"/>
        </w:rPr>
        <w:t xml:space="preserve">EAR §748.6; BIS end-use monitoring programs</w:t>
      </w:r>
    </w:p>
    <w:p>
      <w:pPr>
        <w:spacing w:after="200" w:before="0" w:line="276"/>
        <w:jc w:val="left"/>
      </w:pPr>
      <w:r>
        <w:rPr>
          <w:rFonts w:ascii="Arial" w:cs="Arial" w:eastAsia="Arial" w:hAnsi="Arial"/>
          <w:b/>
          <w:bCs/>
          <w:color w:val="000000"/>
          <w:sz w:val="22"/>
          <w:szCs w:val="22"/>
        </w:rPr>
        <w:t xml:space="preserve">Timeline: </w:t>
      </w:r>
      <w:r>
        <w:rPr>
          <w:rFonts w:ascii="Arial" w:cs="Arial" w:eastAsia="Arial" w:hAnsi="Arial"/>
          <w:color w:val="000000"/>
          <w:sz w:val="22"/>
          <w:szCs w:val="22"/>
        </w:rPr>
        <w:t xml:space="preserve">Staffing and resource request within 90 days; expanded operations within 180 days</w:t>
      </w:r>
    </w:p>
    <w:p>
      <w:pPr>
        <w:pStyle w:val="Heading2"/>
        <w:spacing w:after="180" w:before="280"/>
      </w:pPr>
      <w:r>
        <w:rPr>
          <w:rFonts w:ascii="Arial" w:cs="Arial" w:eastAsia="Arial" w:hAnsi="Arial"/>
          <w:b/>
          <w:bCs/>
          <w:color w:val="1B2A4A"/>
          <w:sz w:val="26"/>
          <w:szCs w:val="26"/>
        </w:rPr>
        <w:t xml:space="preserve">2.3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2200"/>
        <w:gridCol w:w="1960"/>
      </w:tblGrid>
      <w:tr>
        <w:tc>
          <w:tcPr>
            <w:tcW w:type="dxa" w:w="2200"/>
            <w:tcBorders>
              <w:top w:val="single" w:color="AAAAAA" w:sz="1"/>
              <w:left w:val="single" w:color="AAAAAA" w:sz="1"/>
              <w:bottom w:val="single" w:color="AAAAAA" w:sz="1"/>
              <w:right w:val="single" w:color="AAAAAA" w:sz="1"/>
            </w:tcBorders>
            <w:shd w:fill="D5DDE5" w:val="clear"/>
            <w:tcMar>
              <w:top w:type="dxa" w:w="60"/>
              <w:left w:type="dxa" w:w="100"/>
              <w:bottom w:type="dxa" w:w="60"/>
              <w:right w:type="dxa" w:w="100"/>
            </w:tcMar>
          </w:tcPr>
          <w:p>
            <w:pPr>
              <w:spacing w:after="40"/>
            </w:pPr>
            <w:r>
              <w:rPr>
                <w:rFonts w:ascii="Arial" w:cs="Arial" w:eastAsia="Arial" w:hAnsi="Arial"/>
                <w:b/>
                <w:bCs/>
                <w:color w:val="000000"/>
                <w:sz w:val="20"/>
                <w:szCs w:val="20"/>
              </w:rPr>
              <w:t xml:space="preserve">Metric</w:t>
            </w:r>
          </w:p>
        </w:tc>
        <w:tc>
          <w:tcPr>
            <w:tcW w:type="dxa" w:w="3000"/>
            <w:tcBorders>
              <w:top w:val="single" w:color="AAAAAA" w:sz="1"/>
              <w:left w:val="single" w:color="AAAAAA" w:sz="1"/>
              <w:bottom w:val="single" w:color="AAAAAA" w:sz="1"/>
              <w:right w:val="single" w:color="AAAAAA" w:sz="1"/>
            </w:tcBorders>
            <w:shd w:fill="D5DDE5" w:val="clear"/>
            <w:tcMar>
              <w:top w:type="dxa" w:w="60"/>
              <w:left w:type="dxa" w:w="100"/>
              <w:bottom w:type="dxa" w:w="60"/>
              <w:right w:type="dxa" w:w="100"/>
            </w:tcMar>
          </w:tcPr>
          <w:p>
            <w:pPr>
              <w:spacing w:after="40"/>
            </w:pPr>
            <w:r>
              <w:rPr>
                <w:rFonts w:ascii="Arial" w:cs="Arial" w:eastAsia="Arial" w:hAnsi="Arial"/>
                <w:b/>
                <w:bCs/>
                <w:color w:val="000000"/>
                <w:sz w:val="20"/>
                <w:szCs w:val="20"/>
              </w:rPr>
              <w:t xml:space="preserve">Definition</w:t>
            </w:r>
          </w:p>
        </w:tc>
        <w:tc>
          <w:tcPr>
            <w:tcW w:type="dxa" w:w="2200"/>
            <w:tcBorders>
              <w:top w:val="single" w:color="AAAAAA" w:sz="1"/>
              <w:left w:val="single" w:color="AAAAAA" w:sz="1"/>
              <w:bottom w:val="single" w:color="AAAAAA" w:sz="1"/>
              <w:right w:val="single" w:color="AAAAAA" w:sz="1"/>
            </w:tcBorders>
            <w:shd w:fill="D5DDE5" w:val="clear"/>
            <w:tcMar>
              <w:top w:type="dxa" w:w="60"/>
              <w:left w:type="dxa" w:w="100"/>
              <w:bottom w:type="dxa" w:w="60"/>
              <w:right w:type="dxa" w:w="100"/>
            </w:tcMar>
          </w:tcPr>
          <w:p>
            <w:pPr>
              <w:spacing w:after="40"/>
            </w:pPr>
            <w:r>
              <w:rPr>
                <w:rFonts w:ascii="Arial" w:cs="Arial" w:eastAsia="Arial" w:hAnsi="Arial"/>
                <w:b/>
                <w:bCs/>
                <w:color w:val="000000"/>
                <w:sz w:val="20"/>
                <w:szCs w:val="20"/>
              </w:rPr>
              <w:t xml:space="preserve">Data Source</w:t>
            </w:r>
          </w:p>
        </w:tc>
        <w:tc>
          <w:tcPr>
            <w:tcW w:type="dxa" w:w="1960"/>
            <w:tcBorders>
              <w:top w:val="single" w:color="AAAAAA" w:sz="1"/>
              <w:left w:val="single" w:color="AAAAAA" w:sz="1"/>
              <w:bottom w:val="single" w:color="AAAAAA" w:sz="1"/>
              <w:right w:val="single" w:color="AAAAAA" w:sz="1"/>
            </w:tcBorders>
            <w:shd w:fill="D5DDE5" w:val="clear"/>
            <w:tcMar>
              <w:top w:type="dxa" w:w="60"/>
              <w:left w:type="dxa" w:w="100"/>
              <w:bottom w:type="dxa" w:w="60"/>
              <w:right w:type="dxa" w:w="100"/>
            </w:tcMar>
          </w:tcPr>
          <w:p>
            <w:pPr>
              <w:spacing w:after="40"/>
            </w:pPr>
            <w:r>
              <w:rPr>
                <w:rFonts w:ascii="Arial" w:cs="Arial" w:eastAsia="Arial" w:hAnsi="Arial"/>
                <w:b/>
                <w:bCs/>
                <w:color w:val="000000"/>
                <w:sz w:val="20"/>
                <w:szCs w:val="20"/>
              </w:rPr>
              <w:t xml:space="preserve">Time Horizon</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Export denial rate</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Percentage of license applications denied for PRC defense-simulation end-uses</w:t>
            </w:r>
          </w:p>
        </w:tc>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BIS licensing data</w:t>
            </w:r>
          </w:p>
        </w:tc>
        <w:tc>
          <w:tcPr>
            <w:tcW w:type="dxa" w:w="19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Quarterly</w:t>
            </w:r>
          </w:p>
        </w:tc>
      </w:tr>
      <w:tr>
        <w:tc>
          <w:tcPr>
            <w:tcW w:type="dxa" w:w="2200"/>
            <w:tcBorders>
              <w:top w:val="single" w:color="AAAAAA" w:sz="1"/>
              <w:left w:val="single" w:color="AAAAAA" w:sz="1"/>
              <w:bottom w:val="single" w:color="AAAAAA" w:sz="1"/>
              <w:right w:val="single" w:color="AAAAAA" w:sz="1"/>
            </w:tcBorders>
            <w:shd w:fill="F2F5F7" w:val="clear"/>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End-use verification rate</w:t>
            </w:r>
          </w:p>
        </w:tc>
        <w:tc>
          <w:tcPr>
            <w:tcW w:type="dxa" w:w="3000"/>
            <w:tcBorders>
              <w:top w:val="single" w:color="AAAAAA" w:sz="1"/>
              <w:left w:val="single" w:color="AAAAAA" w:sz="1"/>
              <w:bottom w:val="single" w:color="AAAAAA" w:sz="1"/>
              <w:right w:val="single" w:color="AAAAAA" w:sz="1"/>
            </w:tcBorders>
            <w:shd w:fill="F2F5F7" w:val="clear"/>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Post-shipment verifications completed as percentage of controlled shipments to priority jurisdictions</w:t>
            </w:r>
          </w:p>
        </w:tc>
        <w:tc>
          <w:tcPr>
            <w:tcW w:type="dxa" w:w="2200"/>
            <w:tcBorders>
              <w:top w:val="single" w:color="AAAAAA" w:sz="1"/>
              <w:left w:val="single" w:color="AAAAAA" w:sz="1"/>
              <w:bottom w:val="single" w:color="AAAAAA" w:sz="1"/>
              <w:right w:val="single" w:color="AAAAAA" w:sz="1"/>
            </w:tcBorders>
            <w:shd w:fill="F2F5F7" w:val="clear"/>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BIS Blue Lantern / Sentinel</w:t>
            </w:r>
          </w:p>
        </w:tc>
        <w:tc>
          <w:tcPr>
            <w:tcW w:type="dxa" w:w="1960"/>
            <w:tcBorders>
              <w:top w:val="single" w:color="AAAAAA" w:sz="1"/>
              <w:left w:val="single" w:color="AAAAAA" w:sz="1"/>
              <w:bottom w:val="single" w:color="AAAAAA" w:sz="1"/>
              <w:right w:val="single" w:color="AAAAAA" w:sz="1"/>
            </w:tcBorders>
            <w:shd w:fill="F2F5F7" w:val="clear"/>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Semi-annual</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Debarment referrals</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Number of firms referred for contract debarment review</w:t>
            </w:r>
          </w:p>
        </w:tc>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BIS-DOJ coordination cell</w:t>
            </w:r>
          </w:p>
        </w:tc>
        <w:tc>
          <w:tcPr>
            <w:tcW w:type="dxa" w:w="19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Annual</w:t>
            </w:r>
          </w:p>
        </w:tc>
      </w:tr>
      <w:tr>
        <w:tc>
          <w:tcPr>
            <w:tcW w:type="dxa" w:w="2200"/>
            <w:tcBorders>
              <w:top w:val="single" w:color="AAAAAA" w:sz="1"/>
              <w:left w:val="single" w:color="AAAAAA" w:sz="1"/>
              <w:bottom w:val="single" w:color="AAAAAA" w:sz="1"/>
              <w:right w:val="single" w:color="AAAAAA" w:sz="1"/>
            </w:tcBorders>
            <w:shd w:fill="F2F5F7" w:val="clear"/>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Designation coverage</w:t>
            </w:r>
          </w:p>
        </w:tc>
        <w:tc>
          <w:tcPr>
            <w:tcW w:type="dxa" w:w="3000"/>
            <w:tcBorders>
              <w:top w:val="single" w:color="AAAAAA" w:sz="1"/>
              <w:left w:val="single" w:color="AAAAAA" w:sz="1"/>
              <w:bottom w:val="single" w:color="AAAAAA" w:sz="1"/>
              <w:right w:val="single" w:color="AAAAAA" w:sz="1"/>
            </w:tcBorders>
            <w:shd w:fill="F2F5F7" w:val="clear"/>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Estimated percentage of PRC defense-simulation entities captured by sector-oriented vs. entity-specific controls</w:t>
            </w:r>
          </w:p>
        </w:tc>
        <w:tc>
          <w:tcPr>
            <w:tcW w:type="dxa" w:w="2200"/>
            <w:tcBorders>
              <w:top w:val="single" w:color="AAAAAA" w:sz="1"/>
              <w:left w:val="single" w:color="AAAAAA" w:sz="1"/>
              <w:bottom w:val="single" w:color="AAAAAA" w:sz="1"/>
              <w:right w:val="single" w:color="AAAAAA" w:sz="1"/>
            </w:tcBorders>
            <w:shd w:fill="F2F5F7" w:val="clear"/>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BIS / ODNI analytic product</w:t>
            </w:r>
          </w:p>
        </w:tc>
        <w:tc>
          <w:tcPr>
            <w:tcW w:type="dxa" w:w="1960"/>
            <w:tcBorders>
              <w:top w:val="single" w:color="AAAAAA" w:sz="1"/>
              <w:left w:val="single" w:color="AAAAAA" w:sz="1"/>
              <w:bottom w:val="single" w:color="AAAAAA" w:sz="1"/>
              <w:right w:val="single" w:color="AAAAAA" w:sz="1"/>
            </w:tcBorders>
            <w:shd w:fill="F2F5F7" w:val="clear"/>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Annual</w:t>
            </w:r>
          </w:p>
        </w:tc>
      </w:tr>
    </w:tbl>
    <w:p>
      <w:pPr>
        <w:spacing w:after="200" w:before="0" w:line="276"/>
        <w:jc w:val="left"/>
      </w:pPr>
      <w:r>
        <w:rPr>
          <w:rFonts w:ascii="Arial" w:cs="Arial" w:eastAsia="Arial" w:hAnsi="Arial"/>
          <w:b w:val="false"/>
          <w:bCs w:val="false"/>
          <w:i w:val="false"/>
          <w:iCs w:val="false"/>
          <w:color w:val="000000"/>
          <w:sz w:val="22"/>
          <w:szCs w:val="22"/>
        </w:rPr>
        <w:t xml:space="preserve"/>
      </w:r>
      <w:r>
        <w:br w:type="page"/>
      </w:r>
    </w:p>
    <w:p>
      <w:pPr>
        <w:pStyle w:val="Heading1"/>
        <w:spacing w:after="240" w:before="360"/>
      </w:pPr>
      <w:r>
        <w:rPr>
          <w:rFonts w:ascii="Arial" w:cs="Arial" w:eastAsia="Arial" w:hAnsi="Arial"/>
          <w:b/>
          <w:bCs/>
          <w:color w:val="1B2A4A"/>
          <w:sz w:val="32"/>
          <w:szCs w:val="32"/>
        </w:rPr>
        <w:t xml:space="preserve">Line of Effort 3: Diplomatic Multilateralization</w:t>
      </w:r>
    </w:p>
    <w:p>
      <w:pPr>
        <w:spacing w:after="200" w:before="0" w:line="276"/>
        <w:jc w:val="left"/>
      </w:pPr>
      <w:r>
        <w:rPr>
          <w:rFonts w:ascii="Arial" w:cs="Arial" w:eastAsia="Arial" w:hAnsi="Arial"/>
          <w:b/>
          <w:bCs/>
          <w:color w:val="000000"/>
          <w:sz w:val="22"/>
          <w:szCs w:val="22"/>
        </w:rPr>
        <w:t xml:space="preserve">Lead Agency: </w:t>
      </w:r>
      <w:r>
        <w:rPr>
          <w:rFonts w:ascii="Arial" w:cs="Arial" w:eastAsia="Arial" w:hAnsi="Arial"/>
          <w:color w:val="000000"/>
          <w:sz w:val="22"/>
          <w:szCs w:val="22"/>
        </w:rPr>
        <w:t xml:space="preserve">Department of State, Bureau of International Security and Nonproliferation (ISN/T)</w:t>
      </w:r>
    </w:p>
    <w:p>
      <w:pPr>
        <w:spacing w:after="200" w:before="0" w:line="276"/>
        <w:jc w:val="left"/>
      </w:pPr>
      <w:r>
        <w:rPr>
          <w:rFonts w:ascii="Arial" w:cs="Arial" w:eastAsia="Arial" w:hAnsi="Arial"/>
          <w:b/>
          <w:bCs/>
          <w:color w:val="000000"/>
          <w:sz w:val="22"/>
          <w:szCs w:val="22"/>
        </w:rPr>
        <w:t xml:space="preserve">Coordinating Agencies: </w:t>
      </w:r>
      <w:r>
        <w:rPr>
          <w:rFonts w:ascii="Arial" w:cs="Arial" w:eastAsia="Arial" w:hAnsi="Arial"/>
          <w:color w:val="000000"/>
          <w:sz w:val="22"/>
          <w:szCs w:val="22"/>
        </w:rPr>
        <w:t xml:space="preserve">Commerce (BIS), Treasury (OFAC), NSC</w:t>
      </w:r>
    </w:p>
    <w:p>
      <w:pPr>
        <w:pStyle w:val="Heading2"/>
        <w:spacing w:after="180" w:before="280"/>
      </w:pPr>
      <w:r>
        <w:rPr>
          <w:rFonts w:ascii="Arial" w:cs="Arial" w:eastAsia="Arial" w:hAnsi="Arial"/>
          <w:b/>
          <w:bCs/>
          <w:color w:val="1B2A4A"/>
          <w:sz w:val="26"/>
          <w:szCs w:val="26"/>
        </w:rPr>
        <w:t xml:space="preserve">3.1 Current Authority and Gaps</w:t>
      </w:r>
    </w:p>
    <w:p>
      <w:pPr>
        <w:spacing w:after="200" w:before="0" w:line="276"/>
        <w:jc w:val="left"/>
      </w:pPr>
      <w:r>
        <w:rPr>
          <w:rFonts w:ascii="Arial" w:cs="Arial" w:eastAsia="Arial" w:hAnsi="Arial"/>
          <w:color w:val="000000"/>
          <w:sz w:val="22"/>
          <w:szCs w:val="22"/>
        </w:rPr>
        <w:t xml:space="preserve">U.S. multilateral export control coordination operates primarily through the Wassenaar Arrangement (conventional arms and dual-use technologies), supplemented by bilateral arrangements with the Netherlands and Japan on semiconductor manufacturing equipment.</w:t>
      </w:r>
      <w:r>
        <w:rPr>
          <w:rStyle w:val="FootnoteReference"/>
        </w:rPr>
        <w:footnoteReference w:id="37"/>
      </w:r>
      <w:r>
        <w:rPr>
          <w:rFonts w:ascii="Arial" w:cs="Arial" w:eastAsia="Arial" w:hAnsi="Arial"/>
          <w:color w:val="000000"/>
          <w:sz w:val="22"/>
          <w:szCs w:val="22"/>
        </w:rPr>
        <w:t xml:space="preserve"> The October 2022 and October 2023 BIS rules on advanced computing controls were implemented unilaterally, with subsequent bilateral alignment pursued on a limited basis.</w:t>
      </w:r>
      <w:r>
        <w:rPr>
          <w:rStyle w:val="FootnoteReference"/>
        </w:rPr>
        <w:footnoteReference w:id="38"/>
      </w:r>
      <w:r>
        <w:rPr>
          <w:rStyle w:val="FootnoteReference"/>
        </w:rPr>
        <w:footnoteReference w:id="39"/>
      </w:r>
    </w:p>
    <w:p>
      <w:pPr>
        <w:spacing w:after="200" w:before="0" w:line="276"/>
        <w:jc w:val="left"/>
      </w:pPr>
      <w:r>
        <w:rPr>
          <w:rFonts w:ascii="Arial" w:cs="Arial" w:eastAsia="Arial" w:hAnsi="Arial"/>
          <w:b/>
          <w:bCs/>
          <w:color w:val="000000"/>
          <w:sz w:val="22"/>
          <w:szCs w:val="22"/>
        </w:rPr>
        <w:t xml:space="preserve">Gap identified: </w:t>
      </w:r>
      <w:r>
        <w:rPr>
          <w:rFonts w:ascii="Arial" w:cs="Arial" w:eastAsia="Arial" w:hAnsi="Arial"/>
          <w:color w:val="000000"/>
          <w:sz w:val="22"/>
          <w:szCs w:val="22"/>
        </w:rPr>
        <w:t xml:space="preserve">Simulation software, materials databases, and weapons-effects modeling tools are not currently subject to coordinated multilateral controls. The Wassenaar dual-use list captures some simulation capabilities under Category 4 (Computers) and Category 6 (Sensors and Lasers) but does not comprehensively address hydrocode solvers, equation-of-state libraries, or integrated simulation pipelines purpose-built for munition-target interaction analysis.</w:t>
      </w:r>
      <w:r>
        <w:rPr>
          <w:rStyle w:val="FootnoteReference"/>
        </w:rPr>
        <w:footnoteReference w:id="40"/>
      </w:r>
      <w:r>
        <w:rPr>
          <w:rFonts w:ascii="Arial" w:cs="Arial" w:eastAsia="Arial" w:hAnsi="Arial"/>
          <w:i/>
          <w:iCs/>
          <w:color w:val="666666"/>
          <w:sz w:val="20"/>
          <w:szCs w:val="20"/>
        </w:rPr>
        <w:t xml:space="preserve"> [Confidence: Moderate]</w:t>
      </w:r>
    </w:p>
    <w:p>
      <w:pPr>
        <w:spacing w:after="200" w:before="0" w:line="276"/>
        <w:jc w:val="left"/>
      </w:pPr>
      <w:r>
        <w:rPr>
          <w:rFonts w:ascii="Arial" w:cs="Arial" w:eastAsia="Arial" w:hAnsi="Arial"/>
          <w:b/>
          <w:bCs/>
          <w:color w:val="000000"/>
          <w:sz w:val="22"/>
          <w:szCs w:val="22"/>
        </w:rPr>
        <w:t xml:space="preserve">Gap identified: </w:t>
      </w:r>
      <w:r>
        <w:rPr>
          <w:rFonts w:ascii="Arial" w:cs="Arial" w:eastAsia="Arial" w:hAnsi="Arial"/>
          <w:color w:val="000000"/>
          <w:sz w:val="22"/>
          <w:szCs w:val="22"/>
        </w:rPr>
        <w:t xml:space="preserve">We assess with moderate confidence that allied willingness to align fully with U.S. secondary sanctions and extraterritorial controls is uneven and may weaken over time where commercial exposure to the PRC remains significant. European and Asian allied-nation firms face competing regulatory pressure from PRC market access requirements and U.S. compliance obligations, creating a compliance arbitrage dynamic that PRC-linked procurement networks may exploit.</w:t>
      </w:r>
      <w:r>
        <w:rPr>
          <w:rFonts w:ascii="Arial" w:cs="Arial" w:eastAsia="Arial" w:hAnsi="Arial"/>
          <w:i/>
          <w:iCs/>
          <w:color w:val="666666"/>
          <w:sz w:val="20"/>
          <w:szCs w:val="20"/>
        </w:rPr>
        <w:t xml:space="preserve"> [Confidence: Moderate]</w:t>
      </w:r>
    </w:p>
    <w:p>
      <w:pPr>
        <w:pStyle w:val="Heading2"/>
        <w:spacing w:after="180" w:before="280"/>
      </w:pPr>
      <w:r>
        <w:rPr>
          <w:rFonts w:ascii="Arial" w:cs="Arial" w:eastAsia="Arial" w:hAnsi="Arial"/>
          <w:b/>
          <w:bCs/>
          <w:color w:val="1B2A4A"/>
          <w:sz w:val="26"/>
          <w:szCs w:val="26"/>
        </w:rPr>
        <w:t xml:space="preserve">3.2 Operational Actions</w:t>
      </w:r>
    </w:p>
    <w:p>
      <w:pPr>
        <w:pStyle w:val="Heading3"/>
        <w:spacing w:after="140" w:before="240"/>
      </w:pPr>
      <w:r>
        <w:rPr>
          <w:rFonts w:ascii="Arial" w:cs="Arial" w:eastAsia="Arial" w:hAnsi="Arial"/>
          <w:b/>
          <w:bCs/>
          <w:color w:val="1B2A4A"/>
          <w:sz w:val="24"/>
          <w:szCs w:val="24"/>
        </w:rPr>
        <w:t xml:space="preserve">Action 3.1: Wassenaar Proposal for Simulation Software Controls</w:t>
      </w:r>
    </w:p>
    <w:p>
      <w:pPr>
        <w:spacing w:after="200" w:before="0" w:line="276"/>
        <w:jc w:val="left"/>
      </w:pPr>
      <w:r>
        <w:rPr>
          <w:rFonts w:ascii="Arial" w:cs="Arial" w:eastAsia="Arial" w:hAnsi="Arial"/>
          <w:color w:val="000000"/>
          <w:sz w:val="22"/>
          <w:szCs w:val="22"/>
        </w:rPr>
        <w:t xml:space="preserve">Submit a formal proposal to the Wassenaar Arrangement plenary for dual-use list treatment of selected weapons-effects simulation software, associated equation-of-state libraries, and materials datasets.</w:t>
      </w:r>
      <w:r>
        <w:rPr>
          <w:rStyle w:val="FootnoteReference"/>
        </w:rPr>
        <w:footnoteReference w:id="41"/>
      </w:r>
      <w:r>
        <w:rPr>
          <w:rFonts w:ascii="Arial" w:cs="Arial" w:eastAsia="Arial" w:hAnsi="Arial"/>
          <w:color w:val="000000"/>
          <w:sz w:val="22"/>
          <w:szCs w:val="22"/>
        </w:rPr>
        <w:t xml:space="preserve"> Pre-negotiate support with key Wassenaar members (Netherlands, Japan, ROK, UK, Australia, Germany) through bilateral consultations prior to formal proposal submission.</w:t>
      </w:r>
    </w:p>
    <w:p>
      <w:pPr>
        <w:spacing w:after="200" w:before="0" w:line="276"/>
        <w:jc w:val="left"/>
      </w:pPr>
      <w:r>
        <w:rPr>
          <w:rFonts w:ascii="Arial" w:cs="Arial" w:eastAsia="Arial" w:hAnsi="Arial"/>
          <w:b/>
          <w:bCs/>
          <w:color w:val="000000"/>
          <w:sz w:val="22"/>
          <w:szCs w:val="22"/>
        </w:rPr>
        <w:t xml:space="preserve">Authority: </w:t>
      </w:r>
      <w:r>
        <w:rPr>
          <w:rFonts w:ascii="Arial" w:cs="Arial" w:eastAsia="Arial" w:hAnsi="Arial"/>
          <w:color w:val="000000"/>
          <w:sz w:val="22"/>
          <w:szCs w:val="22"/>
        </w:rPr>
        <w:t xml:space="preserve">State Department Wassenaar delegation authority; NSC interagency coordination</w:t>
      </w:r>
    </w:p>
    <w:p>
      <w:pPr>
        <w:spacing w:after="200" w:before="0" w:line="276"/>
        <w:jc w:val="left"/>
      </w:pPr>
      <w:r>
        <w:rPr>
          <w:rFonts w:ascii="Arial" w:cs="Arial" w:eastAsia="Arial" w:hAnsi="Arial"/>
          <w:b/>
          <w:bCs/>
          <w:color w:val="000000"/>
          <w:sz w:val="22"/>
          <w:szCs w:val="22"/>
        </w:rPr>
        <w:t xml:space="preserve">Timeline: </w:t>
      </w:r>
      <w:r>
        <w:rPr>
          <w:rFonts w:ascii="Arial" w:cs="Arial" w:eastAsia="Arial" w:hAnsi="Arial"/>
          <w:color w:val="000000"/>
          <w:sz w:val="22"/>
          <w:szCs w:val="22"/>
        </w:rPr>
        <w:t xml:space="preserve">Bilateral consultations within 180 days; formal Wassenaar proposal at next plenary cycle</w:t>
      </w:r>
    </w:p>
    <w:p>
      <w:pPr>
        <w:pStyle w:val="Heading3"/>
        <w:spacing w:after="140" w:before="240"/>
      </w:pPr>
      <w:r>
        <w:rPr>
          <w:rFonts w:ascii="Arial" w:cs="Arial" w:eastAsia="Arial" w:hAnsi="Arial"/>
          <w:b/>
          <w:bCs/>
          <w:color w:val="1B2A4A"/>
          <w:sz w:val="24"/>
          <w:szCs w:val="24"/>
        </w:rPr>
        <w:t xml:space="preserve">Action 3.2: Expanded Bilateral Semiconductor Equipment Controls</w:t>
      </w:r>
    </w:p>
    <w:p>
      <w:pPr>
        <w:spacing w:after="200" w:before="0" w:line="276"/>
        <w:jc w:val="left"/>
      </w:pPr>
      <w:r>
        <w:rPr>
          <w:rFonts w:ascii="Arial" w:cs="Arial" w:eastAsia="Arial" w:hAnsi="Arial"/>
          <w:b w:val="false"/>
          <w:bCs w:val="false"/>
          <w:i w:val="false"/>
          <w:iCs w:val="false"/>
          <w:color w:val="000000"/>
          <w:sz w:val="22"/>
          <w:szCs w:val="22"/>
        </w:rPr>
        <w:t xml:space="preserve">Extend the Netherlands-Japan bilateral lithography equipment control framework to include advanced packaging capabilities, high-bandwidth memory integration tools, and metrology/inspection systems. These appear to remain among the most durable supply-chain chokepoints available through allied coordination.</w:t>
      </w:r>
    </w:p>
    <w:p>
      <w:pPr>
        <w:spacing w:after="200" w:before="0" w:line="276"/>
        <w:jc w:val="left"/>
      </w:pPr>
      <w:r>
        <w:rPr>
          <w:rFonts w:ascii="Arial" w:cs="Arial" w:eastAsia="Arial" w:hAnsi="Arial"/>
          <w:b/>
          <w:bCs/>
          <w:color w:val="000000"/>
          <w:sz w:val="22"/>
          <w:szCs w:val="22"/>
        </w:rPr>
        <w:t xml:space="preserve">Authority: </w:t>
      </w:r>
      <w:r>
        <w:rPr>
          <w:rFonts w:ascii="Arial" w:cs="Arial" w:eastAsia="Arial" w:hAnsi="Arial"/>
          <w:color w:val="000000"/>
          <w:sz w:val="22"/>
          <w:szCs w:val="22"/>
        </w:rPr>
        <w:t xml:space="preserve">Bilateral diplomatic engagement; State/Commerce joint authority</w:t>
      </w:r>
    </w:p>
    <w:p>
      <w:pPr>
        <w:spacing w:after="200" w:before="0" w:line="276"/>
        <w:jc w:val="left"/>
      </w:pPr>
      <w:r>
        <w:rPr>
          <w:rFonts w:ascii="Arial" w:cs="Arial" w:eastAsia="Arial" w:hAnsi="Arial"/>
          <w:b/>
          <w:bCs/>
          <w:color w:val="000000"/>
          <w:sz w:val="22"/>
          <w:szCs w:val="22"/>
        </w:rPr>
        <w:t xml:space="preserve">Timeline: </w:t>
      </w:r>
      <w:r>
        <w:rPr>
          <w:rFonts w:ascii="Arial" w:cs="Arial" w:eastAsia="Arial" w:hAnsi="Arial"/>
          <w:color w:val="000000"/>
          <w:sz w:val="22"/>
          <w:szCs w:val="22"/>
        </w:rPr>
        <w:t xml:space="preserve">Negotiation initiation within 90 days; framework agreement within 360 days</w:t>
      </w:r>
    </w:p>
    <w:p>
      <w:pPr>
        <w:pStyle w:val="Heading3"/>
        <w:spacing w:after="140" w:before="240"/>
      </w:pPr>
      <w:r>
        <w:rPr>
          <w:rFonts w:ascii="Arial" w:cs="Arial" w:eastAsia="Arial" w:hAnsi="Arial"/>
          <w:b/>
          <w:bCs/>
          <w:color w:val="1B2A4A"/>
          <w:sz w:val="24"/>
          <w:szCs w:val="24"/>
        </w:rPr>
        <w:t xml:space="preserve">Action 3.3: Transshipment Node Enforcement Agreements</w:t>
      </w:r>
    </w:p>
    <w:p>
      <w:pPr>
        <w:spacing w:after="200" w:before="0" w:line="276"/>
        <w:jc w:val="left"/>
      </w:pPr>
      <w:r>
        <w:rPr>
          <w:rFonts w:ascii="Arial" w:cs="Arial" w:eastAsia="Arial" w:hAnsi="Arial"/>
          <w:color w:val="000000"/>
          <w:sz w:val="22"/>
          <w:szCs w:val="22"/>
        </w:rPr>
        <w:t xml:space="preserve">Negotiate enhanced enforcement cooperation agreements with Singapore, UAE, and Malaysia—the three jurisdictions most frequently identified in open-source reporting as transshipment nodes for dual-use technology procurement destined for PRC defense-industrial end-users.</w:t>
      </w:r>
      <w:r>
        <w:rPr>
          <w:rStyle w:val="FootnoteReference"/>
        </w:rPr>
        <w:footnoteReference w:id="42"/>
      </w:r>
      <w:r>
        <w:rPr>
          <w:rFonts w:ascii="Arial" w:cs="Arial" w:eastAsia="Arial" w:hAnsi="Arial"/>
          <w:color w:val="000000"/>
          <w:sz w:val="22"/>
          <w:szCs w:val="22"/>
        </w:rPr>
        <w:t xml:space="preserve"> These agreements should include information sharing on end-user verification, mutual recognition of denied parties lists, and coordinated enforcement actions against entities exhibiting patterns-of-conduct consistent with procurement evasion, diversion, or concealed defense end-use support.</w:t>
      </w:r>
    </w:p>
    <w:p>
      <w:pPr>
        <w:spacing w:after="200" w:before="0" w:line="276"/>
        <w:jc w:val="left"/>
      </w:pPr>
      <w:r>
        <w:rPr>
          <w:rFonts w:ascii="Arial" w:cs="Arial" w:eastAsia="Arial" w:hAnsi="Arial"/>
          <w:b/>
          <w:bCs/>
          <w:color w:val="000000"/>
          <w:sz w:val="22"/>
          <w:szCs w:val="22"/>
        </w:rPr>
        <w:t xml:space="preserve">Authority: </w:t>
      </w:r>
      <w:r>
        <w:rPr>
          <w:rFonts w:ascii="Arial" w:cs="Arial" w:eastAsia="Arial" w:hAnsi="Arial"/>
          <w:color w:val="000000"/>
          <w:sz w:val="22"/>
          <w:szCs w:val="22"/>
        </w:rPr>
        <w:t xml:space="preserve">State Department bilateral engagement; existing mutual legal assistance frameworks</w:t>
      </w:r>
    </w:p>
    <w:p>
      <w:pPr>
        <w:spacing w:after="200" w:before="0" w:line="276"/>
        <w:jc w:val="left"/>
      </w:pPr>
      <w:r>
        <w:rPr>
          <w:rFonts w:ascii="Arial" w:cs="Arial" w:eastAsia="Arial" w:hAnsi="Arial"/>
          <w:b/>
          <w:bCs/>
          <w:color w:val="000000"/>
          <w:sz w:val="22"/>
          <w:szCs w:val="22"/>
        </w:rPr>
        <w:t xml:space="preserve">Timeline: </w:t>
      </w:r>
      <w:r>
        <w:rPr>
          <w:rFonts w:ascii="Arial" w:cs="Arial" w:eastAsia="Arial" w:hAnsi="Arial"/>
          <w:color w:val="000000"/>
          <w:sz w:val="22"/>
          <w:szCs w:val="22"/>
        </w:rPr>
        <w:t xml:space="preserve">Diplomatic engagement within 90 days; initial agreements within 360 days</w:t>
      </w:r>
    </w:p>
    <w:p>
      <w:pPr>
        <w:pStyle w:val="Heading3"/>
        <w:spacing w:after="140" w:before="240"/>
      </w:pPr>
      <w:r>
        <w:rPr>
          <w:rFonts w:ascii="Arial" w:cs="Arial" w:eastAsia="Arial" w:hAnsi="Arial"/>
          <w:b/>
          <w:bCs/>
          <w:color w:val="1B2A4A"/>
          <w:sz w:val="24"/>
          <w:szCs w:val="24"/>
        </w:rPr>
        <w:t xml:space="preserve">Action 3.4: Pre-Positioned Financial Deterrence Framework</w:t>
      </w:r>
    </w:p>
    <w:p>
      <w:pPr>
        <w:spacing w:after="200" w:before="0" w:line="276"/>
        <w:jc w:val="left"/>
      </w:pPr>
      <w:r>
        <w:rPr>
          <w:rFonts w:ascii="Arial" w:cs="Arial" w:eastAsia="Arial" w:hAnsi="Arial"/>
          <w:color w:val="000000"/>
          <w:sz w:val="22"/>
          <w:szCs w:val="22"/>
        </w:rPr>
        <w:t xml:space="preserve">Develop and communicate to PRC counterparts—through appropriate diplomatic and intelligence channels—a menu of pre-identified financial response options tied to specified escalation scenarios. Potential measures could include expanded designation authorities, correspondent banking restrictions, payment messaging constraints, and asset immobilization authorities, subject to presidential decision and coalition feasibility.</w:t>
      </w:r>
      <w:r>
        <w:rPr>
          <w:rStyle w:val="FootnoteReference"/>
        </w:rPr>
        <w:footnoteReference w:id="43"/>
      </w:r>
      <w:r>
        <w:rPr>
          <w:rFonts w:ascii="Arial" w:cs="Arial" w:eastAsia="Arial" w:hAnsi="Arial"/>
          <w:color w:val="000000"/>
          <w:sz w:val="22"/>
          <w:szCs w:val="22"/>
        </w:rPr>
        <w:t xml:space="preserve"> The deterrent value of such a framework depends on credible communication and pre-commitment rather than reliance on strategic ambiguity.</w:t>
      </w:r>
    </w:p>
    <w:p>
      <w:pPr>
        <w:spacing w:after="200" w:before="0" w:line="276"/>
        <w:jc w:val="left"/>
      </w:pPr>
      <w:r>
        <w:rPr>
          <w:rFonts w:ascii="Arial" w:cs="Arial" w:eastAsia="Arial" w:hAnsi="Arial"/>
          <w:b/>
          <w:bCs/>
          <w:color w:val="000000"/>
          <w:sz w:val="22"/>
          <w:szCs w:val="22"/>
        </w:rPr>
        <w:t xml:space="preserve">Authority: </w:t>
      </w:r>
      <w:r>
        <w:rPr>
          <w:rFonts w:ascii="Arial" w:cs="Arial" w:eastAsia="Arial" w:hAnsi="Arial"/>
          <w:color w:val="000000"/>
          <w:sz w:val="22"/>
          <w:szCs w:val="22"/>
        </w:rPr>
        <w:t xml:space="preserve">IEEPA; requires new NSPM and presidential decision</w:t>
      </w:r>
    </w:p>
    <w:p>
      <w:pPr>
        <w:spacing w:after="200" w:before="0" w:line="276"/>
        <w:jc w:val="left"/>
      </w:pPr>
      <w:r>
        <w:rPr>
          <w:rFonts w:ascii="Arial" w:cs="Arial" w:eastAsia="Arial" w:hAnsi="Arial"/>
          <w:b/>
          <w:bCs/>
          <w:color w:val="000000"/>
          <w:sz w:val="22"/>
          <w:szCs w:val="22"/>
        </w:rPr>
        <w:t xml:space="preserve">Timeline: </w:t>
      </w:r>
      <w:r>
        <w:rPr>
          <w:rFonts w:ascii="Arial" w:cs="Arial" w:eastAsia="Arial" w:hAnsi="Arial"/>
          <w:color w:val="000000"/>
          <w:sz w:val="22"/>
          <w:szCs w:val="22"/>
        </w:rPr>
        <w:t xml:space="preserve">NSPM development within 180 days; diplomatic communication within 360 days</w:t>
      </w:r>
    </w:p>
    <w:p>
      <w:pPr>
        <w:pStyle w:val="Heading2"/>
        <w:spacing w:after="180" w:before="280"/>
      </w:pPr>
      <w:r>
        <w:rPr>
          <w:rFonts w:ascii="Arial" w:cs="Arial" w:eastAsia="Arial" w:hAnsi="Arial"/>
          <w:b/>
          <w:bCs/>
          <w:color w:val="1B2A4A"/>
          <w:sz w:val="26"/>
          <w:szCs w:val="26"/>
        </w:rPr>
        <w:t xml:space="preserve">3.3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2200"/>
        <w:gridCol w:w="1960"/>
      </w:tblGrid>
      <w:tr>
        <w:tc>
          <w:tcPr>
            <w:tcW w:type="dxa" w:w="2200"/>
            <w:tcBorders>
              <w:top w:val="single" w:color="AAAAAA" w:sz="1"/>
              <w:left w:val="single" w:color="AAAAAA" w:sz="1"/>
              <w:bottom w:val="single" w:color="AAAAAA" w:sz="1"/>
              <w:right w:val="single" w:color="AAAAAA" w:sz="1"/>
            </w:tcBorders>
            <w:shd w:fill="D5DDE5" w:val="clear"/>
            <w:tcMar>
              <w:top w:type="dxa" w:w="60"/>
              <w:left w:type="dxa" w:w="100"/>
              <w:bottom w:type="dxa" w:w="60"/>
              <w:right w:type="dxa" w:w="100"/>
            </w:tcMar>
          </w:tcPr>
          <w:p>
            <w:pPr>
              <w:spacing w:after="40"/>
            </w:pPr>
            <w:r>
              <w:rPr>
                <w:rFonts w:ascii="Arial" w:cs="Arial" w:eastAsia="Arial" w:hAnsi="Arial"/>
                <w:b/>
                <w:bCs/>
                <w:color w:val="000000"/>
                <w:sz w:val="20"/>
                <w:szCs w:val="20"/>
              </w:rPr>
              <w:t xml:space="preserve">Metric</w:t>
            </w:r>
          </w:p>
        </w:tc>
        <w:tc>
          <w:tcPr>
            <w:tcW w:type="dxa" w:w="3000"/>
            <w:tcBorders>
              <w:top w:val="single" w:color="AAAAAA" w:sz="1"/>
              <w:left w:val="single" w:color="AAAAAA" w:sz="1"/>
              <w:bottom w:val="single" w:color="AAAAAA" w:sz="1"/>
              <w:right w:val="single" w:color="AAAAAA" w:sz="1"/>
            </w:tcBorders>
            <w:shd w:fill="D5DDE5" w:val="clear"/>
            <w:tcMar>
              <w:top w:type="dxa" w:w="60"/>
              <w:left w:type="dxa" w:w="100"/>
              <w:bottom w:type="dxa" w:w="60"/>
              <w:right w:type="dxa" w:w="100"/>
            </w:tcMar>
          </w:tcPr>
          <w:p>
            <w:pPr>
              <w:spacing w:after="40"/>
            </w:pPr>
            <w:r>
              <w:rPr>
                <w:rFonts w:ascii="Arial" w:cs="Arial" w:eastAsia="Arial" w:hAnsi="Arial"/>
                <w:b/>
                <w:bCs/>
                <w:color w:val="000000"/>
                <w:sz w:val="20"/>
                <w:szCs w:val="20"/>
              </w:rPr>
              <w:t xml:space="preserve">Definition</w:t>
            </w:r>
          </w:p>
        </w:tc>
        <w:tc>
          <w:tcPr>
            <w:tcW w:type="dxa" w:w="2200"/>
            <w:tcBorders>
              <w:top w:val="single" w:color="AAAAAA" w:sz="1"/>
              <w:left w:val="single" w:color="AAAAAA" w:sz="1"/>
              <w:bottom w:val="single" w:color="AAAAAA" w:sz="1"/>
              <w:right w:val="single" w:color="AAAAAA" w:sz="1"/>
            </w:tcBorders>
            <w:shd w:fill="D5DDE5" w:val="clear"/>
            <w:tcMar>
              <w:top w:type="dxa" w:w="60"/>
              <w:left w:type="dxa" w:w="100"/>
              <w:bottom w:type="dxa" w:w="60"/>
              <w:right w:type="dxa" w:w="100"/>
            </w:tcMar>
          </w:tcPr>
          <w:p>
            <w:pPr>
              <w:spacing w:after="40"/>
            </w:pPr>
            <w:r>
              <w:rPr>
                <w:rFonts w:ascii="Arial" w:cs="Arial" w:eastAsia="Arial" w:hAnsi="Arial"/>
                <w:b/>
                <w:bCs/>
                <w:color w:val="000000"/>
                <w:sz w:val="20"/>
                <w:szCs w:val="20"/>
              </w:rPr>
              <w:t xml:space="preserve">Data Source</w:t>
            </w:r>
          </w:p>
        </w:tc>
        <w:tc>
          <w:tcPr>
            <w:tcW w:type="dxa" w:w="1960"/>
            <w:tcBorders>
              <w:top w:val="single" w:color="AAAAAA" w:sz="1"/>
              <w:left w:val="single" w:color="AAAAAA" w:sz="1"/>
              <w:bottom w:val="single" w:color="AAAAAA" w:sz="1"/>
              <w:right w:val="single" w:color="AAAAAA" w:sz="1"/>
            </w:tcBorders>
            <w:shd w:fill="D5DDE5" w:val="clear"/>
            <w:tcMar>
              <w:top w:type="dxa" w:w="60"/>
              <w:left w:type="dxa" w:w="100"/>
              <w:bottom w:type="dxa" w:w="60"/>
              <w:right w:type="dxa" w:w="100"/>
            </w:tcMar>
          </w:tcPr>
          <w:p>
            <w:pPr>
              <w:spacing w:after="40"/>
            </w:pPr>
            <w:r>
              <w:rPr>
                <w:rFonts w:ascii="Arial" w:cs="Arial" w:eastAsia="Arial" w:hAnsi="Arial"/>
                <w:b/>
                <w:bCs/>
                <w:color w:val="000000"/>
                <w:sz w:val="20"/>
                <w:szCs w:val="20"/>
              </w:rPr>
              <w:t xml:space="preserve">Time Horizon</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Allied compliance rate</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Percentage of Wassenaar members implementing agreed simulation software controls</w:t>
            </w:r>
          </w:p>
        </w:tc>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State / BIS bilateral reporting</w:t>
            </w:r>
          </w:p>
        </w:tc>
        <w:tc>
          <w:tcPr>
            <w:tcW w:type="dxa" w:w="19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Annual</w:t>
            </w:r>
          </w:p>
        </w:tc>
      </w:tr>
      <w:tr>
        <w:tc>
          <w:tcPr>
            <w:tcW w:type="dxa" w:w="2200"/>
            <w:tcBorders>
              <w:top w:val="single" w:color="AAAAAA" w:sz="1"/>
              <w:left w:val="single" w:color="AAAAAA" w:sz="1"/>
              <w:bottom w:val="single" w:color="AAAAAA" w:sz="1"/>
              <w:right w:val="single" w:color="AAAAAA" w:sz="1"/>
            </w:tcBorders>
            <w:shd w:fill="F2F5F7" w:val="clear"/>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Transshipment interdiction</w:t>
            </w:r>
          </w:p>
        </w:tc>
        <w:tc>
          <w:tcPr>
            <w:tcW w:type="dxa" w:w="3000"/>
            <w:tcBorders>
              <w:top w:val="single" w:color="AAAAAA" w:sz="1"/>
              <w:left w:val="single" w:color="AAAAAA" w:sz="1"/>
              <w:bottom w:val="single" w:color="AAAAAA" w:sz="1"/>
              <w:right w:val="single" w:color="AAAAAA" w:sz="1"/>
            </w:tcBorders>
            <w:shd w:fill="F2F5F7" w:val="clear"/>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Number of controlled items interdicted at identified transshipment nodes</w:t>
            </w:r>
          </w:p>
        </w:tc>
        <w:tc>
          <w:tcPr>
            <w:tcW w:type="dxa" w:w="2200"/>
            <w:tcBorders>
              <w:top w:val="single" w:color="AAAAAA" w:sz="1"/>
              <w:left w:val="single" w:color="AAAAAA" w:sz="1"/>
              <w:bottom w:val="single" w:color="AAAAAA" w:sz="1"/>
              <w:right w:val="single" w:color="AAAAAA" w:sz="1"/>
            </w:tcBorders>
            <w:shd w:fill="F2F5F7" w:val="clear"/>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Partner nation enforcement data</w:t>
            </w:r>
          </w:p>
        </w:tc>
        <w:tc>
          <w:tcPr>
            <w:tcW w:type="dxa" w:w="1960"/>
            <w:tcBorders>
              <w:top w:val="single" w:color="AAAAAA" w:sz="1"/>
              <w:left w:val="single" w:color="AAAAAA" w:sz="1"/>
              <w:bottom w:val="single" w:color="AAAAAA" w:sz="1"/>
              <w:right w:val="single" w:color="AAAAAA" w:sz="1"/>
            </w:tcBorders>
            <w:shd w:fill="F2F5F7" w:val="clear"/>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Semi-annual</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Bilateral agreement progress</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Number of enhanced enforcement agreements signed with priority transshipment jurisdictions</w:t>
            </w:r>
          </w:p>
        </w:tc>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State Department</w:t>
            </w:r>
          </w:p>
        </w:tc>
        <w:tc>
          <w:tcPr>
            <w:tcW w:type="dxa" w:w="19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Annual</w:t>
            </w:r>
          </w:p>
        </w:tc>
      </w:tr>
      <w:tr>
        <w:tc>
          <w:tcPr>
            <w:tcW w:type="dxa" w:w="2200"/>
            <w:tcBorders>
              <w:top w:val="single" w:color="AAAAAA" w:sz="1"/>
              <w:left w:val="single" w:color="AAAAAA" w:sz="1"/>
              <w:bottom w:val="single" w:color="AAAAAA" w:sz="1"/>
              <w:right w:val="single" w:color="AAAAAA" w:sz="1"/>
            </w:tcBorders>
            <w:shd w:fill="F2F5F7" w:val="clear"/>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Insurance premium delta</w:t>
            </w:r>
          </w:p>
        </w:tc>
        <w:tc>
          <w:tcPr>
            <w:tcW w:type="dxa" w:w="3000"/>
            <w:tcBorders>
              <w:top w:val="single" w:color="AAAAAA" w:sz="1"/>
              <w:left w:val="single" w:color="AAAAAA" w:sz="1"/>
              <w:bottom w:val="single" w:color="AAAAAA" w:sz="1"/>
              <w:right w:val="single" w:color="AAAAAA" w:sz="1"/>
            </w:tcBorders>
            <w:shd w:fill="F2F5F7" w:val="clear"/>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Change in marine cargo and trade credit insurance premiums for PRC defense-adjacent shipping routes</w:t>
            </w:r>
          </w:p>
        </w:tc>
        <w:tc>
          <w:tcPr>
            <w:tcW w:type="dxa" w:w="2200"/>
            <w:tcBorders>
              <w:top w:val="single" w:color="AAAAAA" w:sz="1"/>
              <w:left w:val="single" w:color="AAAAAA" w:sz="1"/>
              <w:bottom w:val="single" w:color="AAAAAA" w:sz="1"/>
              <w:right w:val="single" w:color="AAAAAA" w:sz="1"/>
            </w:tcBorders>
            <w:shd w:fill="F2F5F7" w:val="clear"/>
            <w:tcMar>
              <w:top w:type="dxa" w:w="60"/>
              <w:left w:type="dxa" w:w="100"/>
              <w:bottom w:type="dxa" w:w="60"/>
              <w:right w:type="dxa" w:w="100"/>
            </w:tcMar>
          </w:tcPr>
          <w:p>
            <w:pPr>
              <w:spacing w:after="40"/>
            </w:pPr>
            <w:r>
              <w:rPr>
                <w:rFonts w:ascii="Arial" w:cs="Arial" w:eastAsia="Arial" w:hAnsi="Arial"/>
                <w:color w:val="000000"/>
                <w:sz w:val="20"/>
                <w:szCs w:val="20"/>
              </w:rPr>
              <w:t xml:space="preserve">Lloyd’s / commercial insurance data</w:t>
            </w:r>
          </w:p>
        </w:tc>
        <w:tc>
          <w:tcPr>
            <w:tcW w:type="dxa" w:w="1960"/>
            <w:tcBorders>
              <w:top w:val="single" w:color="AAAAAA" w:sz="1"/>
              <w:left w:val="single" w:color="AAAAAA" w:sz="1"/>
              <w:bottom w:val="single" w:color="AAAAAA" w:sz="1"/>
              <w:right w:val="single" w:color="AAAAAA" w:sz="1"/>
            </w:tcBorders>
            <w:shd w:fill="F2F5F7" w:val="clear"/>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Semi-annual</w:t>
            </w:r>
          </w:p>
        </w:tc>
      </w:tr>
    </w:tbl>
    <w:p>
      <w:pPr>
        <w:spacing w:after="200" w:before="0" w:line="276"/>
        <w:jc w:val="left"/>
      </w:pPr>
      <w:r>
        <w:rPr>
          <w:rFonts w:ascii="Arial" w:cs="Arial" w:eastAsia="Arial" w:hAnsi="Arial"/>
          <w:b w:val="false"/>
          <w:bCs w:val="false"/>
          <w:i w:val="false"/>
          <w:iCs w:val="false"/>
          <w:color w:val="000000"/>
          <w:sz w:val="22"/>
          <w:szCs w:val="22"/>
        </w:rPr>
        <w:t xml:space="preserve"/>
      </w:r>
      <w:r>
        <w:br w:type="page"/>
      </w:r>
    </w:p>
    <w:p>
      <w:pPr>
        <w:pStyle w:val="Heading1"/>
        <w:spacing w:after="240" w:before="360"/>
      </w:pPr>
      <w:r>
        <w:rPr>
          <w:rFonts w:ascii="Arial" w:cs="Arial" w:eastAsia="Arial" w:hAnsi="Arial"/>
          <w:b/>
          <w:bCs/>
          <w:color w:val="1B2A4A"/>
          <w:sz w:val="32"/>
          <w:szCs w:val="32"/>
        </w:rPr>
        <w:t xml:space="preserve">Synchronization Framework</w:t>
      </w:r>
    </w:p>
    <w:p>
      <w:pPr>
        <w:spacing w:after="200" w:before="0" w:line="276"/>
        <w:jc w:val="left"/>
      </w:pPr>
      <w:r>
        <w:rPr>
          <w:rFonts w:ascii="Arial" w:cs="Arial" w:eastAsia="Arial" w:hAnsi="Arial"/>
          <w:b w:val="false"/>
          <w:bCs w:val="false"/>
          <w:i w:val="false"/>
          <w:iCs w:val="false"/>
          <w:color w:val="000000"/>
          <w:sz w:val="22"/>
          <w:szCs w:val="22"/>
        </w:rPr>
        <w:t xml:space="preserve">The three Lines of Effort should be treated as a reinforcing system rather than as independent policy tracks. Effective implementation requires explicit feedback loops across agencies.</w:t>
      </w:r>
    </w:p>
    <w:p>
      <w:pPr>
        <w:pStyle w:val="Heading2"/>
        <w:spacing w:after="180" w:before="280"/>
      </w:pPr>
      <w:r>
        <w:rPr>
          <w:rFonts w:ascii="Arial" w:cs="Arial" w:eastAsia="Arial" w:hAnsi="Arial"/>
          <w:b/>
          <w:bCs/>
          <w:color w:val="1B2A4A"/>
          <w:sz w:val="26"/>
          <w:szCs w:val="26"/>
        </w:rPr>
        <w:t xml:space="preserve">FinCEN → BIS Linkage</w:t>
      </w:r>
    </w:p>
    <w:p>
      <w:pPr>
        <w:spacing w:after="200" w:before="0" w:line="276"/>
        <w:jc w:val="left"/>
      </w:pPr>
      <w:r>
        <w:rPr>
          <w:rFonts w:ascii="Arial" w:cs="Arial" w:eastAsia="Arial" w:hAnsi="Arial"/>
          <w:b w:val="false"/>
          <w:bCs w:val="false"/>
          <w:i w:val="false"/>
          <w:iCs w:val="false"/>
          <w:color w:val="000000"/>
          <w:sz w:val="22"/>
          <w:szCs w:val="22"/>
        </w:rPr>
        <w:t xml:space="preserve">Integrated financial targeting packages (Action 1.1) should directly feed BIS Entity List and MEU List designation pipelines. SAR data identifying procurement routing behavior (Action 1.4) provides the evidentiary basis for BIS end-use determinations. The interagency targeting cell should produce joint FinCEN-BIS referral products on a quarterly cycle.</w:t>
      </w:r>
    </w:p>
    <w:p>
      <w:pPr>
        <w:pStyle w:val="Heading2"/>
        <w:spacing w:after="180" w:before="280"/>
      </w:pPr>
      <w:r>
        <w:rPr>
          <w:rFonts w:ascii="Arial" w:cs="Arial" w:eastAsia="Arial" w:hAnsi="Arial"/>
          <w:b/>
          <w:bCs/>
          <w:color w:val="1B2A4A"/>
          <w:sz w:val="26"/>
          <w:szCs w:val="26"/>
        </w:rPr>
        <w:t xml:space="preserve">BIS → State Linkage</w:t>
      </w:r>
    </w:p>
    <w:p>
      <w:pPr>
        <w:spacing w:after="200" w:before="0" w:line="276"/>
        <w:jc w:val="left"/>
      </w:pPr>
      <w:r>
        <w:rPr>
          <w:rFonts w:ascii="Arial" w:cs="Arial" w:eastAsia="Arial" w:hAnsi="Arial"/>
          <w:b w:val="false"/>
          <w:bCs w:val="false"/>
          <w:i w:val="false"/>
          <w:iCs w:val="false"/>
          <w:color w:val="000000"/>
          <w:sz w:val="22"/>
          <w:szCs w:val="22"/>
        </w:rPr>
        <w:t xml:space="preserve">BIS enforcement actions and Entity List designations provide the evidentiary foundation for Wassenaar proposals (Action 3.1) and bilateral enforcement negotiations (Action 3.3). Demonstrated U.S. enforcement credibility—particularly debarment actions against allied-nation firms (Action 2.3)—is the primary driver of allied compliance motivation.</w:t>
      </w:r>
    </w:p>
    <w:p>
      <w:pPr>
        <w:pStyle w:val="Heading2"/>
        <w:spacing w:after="180" w:before="280"/>
      </w:pPr>
      <w:r>
        <w:rPr>
          <w:rFonts w:ascii="Arial" w:cs="Arial" w:eastAsia="Arial" w:hAnsi="Arial"/>
          <w:b/>
          <w:bCs/>
          <w:color w:val="1B2A4A"/>
          <w:sz w:val="26"/>
          <w:szCs w:val="26"/>
        </w:rPr>
        <w:t xml:space="preserve">State → FinCEN Linkage</w:t>
      </w:r>
    </w:p>
    <w:p>
      <w:pPr>
        <w:spacing w:after="200" w:before="0" w:line="276"/>
        <w:jc w:val="left"/>
      </w:pPr>
      <w:r>
        <w:rPr>
          <w:rFonts w:ascii="Arial" w:cs="Arial" w:eastAsia="Arial" w:hAnsi="Arial"/>
          <w:b w:val="false"/>
          <w:bCs w:val="false"/>
          <w:i w:val="false"/>
          <w:iCs w:val="false"/>
          <w:color w:val="000000"/>
          <w:sz w:val="22"/>
          <w:szCs w:val="22"/>
        </w:rPr>
        <w:t xml:space="preserve">Diplomatic intelligence from bilateral enforcement negotiations (Action 3.3) and transshipment node engagement identifies new financial intermediaries for FinCEN targeting. Allied government information sharing on PRC procurement networks feeds the integrated targeting cell (Action 1.1), creating a closed loop.</w:t>
      </w:r>
    </w:p>
    <w:p>
      <w:pPr>
        <w:pStyle w:val="Heading2"/>
        <w:spacing w:after="180" w:before="280"/>
      </w:pPr>
      <w:r>
        <w:rPr>
          <w:rFonts w:ascii="Arial" w:cs="Arial" w:eastAsia="Arial" w:hAnsi="Arial"/>
          <w:b/>
          <w:bCs/>
          <w:color w:val="1B2A4A"/>
          <w:sz w:val="26"/>
          <w:szCs w:val="26"/>
        </w:rPr>
        <w:t xml:space="preserve">Feedback Loop Integrity</w:t>
      </w:r>
    </w:p>
    <w:p>
      <w:pPr>
        <w:spacing w:after="200" w:before="0" w:line="276"/>
        <w:jc w:val="left"/>
      </w:pPr>
      <w:r>
        <w:rPr>
          <w:rFonts w:ascii="Arial" w:cs="Arial" w:eastAsia="Arial" w:hAnsi="Arial"/>
          <w:b w:val="false"/>
          <w:bCs w:val="false"/>
          <w:i w:val="false"/>
          <w:iCs w:val="false"/>
          <w:color w:val="000000"/>
          <w:sz w:val="22"/>
          <w:szCs w:val="22"/>
        </w:rPr>
        <w:t xml:space="preserve">The Deputies Committee should establish a 90-day review cycle to assess synchronization effectiveness across all three LOEs. A principal indicator of synchronization failure would be increasing designation latency (LOE 1 metric) concurrent with stable or rising transshipment activity (LOE 3 metric), suggesting that financial targeting is not translating into observable enforcement effect.</w:t>
      </w:r>
    </w:p>
    <w:p>
      <w:pPr>
        <w:spacing w:after="200" w:before="0" w:line="276"/>
        <w:jc w:val="left"/>
      </w:pPr>
      <w:r>
        <w:rPr>
          <w:rFonts w:ascii="Arial" w:cs="Arial" w:eastAsia="Arial" w:hAnsi="Arial"/>
          <w:b w:val="false"/>
          <w:bCs w:val="false"/>
          <w:i w:val="false"/>
          <w:iCs w:val="false"/>
          <w:color w:val="000000"/>
          <w:sz w:val="22"/>
          <w:szCs w:val="22"/>
        </w:rPr>
        <w:t xml:space="preserve"/>
      </w:r>
      <w:r>
        <w:br w:type="page"/>
      </w:r>
    </w:p>
    <w:p>
      <w:pPr>
        <w:pStyle w:val="Heading1"/>
        <w:spacing w:after="240" w:before="360"/>
      </w:pPr>
      <w:r>
        <w:rPr>
          <w:rFonts w:ascii="Arial" w:cs="Arial" w:eastAsia="Arial" w:hAnsi="Arial"/>
          <w:b/>
          <w:bCs/>
          <w:color w:val="1B2A4A"/>
          <w:sz w:val="32"/>
          <w:szCs w:val="32"/>
        </w:rPr>
        <w:t xml:space="preserve">Risk Register</w:t>
      </w:r>
    </w:p>
    <w:p>
      <w:pPr>
        <w:pStyle w:val="Heading2"/>
        <w:spacing w:after="180" w:before="280"/>
      </w:pPr>
      <w:r>
        <w:rPr>
          <w:rFonts w:ascii="Arial" w:cs="Arial" w:eastAsia="Arial" w:hAnsi="Arial"/>
          <w:b/>
          <w:bCs/>
          <w:color w:val="1B2A4A"/>
          <w:sz w:val="26"/>
          <w:szCs w:val="26"/>
        </w:rPr>
        <w:t xml:space="preserve">Legal Risk</w:t>
      </w:r>
    </w:p>
    <w:p>
      <w:pPr>
        <w:spacing w:after="200" w:before="0" w:line="276"/>
        <w:jc w:val="left"/>
      </w:pPr>
      <w:r>
        <w:rPr>
          <w:rFonts w:ascii="Arial" w:cs="Arial" w:eastAsia="Arial" w:hAnsi="Arial"/>
          <w:b/>
          <w:bCs/>
          <w:color w:val="000000"/>
          <w:sz w:val="22"/>
          <w:szCs w:val="22"/>
        </w:rPr>
        <w:t xml:space="preserve">Administrative Procedure Act exposure: </w:t>
      </w:r>
      <w:r>
        <w:rPr>
          <w:rFonts w:ascii="Arial" w:cs="Arial" w:eastAsia="Arial" w:hAnsi="Arial"/>
          <w:color w:val="000000"/>
          <w:sz w:val="22"/>
          <w:szCs w:val="22"/>
        </w:rPr>
        <w:t xml:space="preserve">Any more sector-oriented BIS control action would need a robust administrative record sufficient to withstand judicial review under applicable APA standards, including a clearly documented nexus between the controlled activity and national security risk. Insufficient evidentiary documentation creates reversal risk. Mitigation: ensure each designation package includes conduct-based evidentiary analysis consistent with relevant judicial precedents governing national security-related administrative actions.</w:t>
      </w:r>
    </w:p>
    <w:p>
      <w:pPr>
        <w:spacing w:after="200" w:before="0" w:line="276"/>
        <w:jc w:val="left"/>
      </w:pPr>
      <w:r>
        <w:rPr>
          <w:rFonts w:ascii="Arial" w:cs="Arial" w:eastAsia="Arial" w:hAnsi="Arial"/>
          <w:b/>
          <w:bCs/>
          <w:color w:val="000000"/>
          <w:sz w:val="22"/>
          <w:szCs w:val="22"/>
        </w:rPr>
        <w:t xml:space="preserve">Due process challenges: </w:t>
      </w:r>
      <w:r>
        <w:rPr>
          <w:rFonts w:ascii="Arial" w:cs="Arial" w:eastAsia="Arial" w:hAnsi="Arial"/>
          <w:color w:val="000000"/>
          <w:sz w:val="22"/>
          <w:szCs w:val="22"/>
        </w:rPr>
        <w:t xml:space="preserve">OFAC SDN designations of PRC entities with U.S. nexus (correspondent banking relationships, U.S.-person employees) may face due process challenges under the framework established in </w:t>
      </w:r>
      <w:r>
        <w:rPr>
          <w:rFonts w:ascii="Arial" w:cs="Arial" w:eastAsia="Arial" w:hAnsi="Arial"/>
          <w:i/>
          <w:iCs/>
          <w:color w:val="000000"/>
          <w:sz w:val="22"/>
          <w:szCs w:val="22"/>
        </w:rPr>
        <w:t xml:space="preserve">KindHearts for Charitable Humanitarian Development, Inc. v. Geithner</w:t>
      </w:r>
      <w:r>
        <w:rPr>
          <w:rFonts w:ascii="Arial" w:cs="Arial" w:eastAsia="Arial" w:hAnsi="Arial"/>
          <w:color w:val="000000"/>
          <w:sz w:val="22"/>
          <w:szCs w:val="22"/>
        </w:rPr>
        <w:t xml:space="preserve">, 647 F.Supp.2d 857 (N.D. Ohio 2009), and elaborated at the appellate level in </w:t>
      </w:r>
      <w:r>
        <w:rPr>
          <w:rFonts w:ascii="Arial" w:cs="Arial" w:eastAsia="Arial" w:hAnsi="Arial"/>
          <w:i/>
          <w:iCs/>
          <w:color w:val="000000"/>
          <w:sz w:val="22"/>
          <w:szCs w:val="22"/>
        </w:rPr>
        <w:t xml:space="preserve">Al Haramain Islamic Foundation, Inc. v. U.S. Dep’t of Treasury</w:t>
      </w:r>
      <w:r>
        <w:rPr>
          <w:rFonts w:ascii="Arial" w:cs="Arial" w:eastAsia="Arial" w:hAnsi="Arial"/>
          <w:color w:val="000000"/>
          <w:sz w:val="22"/>
          <w:szCs w:val="22"/>
        </w:rPr>
        <w:t xml:space="preserve">, 686 F.3d 965 (9th Cir. 2012).</w:t>
      </w:r>
      <w:r>
        <w:rPr>
          <w:rStyle w:val="FootnoteReference"/>
        </w:rPr>
        <w:footnoteReference w:id="44"/>
      </w:r>
      <w:r>
        <w:rPr>
          <w:rFonts w:ascii="Arial" w:cs="Arial" w:eastAsia="Arial" w:hAnsi="Arial"/>
          <w:color w:val="000000"/>
          <w:sz w:val="22"/>
          <w:szCs w:val="22"/>
        </w:rPr>
        <w:t xml:space="preserve"> Mitigation: ensure the government record, to the extent developed by relevant agencies, is sufficient to support </w:t>
      </w:r>
      <w:r>
        <w:rPr>
          <w:rFonts w:ascii="Arial" w:cs="Arial" w:eastAsia="Arial" w:hAnsi="Arial"/>
          <w:i/>
          <w:iCs/>
          <w:color w:val="000000"/>
          <w:sz w:val="22"/>
          <w:szCs w:val="22"/>
        </w:rPr>
        <w:t xml:space="preserve">in camera</w:t>
      </w:r>
      <w:r>
        <w:rPr>
          <w:rFonts w:ascii="Arial" w:cs="Arial" w:eastAsia="Arial" w:hAnsi="Arial"/>
          <w:color w:val="000000"/>
          <w:sz w:val="22"/>
          <w:szCs w:val="22"/>
        </w:rPr>
        <w:t xml:space="preserve"> or otherwise protected review where required.</w:t>
      </w:r>
    </w:p>
    <w:p>
      <w:pPr>
        <w:pStyle w:val="Heading2"/>
        <w:spacing w:after="180" w:before="280"/>
      </w:pPr>
      <w:r>
        <w:rPr>
          <w:rFonts w:ascii="Arial" w:cs="Arial" w:eastAsia="Arial" w:hAnsi="Arial"/>
          <w:b/>
          <w:bCs/>
          <w:color w:val="1B2A4A"/>
          <w:sz w:val="26"/>
          <w:szCs w:val="26"/>
        </w:rPr>
        <w:t xml:space="preserve">Market Stability Risk</w:t>
      </w:r>
    </w:p>
    <w:p>
      <w:pPr>
        <w:spacing w:after="200" w:before="0" w:line="276"/>
        <w:jc w:val="left"/>
      </w:pPr>
      <w:r>
        <w:rPr>
          <w:rFonts w:ascii="Arial" w:cs="Arial" w:eastAsia="Arial" w:hAnsi="Arial"/>
          <w:b w:val="false"/>
          <w:bCs w:val="false"/>
          <w:i w:val="false"/>
          <w:iCs w:val="false"/>
          <w:color w:val="000000"/>
          <w:sz w:val="22"/>
          <w:szCs w:val="22"/>
        </w:rPr>
        <w:t xml:space="preserve">Aggressive Section 311 findings against major intermediary financial institutions risk disrupting legitimate trade finance flows in dual-use technology sectors. Semiconductor supply chain disruptions—particularly in advanced packaging and HBM—could increase costs for U.S. technology firms dependent on TSMC and Samsung foundry services. Mitigation: phase Section 311 measures to target identified evasion networks rather than jurisdictional blanket designations.</w:t>
      </w:r>
    </w:p>
    <w:p>
      <w:pPr>
        <w:pStyle w:val="Heading2"/>
        <w:spacing w:after="180" w:before="280"/>
      </w:pPr>
      <w:r>
        <w:rPr>
          <w:rFonts w:ascii="Arial" w:cs="Arial" w:eastAsia="Arial" w:hAnsi="Arial"/>
          <w:b/>
          <w:bCs/>
          <w:color w:val="1B2A4A"/>
          <w:sz w:val="26"/>
          <w:szCs w:val="26"/>
        </w:rPr>
        <w:t xml:space="preserve">Coalition Durability Risk</w:t>
      </w:r>
    </w:p>
    <w:p>
      <w:pPr>
        <w:spacing w:after="200" w:before="0" w:line="276"/>
        <w:jc w:val="left"/>
      </w:pPr>
      <w:r>
        <w:rPr>
          <w:rFonts w:ascii="Arial" w:cs="Arial" w:eastAsia="Arial" w:hAnsi="Arial"/>
          <w:b w:val="false"/>
          <w:bCs w:val="false"/>
          <w:i w:val="false"/>
          <w:iCs w:val="false"/>
          <w:color w:val="000000"/>
          <w:sz w:val="22"/>
          <w:szCs w:val="22"/>
        </w:rPr>
        <w:t xml:space="preserve">Allied compliance with multilateral simulation software controls (Action 3.1) is contingent on perceived U.S. reciprocity and equitable burden-sharing. Unilateral U.S. debarment actions against European firms (Action 2.3) risk provoking retaliatory regulatory measures and accelerating EU strategic autonomy initiatives that would reduce U.S. leverage. EU divergence thresholds are assessed to be lower than Japan/ROK thresholds on this issue. Mitigation: sequence debarment actions after, not before, successful bilateral consultation.</w:t>
      </w:r>
    </w:p>
    <w:p>
      <w:pPr>
        <w:pStyle w:val="Heading2"/>
        <w:spacing w:after="180" w:before="280"/>
      </w:pPr>
      <w:r>
        <w:rPr>
          <w:rFonts w:ascii="Arial" w:cs="Arial" w:eastAsia="Arial" w:hAnsi="Arial"/>
          <w:b/>
          <w:bCs/>
          <w:color w:val="1B2A4A"/>
          <w:sz w:val="26"/>
          <w:szCs w:val="26"/>
        </w:rPr>
        <w:t xml:space="preserve">Adversary Adaptation Risk (Autarky Acceleration)</w:t>
      </w:r>
    </w:p>
    <w:p>
      <w:pPr>
        <w:spacing w:after="200" w:before="0" w:line="276"/>
        <w:jc w:val="left"/>
      </w:pPr>
      <w:r>
        <w:rPr>
          <w:rFonts w:ascii="Arial" w:cs="Arial" w:eastAsia="Arial" w:hAnsi="Arial"/>
          <w:color w:val="000000"/>
          <w:sz w:val="22"/>
          <w:szCs w:val="22"/>
        </w:rPr>
        <w:t xml:space="preserve">Every enforcement action that increases PRC procurement friction simultaneously increases PRC incentive and resource allocation for indigenous substitution. Preliminary open-source cybersecurity commentary suggests that export-controlled U.S.-origin simulation software may already have been replaced in at least some PRC defense-linked workflows by domestically developed alternatives.</w:t>
      </w:r>
      <w:r>
        <w:rPr>
          <w:rStyle w:val="FootnoteReference"/>
        </w:rPr>
        <w:footnoteReference w:id="45"/>
      </w:r>
      <w:r>
        <w:rPr>
          <w:rFonts w:ascii="Arial" w:cs="Arial" w:eastAsia="Arial" w:hAnsi="Arial"/>
          <w:color w:val="000000"/>
          <w:sz w:val="22"/>
          <w:szCs w:val="22"/>
        </w:rPr>
        <w:t xml:space="preserve"> We assess with moderate confidence that this pattern is likely to replicate across advanced packaging, EDA tools, and semiconductor manufacturing equipment on a multi-year timeline, although the pace and completeness of substitution cannot be reliably quantified from open-source reporting alone. Controls buy time; they do not create permanent advantage. The strategic return on enforcement actions depends entirely on whether the time purchased is used to accelerate U.S. domestic capability development (CHIPS Act implementation, workforce pipeline, AI ecosystem investment).</w:t>
      </w:r>
    </w:p>
    <w:p>
      <w:pPr>
        <w:pStyle w:val="Heading2"/>
        <w:spacing w:after="180" w:before="280"/>
      </w:pPr>
      <w:r>
        <w:rPr>
          <w:rFonts w:ascii="Arial" w:cs="Arial" w:eastAsia="Arial" w:hAnsi="Arial"/>
          <w:b/>
          <w:bCs/>
          <w:color w:val="1B2A4A"/>
          <w:sz w:val="26"/>
          <w:szCs w:val="26"/>
        </w:rPr>
        <w:t xml:space="preserve">Counterintelligence Risk</w:t>
      </w:r>
    </w:p>
    <w:p>
      <w:pPr>
        <w:spacing w:after="200" w:before="0" w:line="276"/>
        <w:jc w:val="left"/>
      </w:pPr>
      <w:r>
        <w:rPr>
          <w:rFonts w:ascii="Arial" w:cs="Arial" w:eastAsia="Arial" w:hAnsi="Arial"/>
          <w:b w:val="false"/>
          <w:bCs w:val="false"/>
          <w:i w:val="false"/>
          <w:iCs w:val="false"/>
          <w:color w:val="000000"/>
          <w:sz w:val="22"/>
          <w:szCs w:val="22"/>
        </w:rPr>
        <w:t xml:space="preserve">The publicly reported PRC defense-industrial data may constitute a controlled leak or deception operation. Policy actions calibrated to specific technical parameters derived from unverified breach data—particularly force posture adjustments based on reported weapons capability parameters—carry counterintelligence risk. Mitigation: segregate enforcement calibration actions (which are justified by observable procurement behavior regardless of breach authenticity) from force posture adaptations (which are dependent on technical parameter validity). This memorandum is scoped to the former.</w:t>
      </w:r>
    </w:p>
    <w:p>
      <w:pPr>
        <w:spacing w:after="200" w:before="0" w:line="276"/>
        <w:jc w:val="left"/>
      </w:pPr>
      <w:r>
        <w:rPr>
          <w:rFonts w:ascii="Arial" w:cs="Arial" w:eastAsia="Arial" w:hAnsi="Arial"/>
          <w:b w:val="false"/>
          <w:bCs w:val="false"/>
          <w:i w:val="false"/>
          <w:iCs w:val="false"/>
          <w:color w:val="000000"/>
          <w:sz w:val="22"/>
          <w:szCs w:val="22"/>
        </w:rPr>
        <w:t xml:space="preserve"/>
      </w:r>
      <w:r>
        <w:br w:type="page"/>
      </w:r>
    </w:p>
    <w:p>
      <w:pPr>
        <w:pStyle w:val="Heading1"/>
        <w:spacing w:after="240" w:before="360"/>
      </w:pPr>
      <w:r>
        <w:rPr>
          <w:rFonts w:ascii="Arial" w:cs="Arial" w:eastAsia="Arial" w:hAnsi="Arial"/>
          <w:b/>
          <w:bCs/>
          <w:color w:val="1B2A4A"/>
          <w:sz w:val="32"/>
          <w:szCs w:val="32"/>
        </w:rPr>
        <w:t xml:space="preserve">Decision Matrix</w:t>
      </w:r>
    </w:p>
    <w:p>
      <w:pPr>
        <w:spacing w:after="200" w:before="0" w:line="276"/>
        <w:jc w:val="left"/>
      </w:pPr>
      <w:r>
        <w:rPr>
          <w:rFonts w:ascii="Arial" w:cs="Arial" w:eastAsia="Arial" w:hAnsi="Arial"/>
          <w:b w:val="false"/>
          <w:bCs w:val="false"/>
          <w:i w:val="false"/>
          <w:iCs w:val="false"/>
          <w:color w:val="000000"/>
          <w:sz w:val="22"/>
          <w:szCs w:val="22"/>
        </w:rPr>
        <w:t xml:space="preserve">The following matrix categorizes recommended actions by the authority type required for implementation. Actions requiring only existing delegated authority can proceed upon Deputies Committee approval. The single action requiring new presidential directive issuance requires Principals Committee and presidential decision.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1200"/>
        <w:gridCol w:w="1960"/>
        <w:gridCol w:w="1800"/>
      </w:tblGrid>
      <w:tr>
        <w:tc>
          <w:tcPr>
            <w:tcW w:type="dxa" w:w="2600"/>
            <w:tcBorders>
              <w:top w:val="single" w:color="AAAAAA" w:sz="1"/>
              <w:left w:val="single" w:color="AAAAAA" w:sz="1"/>
              <w:bottom w:val="single" w:color="AAAAAA" w:sz="1"/>
              <w:right w:val="single" w:color="AAAAAA" w:sz="1"/>
            </w:tcBorders>
            <w:shd w:fill="D5DDE5" w:val="clear"/>
            <w:tcMar>
              <w:top w:type="dxa" w:w="60"/>
              <w:left w:type="dxa" w:w="100"/>
              <w:bottom w:type="dxa" w:w="60"/>
              <w:right w:type="dxa" w:w="100"/>
            </w:tcMar>
          </w:tcPr>
          <w:p>
            <w:pPr>
              <w:spacing w:after="40"/>
            </w:pPr>
            <w:r>
              <w:rPr>
                <w:rFonts w:ascii="Arial" w:cs="Arial" w:eastAsia="Arial" w:hAnsi="Arial"/>
                <w:b/>
                <w:bCs/>
                <w:color w:val="000000"/>
                <w:sz w:val="20"/>
                <w:szCs w:val="20"/>
              </w:rPr>
              <w:t xml:space="preserve">Action</w:t>
            </w:r>
          </w:p>
        </w:tc>
        <w:tc>
          <w:tcPr>
            <w:tcW w:type="dxa" w:w="1800"/>
            <w:tcBorders>
              <w:top w:val="single" w:color="AAAAAA" w:sz="1"/>
              <w:left w:val="single" w:color="AAAAAA" w:sz="1"/>
              <w:bottom w:val="single" w:color="AAAAAA" w:sz="1"/>
              <w:right w:val="single" w:color="AAAAAA" w:sz="1"/>
            </w:tcBorders>
            <w:shd w:fill="D5DDE5" w:val="clear"/>
            <w:tcMar>
              <w:top w:type="dxa" w:w="60"/>
              <w:left w:type="dxa" w:w="100"/>
              <w:bottom w:type="dxa" w:w="60"/>
              <w:right w:type="dxa" w:w="100"/>
            </w:tcMar>
          </w:tcPr>
          <w:p>
            <w:pPr>
              <w:spacing w:after="40"/>
            </w:pPr>
            <w:r>
              <w:rPr>
                <w:rFonts w:ascii="Arial" w:cs="Arial" w:eastAsia="Arial" w:hAnsi="Arial"/>
                <w:b/>
                <w:bCs/>
                <w:color w:val="000000"/>
                <w:sz w:val="20"/>
                <w:szCs w:val="20"/>
              </w:rPr>
              <w:t xml:space="preserve">Authority Type</w:t>
            </w:r>
          </w:p>
        </w:tc>
        <w:tc>
          <w:tcPr>
            <w:tcW w:type="dxa" w:w="1200"/>
            <w:tcBorders>
              <w:top w:val="single" w:color="AAAAAA" w:sz="1"/>
              <w:left w:val="single" w:color="AAAAAA" w:sz="1"/>
              <w:bottom w:val="single" w:color="AAAAAA" w:sz="1"/>
              <w:right w:val="single" w:color="AAAAAA" w:sz="1"/>
            </w:tcBorders>
            <w:shd w:fill="D5DDE5" w:val="clear"/>
            <w:tcMar>
              <w:top w:type="dxa" w:w="60"/>
              <w:left w:type="dxa" w:w="100"/>
              <w:bottom w:type="dxa" w:w="60"/>
              <w:right w:type="dxa" w:w="100"/>
            </w:tcMar>
          </w:tcPr>
          <w:p>
            <w:pPr>
              <w:spacing w:after="40"/>
            </w:pPr>
            <w:r>
              <w:rPr>
                <w:rFonts w:ascii="Arial" w:cs="Arial" w:eastAsia="Arial" w:hAnsi="Arial"/>
                <w:b/>
                <w:bCs/>
                <w:color w:val="000000"/>
                <w:sz w:val="20"/>
                <w:szCs w:val="20"/>
              </w:rPr>
              <w:t xml:space="preserve">New EO Req.</w:t>
            </w:r>
          </w:p>
        </w:tc>
        <w:tc>
          <w:tcPr>
            <w:tcW w:type="dxa" w:w="1960"/>
            <w:tcBorders>
              <w:top w:val="single" w:color="AAAAAA" w:sz="1"/>
              <w:left w:val="single" w:color="AAAAAA" w:sz="1"/>
              <w:bottom w:val="single" w:color="AAAAAA" w:sz="1"/>
              <w:right w:val="single" w:color="AAAAAA" w:sz="1"/>
            </w:tcBorders>
            <w:shd w:fill="D5DDE5" w:val="clear"/>
            <w:tcMar>
              <w:top w:type="dxa" w:w="60"/>
              <w:left w:type="dxa" w:w="100"/>
              <w:bottom w:type="dxa" w:w="60"/>
              <w:right w:type="dxa" w:w="100"/>
            </w:tcMar>
          </w:tcPr>
          <w:p>
            <w:pPr>
              <w:spacing w:after="40"/>
            </w:pPr>
            <w:r>
              <w:rPr>
                <w:rFonts w:ascii="Arial" w:cs="Arial" w:eastAsia="Arial" w:hAnsi="Arial"/>
                <w:b/>
                <w:bCs/>
                <w:color w:val="000000"/>
                <w:sz w:val="20"/>
                <w:szCs w:val="20"/>
              </w:rPr>
              <w:t xml:space="preserve">Lead Agency</w:t>
            </w:r>
          </w:p>
        </w:tc>
        <w:tc>
          <w:tcPr>
            <w:tcW w:type="dxa" w:w="1800"/>
            <w:tcBorders>
              <w:top w:val="single" w:color="AAAAAA" w:sz="1"/>
              <w:left w:val="single" w:color="AAAAAA" w:sz="1"/>
              <w:bottom w:val="single" w:color="AAAAAA" w:sz="1"/>
              <w:right w:val="single" w:color="AAAAAA" w:sz="1"/>
            </w:tcBorders>
            <w:shd w:fill="D5DDE5" w:val="clear"/>
            <w:tcMar>
              <w:top w:type="dxa" w:w="60"/>
              <w:left w:type="dxa" w:w="100"/>
              <w:bottom w:type="dxa" w:w="60"/>
              <w:right w:type="dxa" w:w="100"/>
            </w:tcMar>
          </w:tcPr>
          <w:p>
            <w:pPr>
              <w:spacing w:after="40"/>
            </w:pPr>
            <w:r>
              <w:rPr>
                <w:rFonts w:ascii="Arial" w:cs="Arial" w:eastAsia="Arial" w:hAnsi="Arial"/>
                <w:b/>
                <w:bCs/>
                <w:color w:val="000000"/>
                <w:sz w:val="20"/>
                <w:szCs w:val="20"/>
              </w:rPr>
              <w:t xml:space="preserve">Timeline</w:t>
            </w:r>
          </w:p>
        </w:tc>
      </w:tr>
      <w:tr>
        <w:tc>
          <w:tcPr>
            <w:tcW w:type="dxa" w:w="2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1.1 Unified targeting cell</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Delegated</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No</w:t>
            </w:r>
          </w:p>
        </w:tc>
        <w:tc>
          <w:tcPr>
            <w:tcW w:type="dxa" w:w="19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Treasury / FinCEN</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90 days</w:t>
            </w:r>
          </w:p>
        </w:tc>
      </w:tr>
      <w:tr>
        <w:tc>
          <w:tcPr>
            <w:tcW w:type="dxa" w:w="2600"/>
            <w:tcBorders>
              <w:top w:val="single" w:color="AAAAAA" w:sz="1"/>
              <w:left w:val="single" w:color="AAAAAA" w:sz="1"/>
              <w:bottom w:val="single" w:color="AAAAAA" w:sz="1"/>
              <w:right w:val="single" w:color="AAAAAA" w:sz="1"/>
            </w:tcBorders>
            <w:shd w:fill="F2F5F7" w:val="clear"/>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1.2 Section 311 finding</w:t>
            </w:r>
          </w:p>
        </w:tc>
        <w:tc>
          <w:tcPr>
            <w:tcW w:type="dxa" w:w="1800"/>
            <w:tcBorders>
              <w:top w:val="single" w:color="AAAAAA" w:sz="1"/>
              <w:left w:val="single" w:color="AAAAAA" w:sz="1"/>
              <w:bottom w:val="single" w:color="AAAAAA" w:sz="1"/>
              <w:right w:val="single" w:color="AAAAAA" w:sz="1"/>
            </w:tcBorders>
            <w:shd w:fill="F2F5F7" w:val="clear"/>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Delegated (rulemaking)</w:t>
            </w:r>
          </w:p>
        </w:tc>
        <w:tc>
          <w:tcPr>
            <w:tcW w:type="dxa" w:w="1200"/>
            <w:tcBorders>
              <w:top w:val="single" w:color="AAAAAA" w:sz="1"/>
              <w:left w:val="single" w:color="AAAAAA" w:sz="1"/>
              <w:bottom w:val="single" w:color="AAAAAA" w:sz="1"/>
              <w:right w:val="single" w:color="AAAAAA" w:sz="1"/>
            </w:tcBorders>
            <w:shd w:fill="F2F5F7" w:val="clear"/>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No</w:t>
            </w:r>
          </w:p>
        </w:tc>
        <w:tc>
          <w:tcPr>
            <w:tcW w:type="dxa" w:w="1960"/>
            <w:tcBorders>
              <w:top w:val="single" w:color="AAAAAA" w:sz="1"/>
              <w:left w:val="single" w:color="AAAAAA" w:sz="1"/>
              <w:bottom w:val="single" w:color="AAAAAA" w:sz="1"/>
              <w:right w:val="single" w:color="AAAAAA" w:sz="1"/>
            </w:tcBorders>
            <w:shd w:fill="F2F5F7" w:val="clear"/>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Treasury / FinCEN</w:t>
            </w:r>
          </w:p>
        </w:tc>
        <w:tc>
          <w:tcPr>
            <w:tcW w:type="dxa" w:w="1800"/>
            <w:tcBorders>
              <w:top w:val="single" w:color="AAAAAA" w:sz="1"/>
              <w:left w:val="single" w:color="AAAAAA" w:sz="1"/>
              <w:bottom w:val="single" w:color="AAAAAA" w:sz="1"/>
              <w:right w:val="single" w:color="AAAAAA" w:sz="1"/>
            </w:tcBorders>
            <w:shd w:fill="F2F5F7" w:val="clear"/>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180 days</w:t>
            </w:r>
          </w:p>
        </w:tc>
      </w:tr>
      <w:tr>
        <w:tc>
          <w:tcPr>
            <w:tcW w:type="dxa" w:w="2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1.3 Expedited SDN pipeline</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Delegated</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No</w:t>
            </w:r>
          </w:p>
        </w:tc>
        <w:tc>
          <w:tcPr>
            <w:tcW w:type="dxa" w:w="19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Treasury / OFAC</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90 days</w:t>
            </w:r>
          </w:p>
        </w:tc>
      </w:tr>
      <w:tr>
        <w:tc>
          <w:tcPr>
            <w:tcW w:type="dxa" w:w="2600"/>
            <w:tcBorders>
              <w:top w:val="single" w:color="AAAAAA" w:sz="1"/>
              <w:left w:val="single" w:color="AAAAAA" w:sz="1"/>
              <w:bottom w:val="single" w:color="AAAAAA" w:sz="1"/>
              <w:right w:val="single" w:color="AAAAAA" w:sz="1"/>
            </w:tcBorders>
            <w:shd w:fill="F2F5F7" w:val="clear"/>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1.4 SAR advisory</w:t>
            </w:r>
          </w:p>
        </w:tc>
        <w:tc>
          <w:tcPr>
            <w:tcW w:type="dxa" w:w="1800"/>
            <w:tcBorders>
              <w:top w:val="single" w:color="AAAAAA" w:sz="1"/>
              <w:left w:val="single" w:color="AAAAAA" w:sz="1"/>
              <w:bottom w:val="single" w:color="AAAAAA" w:sz="1"/>
              <w:right w:val="single" w:color="AAAAAA" w:sz="1"/>
            </w:tcBorders>
            <w:shd w:fill="F2F5F7" w:val="clear"/>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Delegated</w:t>
            </w:r>
          </w:p>
        </w:tc>
        <w:tc>
          <w:tcPr>
            <w:tcW w:type="dxa" w:w="1200"/>
            <w:tcBorders>
              <w:top w:val="single" w:color="AAAAAA" w:sz="1"/>
              <w:left w:val="single" w:color="AAAAAA" w:sz="1"/>
              <w:bottom w:val="single" w:color="AAAAAA" w:sz="1"/>
              <w:right w:val="single" w:color="AAAAAA" w:sz="1"/>
            </w:tcBorders>
            <w:shd w:fill="F2F5F7" w:val="clear"/>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No</w:t>
            </w:r>
          </w:p>
        </w:tc>
        <w:tc>
          <w:tcPr>
            <w:tcW w:type="dxa" w:w="1960"/>
            <w:tcBorders>
              <w:top w:val="single" w:color="AAAAAA" w:sz="1"/>
              <w:left w:val="single" w:color="AAAAAA" w:sz="1"/>
              <w:bottom w:val="single" w:color="AAAAAA" w:sz="1"/>
              <w:right w:val="single" w:color="AAAAAA" w:sz="1"/>
            </w:tcBorders>
            <w:shd w:fill="F2F5F7" w:val="clear"/>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Treasury / FinCEN</w:t>
            </w:r>
          </w:p>
        </w:tc>
        <w:tc>
          <w:tcPr>
            <w:tcW w:type="dxa" w:w="1800"/>
            <w:tcBorders>
              <w:top w:val="single" w:color="AAAAAA" w:sz="1"/>
              <w:left w:val="single" w:color="AAAAAA" w:sz="1"/>
              <w:bottom w:val="single" w:color="AAAAAA" w:sz="1"/>
              <w:right w:val="single" w:color="AAAAAA" w:sz="1"/>
            </w:tcBorders>
            <w:shd w:fill="F2F5F7" w:val="clear"/>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90 days</w:t>
            </w:r>
          </w:p>
        </w:tc>
      </w:tr>
      <w:tr>
        <w:tc>
          <w:tcPr>
            <w:tcW w:type="dxa" w:w="2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2.1 Sector-oriented controls</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Delegated (rulemaking)</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No</w:t>
            </w:r>
          </w:p>
        </w:tc>
        <w:tc>
          <w:tcPr>
            <w:tcW w:type="dxa" w:w="19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Commerce / BIS</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180 days</w:t>
            </w:r>
          </w:p>
        </w:tc>
      </w:tr>
      <w:tr>
        <w:tc>
          <w:tcPr>
            <w:tcW w:type="dxa" w:w="2600"/>
            <w:tcBorders>
              <w:top w:val="single" w:color="AAAAAA" w:sz="1"/>
              <w:left w:val="single" w:color="AAAAAA" w:sz="1"/>
              <w:bottom w:val="single" w:color="AAAAAA" w:sz="1"/>
              <w:right w:val="single" w:color="AAAAAA" w:sz="1"/>
            </w:tcBorders>
            <w:shd w:fill="F2F5F7" w:val="clear"/>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2.2 ECCN expansion</w:t>
            </w:r>
          </w:p>
        </w:tc>
        <w:tc>
          <w:tcPr>
            <w:tcW w:type="dxa" w:w="1800"/>
            <w:tcBorders>
              <w:top w:val="single" w:color="AAAAAA" w:sz="1"/>
              <w:left w:val="single" w:color="AAAAAA" w:sz="1"/>
              <w:bottom w:val="single" w:color="AAAAAA" w:sz="1"/>
              <w:right w:val="single" w:color="AAAAAA" w:sz="1"/>
            </w:tcBorders>
            <w:shd w:fill="F2F5F7" w:val="clear"/>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Delegated + multilateral</w:t>
            </w:r>
          </w:p>
        </w:tc>
        <w:tc>
          <w:tcPr>
            <w:tcW w:type="dxa" w:w="1200"/>
            <w:tcBorders>
              <w:top w:val="single" w:color="AAAAAA" w:sz="1"/>
              <w:left w:val="single" w:color="AAAAAA" w:sz="1"/>
              <w:bottom w:val="single" w:color="AAAAAA" w:sz="1"/>
              <w:right w:val="single" w:color="AAAAAA" w:sz="1"/>
            </w:tcBorders>
            <w:shd w:fill="F2F5F7" w:val="clear"/>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No</w:t>
            </w:r>
          </w:p>
        </w:tc>
        <w:tc>
          <w:tcPr>
            <w:tcW w:type="dxa" w:w="1960"/>
            <w:tcBorders>
              <w:top w:val="single" w:color="AAAAAA" w:sz="1"/>
              <w:left w:val="single" w:color="AAAAAA" w:sz="1"/>
              <w:bottom w:val="single" w:color="AAAAAA" w:sz="1"/>
              <w:right w:val="single" w:color="AAAAAA" w:sz="1"/>
            </w:tcBorders>
            <w:shd w:fill="F2F5F7" w:val="clear"/>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Commerce / BIS</w:t>
            </w:r>
          </w:p>
        </w:tc>
        <w:tc>
          <w:tcPr>
            <w:tcW w:type="dxa" w:w="1800"/>
            <w:tcBorders>
              <w:top w:val="single" w:color="AAAAAA" w:sz="1"/>
              <w:left w:val="single" w:color="AAAAAA" w:sz="1"/>
              <w:bottom w:val="single" w:color="AAAAAA" w:sz="1"/>
              <w:right w:val="single" w:color="AAAAAA" w:sz="1"/>
            </w:tcBorders>
            <w:shd w:fill="F2F5F7" w:val="clear"/>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360 days</w:t>
            </w:r>
          </w:p>
        </w:tc>
      </w:tr>
      <w:tr>
        <w:tc>
          <w:tcPr>
            <w:tcW w:type="dxa" w:w="2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2.3 Debarment enhancement</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Delegated</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No</w:t>
            </w:r>
          </w:p>
        </w:tc>
        <w:tc>
          <w:tcPr>
            <w:tcW w:type="dxa" w:w="19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Commerce-DOJ</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90 days</w:t>
            </w:r>
          </w:p>
        </w:tc>
      </w:tr>
      <w:tr>
        <w:tc>
          <w:tcPr>
            <w:tcW w:type="dxa" w:w="2600"/>
            <w:tcBorders>
              <w:top w:val="single" w:color="AAAAAA" w:sz="1"/>
              <w:left w:val="single" w:color="AAAAAA" w:sz="1"/>
              <w:bottom w:val="single" w:color="AAAAAA" w:sz="1"/>
              <w:right w:val="single" w:color="AAAAAA" w:sz="1"/>
            </w:tcBorders>
            <w:shd w:fill="F2F5F7" w:val="clear"/>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2.4 End-use monitoring</w:t>
            </w:r>
          </w:p>
        </w:tc>
        <w:tc>
          <w:tcPr>
            <w:tcW w:type="dxa" w:w="1800"/>
            <w:tcBorders>
              <w:top w:val="single" w:color="AAAAAA" w:sz="1"/>
              <w:left w:val="single" w:color="AAAAAA" w:sz="1"/>
              <w:bottom w:val="single" w:color="AAAAAA" w:sz="1"/>
              <w:right w:val="single" w:color="AAAAAA" w:sz="1"/>
            </w:tcBorders>
            <w:shd w:fill="F2F5F7" w:val="clear"/>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Delegated (resource)</w:t>
            </w:r>
          </w:p>
        </w:tc>
        <w:tc>
          <w:tcPr>
            <w:tcW w:type="dxa" w:w="1200"/>
            <w:tcBorders>
              <w:top w:val="single" w:color="AAAAAA" w:sz="1"/>
              <w:left w:val="single" w:color="AAAAAA" w:sz="1"/>
              <w:bottom w:val="single" w:color="AAAAAA" w:sz="1"/>
              <w:right w:val="single" w:color="AAAAAA" w:sz="1"/>
            </w:tcBorders>
            <w:shd w:fill="F2F5F7" w:val="clear"/>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No</w:t>
            </w:r>
          </w:p>
        </w:tc>
        <w:tc>
          <w:tcPr>
            <w:tcW w:type="dxa" w:w="1960"/>
            <w:tcBorders>
              <w:top w:val="single" w:color="AAAAAA" w:sz="1"/>
              <w:left w:val="single" w:color="AAAAAA" w:sz="1"/>
              <w:bottom w:val="single" w:color="AAAAAA" w:sz="1"/>
              <w:right w:val="single" w:color="AAAAAA" w:sz="1"/>
            </w:tcBorders>
            <w:shd w:fill="F2F5F7" w:val="clear"/>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Commerce / BIS</w:t>
            </w:r>
          </w:p>
        </w:tc>
        <w:tc>
          <w:tcPr>
            <w:tcW w:type="dxa" w:w="1800"/>
            <w:tcBorders>
              <w:top w:val="single" w:color="AAAAAA" w:sz="1"/>
              <w:left w:val="single" w:color="AAAAAA" w:sz="1"/>
              <w:bottom w:val="single" w:color="AAAAAA" w:sz="1"/>
              <w:right w:val="single" w:color="AAAAAA" w:sz="1"/>
            </w:tcBorders>
            <w:shd w:fill="F2F5F7" w:val="clear"/>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180 days</w:t>
            </w:r>
          </w:p>
        </w:tc>
      </w:tr>
      <w:tr>
        <w:tc>
          <w:tcPr>
            <w:tcW w:type="dxa" w:w="2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3.1 Wassenaar proposal</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Multilateral diplomatic</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No</w:t>
            </w:r>
          </w:p>
        </w:tc>
        <w:tc>
          <w:tcPr>
            <w:tcW w:type="dxa" w:w="19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State / ISN/T</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360 days</w:t>
            </w:r>
          </w:p>
        </w:tc>
      </w:tr>
      <w:tr>
        <w:tc>
          <w:tcPr>
            <w:tcW w:type="dxa" w:w="2600"/>
            <w:tcBorders>
              <w:top w:val="single" w:color="AAAAAA" w:sz="1"/>
              <w:left w:val="single" w:color="AAAAAA" w:sz="1"/>
              <w:bottom w:val="single" w:color="AAAAAA" w:sz="1"/>
              <w:right w:val="single" w:color="AAAAAA" w:sz="1"/>
            </w:tcBorders>
            <w:shd w:fill="F2F5F7" w:val="clear"/>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3.2 Bilateral equipment controls</w:t>
            </w:r>
          </w:p>
        </w:tc>
        <w:tc>
          <w:tcPr>
            <w:tcW w:type="dxa" w:w="1800"/>
            <w:tcBorders>
              <w:top w:val="single" w:color="AAAAAA" w:sz="1"/>
              <w:left w:val="single" w:color="AAAAAA" w:sz="1"/>
              <w:bottom w:val="single" w:color="AAAAAA" w:sz="1"/>
              <w:right w:val="single" w:color="AAAAAA" w:sz="1"/>
            </w:tcBorders>
            <w:shd w:fill="F2F5F7" w:val="clear"/>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Bilateral diplomatic</w:t>
            </w:r>
          </w:p>
        </w:tc>
        <w:tc>
          <w:tcPr>
            <w:tcW w:type="dxa" w:w="1200"/>
            <w:tcBorders>
              <w:top w:val="single" w:color="AAAAAA" w:sz="1"/>
              <w:left w:val="single" w:color="AAAAAA" w:sz="1"/>
              <w:bottom w:val="single" w:color="AAAAAA" w:sz="1"/>
              <w:right w:val="single" w:color="AAAAAA" w:sz="1"/>
            </w:tcBorders>
            <w:shd w:fill="F2F5F7" w:val="clear"/>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No</w:t>
            </w:r>
          </w:p>
        </w:tc>
        <w:tc>
          <w:tcPr>
            <w:tcW w:type="dxa" w:w="1960"/>
            <w:tcBorders>
              <w:top w:val="single" w:color="AAAAAA" w:sz="1"/>
              <w:left w:val="single" w:color="AAAAAA" w:sz="1"/>
              <w:bottom w:val="single" w:color="AAAAAA" w:sz="1"/>
              <w:right w:val="single" w:color="AAAAAA" w:sz="1"/>
            </w:tcBorders>
            <w:shd w:fill="F2F5F7" w:val="clear"/>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State / Commerce</w:t>
            </w:r>
          </w:p>
        </w:tc>
        <w:tc>
          <w:tcPr>
            <w:tcW w:type="dxa" w:w="1800"/>
            <w:tcBorders>
              <w:top w:val="single" w:color="AAAAAA" w:sz="1"/>
              <w:left w:val="single" w:color="AAAAAA" w:sz="1"/>
              <w:bottom w:val="single" w:color="AAAAAA" w:sz="1"/>
              <w:right w:val="single" w:color="AAAAAA" w:sz="1"/>
            </w:tcBorders>
            <w:shd w:fill="F2F5F7" w:val="clear"/>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360 days</w:t>
            </w:r>
          </w:p>
        </w:tc>
      </w:tr>
      <w:tr>
        <w:tc>
          <w:tcPr>
            <w:tcW w:type="dxa" w:w="2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3.3 Transshipment agreements</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Bilateral diplomatic</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No</w:t>
            </w:r>
          </w:p>
        </w:tc>
        <w:tc>
          <w:tcPr>
            <w:tcW w:type="dxa" w:w="19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State</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360 days</w:t>
            </w:r>
          </w:p>
        </w:tc>
      </w:tr>
      <w:tr>
        <w:tc>
          <w:tcPr>
            <w:tcW w:type="dxa" w:w="2600"/>
            <w:tcBorders>
              <w:top w:val="single" w:color="AAAAAA" w:sz="1"/>
              <w:left w:val="single" w:color="AAAAAA" w:sz="1"/>
              <w:bottom w:val="single" w:color="AAAAAA" w:sz="1"/>
              <w:right w:val="single" w:color="AAAAAA" w:sz="1"/>
            </w:tcBorders>
            <w:shd w:fill="F2F5F7" w:val="clear"/>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3.4 Financial deterrence NSPM</w:t>
            </w:r>
          </w:p>
        </w:tc>
        <w:tc>
          <w:tcPr>
            <w:tcW w:type="dxa" w:w="1800"/>
            <w:tcBorders>
              <w:top w:val="single" w:color="AAAAAA" w:sz="1"/>
              <w:left w:val="single" w:color="AAAAAA" w:sz="1"/>
              <w:bottom w:val="single" w:color="AAAAAA" w:sz="1"/>
              <w:right w:val="single" w:color="AAAAAA" w:sz="1"/>
            </w:tcBorders>
            <w:shd w:fill="F2F5F7" w:val="clear"/>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Presidential decision</w:t>
            </w:r>
          </w:p>
        </w:tc>
        <w:tc>
          <w:tcPr>
            <w:tcW w:type="dxa" w:w="1200"/>
            <w:tcBorders>
              <w:top w:val="single" w:color="AAAAAA" w:sz="1"/>
              <w:left w:val="single" w:color="AAAAAA" w:sz="1"/>
              <w:bottom w:val="single" w:color="AAAAAA" w:sz="1"/>
              <w:right w:val="single" w:color="AAAAAA" w:sz="1"/>
            </w:tcBorders>
            <w:shd w:fill="F2F5F7" w:val="clear"/>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Yes (NSPM)</w:t>
            </w:r>
          </w:p>
        </w:tc>
        <w:tc>
          <w:tcPr>
            <w:tcW w:type="dxa" w:w="1960"/>
            <w:tcBorders>
              <w:top w:val="single" w:color="AAAAAA" w:sz="1"/>
              <w:left w:val="single" w:color="AAAAAA" w:sz="1"/>
              <w:bottom w:val="single" w:color="AAAAAA" w:sz="1"/>
              <w:right w:val="single" w:color="AAAAAA" w:sz="1"/>
            </w:tcBorders>
            <w:shd w:fill="F2F5F7" w:val="clear"/>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NSC / Treasury</w:t>
            </w:r>
          </w:p>
        </w:tc>
        <w:tc>
          <w:tcPr>
            <w:tcW w:type="dxa" w:w="1800"/>
            <w:tcBorders>
              <w:top w:val="single" w:color="AAAAAA" w:sz="1"/>
              <w:left w:val="single" w:color="AAAAAA" w:sz="1"/>
              <w:bottom w:val="single" w:color="AAAAAA" w:sz="1"/>
              <w:right w:val="single" w:color="AAAAAA" w:sz="1"/>
            </w:tcBorders>
            <w:shd w:fill="F2F5F7" w:val="clear"/>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360 days</w:t>
            </w:r>
          </w:p>
        </w:tc>
      </w:tr>
    </w:tbl>
    <w:p>
      <w:pPr>
        <w:spacing w:after="200" w:before="0" w:line="276"/>
        <w:jc w:val="left"/>
      </w:pPr>
      <w:r>
        <w:rPr>
          <w:rFonts w:ascii="Arial" w:cs="Arial" w:eastAsia="Arial" w:hAnsi="Arial"/>
          <w:b w:val="false"/>
          <w:bCs w:val="false"/>
          <w:i w:val="false"/>
          <w:iCs w:val="false"/>
          <w:color w:val="000000"/>
          <w:sz w:val="22"/>
          <w:szCs w:val="22"/>
        </w:rPr>
        <w:t xml:space="preserve"/>
      </w:r>
    </w:p>
    <w:p>
      <w:pPr>
        <w:spacing w:after="200" w:before="0" w:line="276"/>
        <w:jc w:val="left"/>
      </w:pPr>
      <w:r>
        <w:rPr>
          <w:rFonts w:ascii="Arial" w:cs="Arial" w:eastAsia="Arial" w:hAnsi="Arial"/>
          <w:b w:val="false"/>
          <w:bCs w:val="false"/>
          <w:i w:val="false"/>
          <w:iCs w:val="false"/>
          <w:color w:val="000000"/>
          <w:sz w:val="22"/>
          <w:szCs w:val="22"/>
        </w:rPr>
        <w:t xml:space="preserve">Of twelve recommended actions, eleven are executable under existing delegated authorities. One action (3.4, Financial Deterrence NSPM) requires presidential decision and new directive issuance. The 90-day immediate action set comprises four actions (1.1, 1.3, 1.4, 2.3), none of which require new Executive Order authority.</w:t>
      </w:r>
    </w:p>
    <w:p>
      <w:pPr>
        <w:spacing w:after="200" w:before="0" w:line="276"/>
        <w:jc w:val="left"/>
      </w:pPr>
      <w:r>
        <w:rPr>
          <w:rFonts w:ascii="Arial" w:cs="Arial" w:eastAsia="Arial" w:hAnsi="Arial"/>
          <w:b w:val="false"/>
          <w:bCs w:val="false"/>
          <w:i w:val="false"/>
          <w:iCs w:val="false"/>
          <w:color w:val="000000"/>
          <w:sz w:val="22"/>
          <w:szCs w:val="22"/>
        </w:rPr>
        <w:t xml:space="preserve"/>
      </w:r>
      <w:r>
        <w:br w:type="page"/>
      </w:r>
    </w:p>
    <w:p>
      <w:pPr>
        <w:pStyle w:val="Heading1"/>
        <w:spacing w:after="240" w:before="360"/>
      </w:pPr>
      <w:r>
        <w:rPr>
          <w:rFonts w:ascii="Arial" w:cs="Arial" w:eastAsia="Arial" w:hAnsi="Arial"/>
          <w:b/>
          <w:bCs/>
          <w:color w:val="1B2A4A"/>
          <w:sz w:val="32"/>
          <w:szCs w:val="32"/>
        </w:rPr>
        <w:t xml:space="preserve">Annex B: Strategic Implications for Force Posture</w:t>
      </w:r>
    </w:p>
    <w:p>
      <w:pPr>
        <w:spacing w:after="200" w:before="0" w:line="276"/>
        <w:jc w:val="left"/>
      </w:pPr>
      <w:r>
        <w:rPr>
          <w:rFonts w:ascii="Arial" w:cs="Arial" w:eastAsia="Arial" w:hAnsi="Arial"/>
          <w:b/>
          <w:bCs/>
          <w:i/>
          <w:iCs/>
          <w:color w:val="000000"/>
          <w:sz w:val="22"/>
          <w:szCs w:val="22"/>
        </w:rPr>
        <w:t xml:space="preserve">Note: </w:t>
      </w:r>
      <w:r>
        <w:rPr>
          <w:rFonts w:ascii="Arial" w:cs="Arial" w:eastAsia="Arial" w:hAnsi="Arial"/>
          <w:i/>
          <w:iCs/>
          <w:color w:val="000000"/>
          <w:sz w:val="22"/>
          <w:szCs w:val="22"/>
        </w:rPr>
        <w:t xml:space="preserve">This annex is provided for contextual awareness only. The observations below derive from a single preliminary open-source review (NetAskari, March 2026) that has not been validated by weapons-effects subject-matter experts. These implications are illustrative of the type of analysis that would follow independent validation; they do not constitute assessed force posture judgments. Force posture recommendations require separate classified assessment and are outside the scope of this memorandum’s enforcement-focused mandate.</w:t>
      </w:r>
    </w:p>
    <w:p>
      <w:pPr>
        <w:spacing w:after="200" w:before="0" w:line="276"/>
        <w:jc w:val="left"/>
      </w:pPr>
      <w:r>
        <w:rPr>
          <w:rFonts w:ascii="Arial" w:cs="Arial" w:eastAsia="Arial" w:hAnsi="Arial"/>
          <w:color w:val="000000"/>
          <w:sz w:val="22"/>
          <w:szCs w:val="22"/>
        </w:rPr>
        <w:t xml:space="preserve">Reported open-source descriptions of PRC simulation activity, if authentic, carry implications for U.S. force posture in two areas.</w:t>
      </w:r>
      <w:r>
        <w:rPr>
          <w:rStyle w:val="FootnoteReference"/>
        </w:rPr>
        <w:footnoteReference w:id="46"/>
      </w:r>
    </w:p>
    <w:p>
      <w:pPr>
        <w:pStyle w:val="Heading2"/>
        <w:spacing w:after="180" w:before="280"/>
      </w:pPr>
      <w:r>
        <w:rPr>
          <w:rFonts w:ascii="Arial" w:cs="Arial" w:eastAsia="Arial" w:hAnsi="Arial"/>
          <w:b/>
          <w:bCs/>
          <w:color w:val="1B2A4A"/>
          <w:sz w:val="26"/>
          <w:szCs w:val="26"/>
        </w:rPr>
        <w:t xml:space="preserve">Carrier Strike Group Survivability</w:t>
      </w:r>
    </w:p>
    <w:p>
      <w:pPr>
        <w:spacing w:after="200" w:before="0" w:line="276"/>
        <w:jc w:val="left"/>
      </w:pPr>
      <w:r>
        <w:rPr>
          <w:rFonts w:ascii="Arial" w:cs="Arial" w:eastAsia="Arial" w:hAnsi="Arial"/>
          <w:b w:val="false"/>
          <w:bCs w:val="false"/>
          <w:i w:val="false"/>
          <w:iCs w:val="false"/>
          <w:color w:val="000000"/>
          <w:sz w:val="22"/>
          <w:szCs w:val="22"/>
        </w:rPr>
        <w:t xml:space="preserve">Reported open-source descriptions of PRC simulation activity include references to scenarios involving high-speed anti-ship engagements and precision targeting of naval surface combatant subsystems. If such descriptions reflect actual capability development rather than aspirational modeling, they may indicate increased PRC attention to precision strike and mission-kill effects rather than area saturation approaches. However, open-source reporting alone does not permit confident characterization of guidance system maturity, achievable accuracy, or doctrinal intent. Detailed assessment requires comparison against classified intelligence on PRC missile development programs.</w:t>
      </w:r>
    </w:p>
    <w:p>
      <w:pPr>
        <w:pStyle w:val="Heading2"/>
        <w:spacing w:after="180" w:before="280"/>
      </w:pPr>
      <w:r>
        <w:rPr>
          <w:rFonts w:ascii="Arial" w:cs="Arial" w:eastAsia="Arial" w:hAnsi="Arial"/>
          <w:b/>
          <w:bCs/>
          <w:color w:val="1B2A4A"/>
          <w:sz w:val="26"/>
          <w:szCs w:val="26"/>
        </w:rPr>
        <w:t xml:space="preserve">Counter-Battery Doctrine</w:t>
      </w:r>
    </w:p>
    <w:p>
      <w:pPr>
        <w:spacing w:after="200" w:before="0" w:line="276"/>
        <w:jc w:val="left"/>
      </w:pPr>
      <w:r>
        <w:rPr>
          <w:rFonts w:ascii="Arial" w:cs="Arial" w:eastAsia="Arial" w:hAnsi="Arial"/>
          <w:b w:val="false"/>
          <w:bCs w:val="false"/>
          <w:i w:val="false"/>
          <w:iCs w:val="false"/>
          <w:color w:val="000000"/>
          <w:sz w:val="22"/>
          <w:szCs w:val="22"/>
        </w:rPr>
        <w:t xml:space="preserve">Reported simulation activity also includes scenarios involving ground-based fires systems, with open-source commentary suggesting attention to component-level vulnerability rather than platform-level destruction. If validated, this may suggest PRC planners are placing increased emphasis on mission-kill optimization—targeting specific subsystems required for weapons employment—rather than relying solely on platform destruction. This has potential implications for U.S. ground-based fires survivability planning, including hardening, dispersal, and deception measures for systems deployed in the Western Pacific.</w:t>
      </w:r>
    </w:p>
    <w:p>
      <w:pPr>
        <w:spacing w:after="200" w:before="0" w:line="276"/>
        <w:jc w:val="left"/>
      </w:pPr>
      <w:r>
        <w:rPr>
          <w:rFonts w:ascii="Arial" w:cs="Arial" w:eastAsia="Arial" w:hAnsi="Arial"/>
          <w:b/>
          <w:bCs/>
          <w:color w:val="000000"/>
          <w:sz w:val="22"/>
          <w:szCs w:val="22"/>
        </w:rPr>
        <w:t xml:space="preserve">Recommendation: </w:t>
      </w:r>
      <w:r>
        <w:rPr>
          <w:rFonts w:ascii="Arial" w:cs="Arial" w:eastAsia="Arial" w:hAnsi="Arial"/>
          <w:color w:val="000000"/>
          <w:sz w:val="22"/>
          <w:szCs w:val="22"/>
        </w:rPr>
        <w:t xml:space="preserve">Refer relevant open-source reporting and associated assessments to appropriate DoD analytic elements (OUSD(R&amp;E), Naval Surface Warfare Center) for comparison against classified survivability judgments, pending independent validation.</w:t>
      </w:r>
    </w:p>
    <w:p>
      <w:pPr>
        <w:spacing w:after="200" w:before="0" w:line="276"/>
        <w:jc w:val="left"/>
      </w:pPr>
      <w:r>
        <w:rPr>
          <w:rFonts w:ascii="Arial" w:cs="Arial" w:eastAsia="Arial" w:hAnsi="Arial"/>
          <w:b w:val="false"/>
          <w:bCs w:val="false"/>
          <w:i w:val="false"/>
          <w:iCs w:val="false"/>
          <w:color w:val="000000"/>
          <w:sz w:val="22"/>
          <w:szCs w:val="22"/>
        </w:rPr>
        <w:t xml:space="preserve"/>
      </w:r>
      <w:r>
        <w:br w:type="page"/>
      </w:r>
    </w:p>
    <w:p>
      <w:pPr>
        <w:pStyle w:val="Heading1"/>
        <w:spacing w:after="240" w:before="360"/>
      </w:pPr>
      <w:r>
        <w:rPr>
          <w:rFonts w:ascii="Arial" w:cs="Arial" w:eastAsia="Arial" w:hAnsi="Arial"/>
          <w:b/>
          <w:bCs/>
          <w:color w:val="1B2A4A"/>
          <w:sz w:val="32"/>
          <w:szCs w:val="32"/>
        </w:rPr>
        <w:t xml:space="preserve">Annex C: Source Reliability and Bibliography</w:t>
      </w:r>
    </w:p>
    <w:p>
      <w:pPr>
        <w:spacing w:after="200" w:before="0" w:line="276"/>
        <w:jc w:val="left"/>
      </w:pPr>
      <w:r>
        <w:rPr>
          <w:rFonts w:ascii="Arial" w:cs="Arial" w:eastAsia="Arial" w:hAnsi="Arial"/>
          <w:b w:val="false"/>
          <w:bCs w:val="false"/>
          <w:i w:val="false"/>
          <w:iCs w:val="false"/>
          <w:color w:val="000000"/>
          <w:sz w:val="22"/>
          <w:szCs w:val="22"/>
        </w:rPr>
        <w:t xml:space="preserve">This appendix lists unique sources cited in the memorandum, classified by tier and reliability assessment. The document contains 22 footnotes that resolve to the unique sources listed below. Multiple footnote references to the same source reflect reuse, not independent corroboration.</w:t>
      </w:r>
    </w:p>
    <w:p>
      <w:pPr>
        <w:spacing w:after="200" w:before="0" w:line="276"/>
        <w:jc w:val="left"/>
      </w:pPr>
      <w:r>
        <w:rPr>
          <w:rFonts w:ascii="Arial" w:cs="Arial" w:eastAsia="Arial" w:hAnsi="Arial"/>
          <w:b w:val="false"/>
          <w:bCs w:val="false"/>
          <w:i w:val="false"/>
          <w:iCs w:val="false"/>
          <w:color w:val="000000"/>
          <w:sz w:val="22"/>
          <w:szCs w:val="22"/>
        </w:rPr>
        <w:t xml:space="preserve"/>
      </w:r>
    </w:p>
    <w:p>
      <w:pPr>
        <w:pStyle w:val="Heading2"/>
        <w:spacing w:after="180" w:before="280"/>
      </w:pPr>
      <w:r>
        <w:rPr>
          <w:rFonts w:ascii="Arial" w:cs="Arial" w:eastAsia="Arial" w:hAnsi="Arial"/>
          <w:b/>
          <w:bCs/>
          <w:color w:val="1B2A4A"/>
          <w:sz w:val="26"/>
          <w:szCs w:val="26"/>
        </w:rPr>
        <w:t xml:space="preserve">Tier 1 — Official Authorities and Legal Architecture</w:t>
      </w:r>
    </w:p>
    <w:p>
      <w:pPr>
        <w:spacing w:after="200" w:before="0" w:line="276"/>
        <w:jc w:val="left"/>
      </w:pPr>
      <w:r>
        <w:rPr>
          <w:rFonts w:ascii="Arial" w:cs="Arial" w:eastAsia="Arial" w:hAnsi="Arial"/>
          <w:b w:val="false"/>
          <w:bCs w:val="false"/>
          <w:i w:val="false"/>
          <w:iCs w:val="false"/>
          <w:color w:val="000000"/>
          <w:sz w:val="22"/>
          <w:szCs w:val="22"/>
        </w:rPr>
        <w:t xml:space="preserve">These sources are official U.S. government publications, statutes, executive orders, or regulatory texts. Reliability: HIGH.</w:t>
      </w:r>
    </w:p>
    <w:p>
      <w:pPr>
        <w:spacing w:after="200" w:before="0" w:line="276"/>
        <w:jc w:val="left"/>
      </w:pPr>
      <w:r>
        <w:rPr>
          <w:rFonts w:ascii="Arial" w:cs="Arial" w:eastAsia="Arial" w:hAnsi="Arial"/>
          <w:b/>
          <w:bCs/>
          <w:color w:val="000000"/>
          <w:sz w:val="22"/>
          <w:szCs w:val="22"/>
        </w:rPr>
        <w:t xml:space="preserve">1. </w:t>
      </w:r>
      <w:r>
        <w:rPr>
          <w:rFonts w:ascii="Arial" w:cs="Arial" w:eastAsia="Arial" w:hAnsi="Arial"/>
          <w:color w:val="000000"/>
          <w:sz w:val="22"/>
          <w:szCs w:val="22"/>
        </w:rPr>
        <w:t xml:space="preserve">International Emergency Economic Powers Act, 50 U.S.C. §§1701–1706.</w:t>
      </w:r>
    </w:p>
    <w:p>
      <w:pPr>
        <w:spacing w:after="200" w:before="0" w:line="276"/>
        <w:jc w:val="left"/>
      </w:pPr>
      <w:r>
        <w:rPr>
          <w:rFonts w:ascii="Arial" w:cs="Arial" w:eastAsia="Arial" w:hAnsi="Arial"/>
          <w:b/>
          <w:bCs/>
          <w:color w:val="000000"/>
          <w:sz w:val="22"/>
          <w:szCs w:val="22"/>
        </w:rPr>
        <w:t xml:space="preserve">2. </w:t>
      </w:r>
      <w:r>
        <w:rPr>
          <w:rFonts w:ascii="Arial" w:cs="Arial" w:eastAsia="Arial" w:hAnsi="Arial"/>
          <w:color w:val="000000"/>
          <w:sz w:val="22"/>
          <w:szCs w:val="22"/>
        </w:rPr>
        <w:t xml:space="preserve">USA PATRIOT Act of 2001, Pub. L. 107-56, §311, codified at 31 U.S.C. §5318A.</w:t>
      </w:r>
    </w:p>
    <w:p>
      <w:pPr>
        <w:spacing w:after="200" w:before="0" w:line="276"/>
        <w:jc w:val="left"/>
      </w:pPr>
      <w:r>
        <w:rPr>
          <w:rFonts w:ascii="Arial" w:cs="Arial" w:eastAsia="Arial" w:hAnsi="Arial"/>
          <w:b/>
          <w:bCs/>
          <w:color w:val="000000"/>
          <w:sz w:val="22"/>
          <w:szCs w:val="22"/>
        </w:rPr>
        <w:t xml:space="preserve">3. </w:t>
      </w:r>
      <w:r>
        <w:rPr>
          <w:rFonts w:ascii="Arial" w:cs="Arial" w:eastAsia="Arial" w:hAnsi="Arial"/>
          <w:color w:val="000000"/>
          <w:sz w:val="22"/>
          <w:szCs w:val="22"/>
        </w:rPr>
        <w:t xml:space="preserve">Export Administration Regulations, 15 CFR Parts 730–774, including Entity List (§744 Supp. No. 4), MEU controls (§744.21), and civil penalty provisions (§764.3(a)(1)).</w:t>
      </w:r>
    </w:p>
    <w:p>
      <w:pPr>
        <w:spacing w:after="200" w:before="0" w:line="276"/>
        <w:jc w:val="left"/>
      </w:pPr>
      <w:r>
        <w:rPr>
          <w:rFonts w:ascii="Arial" w:cs="Arial" w:eastAsia="Arial" w:hAnsi="Arial"/>
          <w:b/>
          <w:bCs/>
          <w:color w:val="000000"/>
          <w:sz w:val="22"/>
          <w:szCs w:val="22"/>
        </w:rPr>
        <w:t xml:space="preserve">4. </w:t>
      </w:r>
      <w:r>
        <w:rPr>
          <w:rFonts w:ascii="Arial" w:cs="Arial" w:eastAsia="Arial" w:hAnsi="Arial"/>
          <w:color w:val="000000"/>
          <w:sz w:val="22"/>
          <w:szCs w:val="22"/>
        </w:rPr>
        <w:t xml:space="preserve">Executive Order 13959 (Nov. 2020), as amended by E.O. 14032 (June 2021). Executive Order 14105 (Aug. 2023).</w:t>
      </w:r>
    </w:p>
    <w:p>
      <w:pPr>
        <w:spacing w:after="200" w:before="0" w:line="276"/>
        <w:jc w:val="left"/>
      </w:pPr>
      <w:r>
        <w:rPr>
          <w:rFonts w:ascii="Arial" w:cs="Arial" w:eastAsia="Arial" w:hAnsi="Arial"/>
          <w:b/>
          <w:bCs/>
          <w:color w:val="000000"/>
          <w:sz w:val="22"/>
          <w:szCs w:val="22"/>
        </w:rPr>
        <w:t xml:space="preserve">5. </w:t>
      </w:r>
      <w:r>
        <w:rPr>
          <w:rFonts w:ascii="Arial" w:cs="Arial" w:eastAsia="Arial" w:hAnsi="Arial"/>
          <w:color w:val="000000"/>
          <w:sz w:val="22"/>
          <w:szCs w:val="22"/>
        </w:rPr>
        <w:t xml:space="preserve">Federal Acquisition Regulation, 48 CFR Part 9, Subpart 9.4.</w:t>
      </w:r>
    </w:p>
    <w:p>
      <w:pPr>
        <w:spacing w:after="200" w:before="0" w:line="276"/>
        <w:jc w:val="left"/>
      </w:pPr>
      <w:r>
        <w:rPr>
          <w:rFonts w:ascii="Arial" w:cs="Arial" w:eastAsia="Arial" w:hAnsi="Arial"/>
          <w:b/>
          <w:bCs/>
          <w:color w:val="000000"/>
          <w:sz w:val="22"/>
          <w:szCs w:val="22"/>
        </w:rPr>
        <w:t xml:space="preserve">6. </w:t>
      </w:r>
      <w:r>
        <w:rPr>
          <w:rFonts w:ascii="Arial" w:cs="Arial" w:eastAsia="Arial" w:hAnsi="Arial"/>
          <w:color w:val="000000"/>
          <w:sz w:val="22"/>
          <w:szCs w:val="22"/>
        </w:rPr>
        <w:t xml:space="preserve">FinCEN, “311 and 9714 Special Measures.” FinCEN, “FinCEN’s Legal Authorities.”</w:t>
      </w:r>
    </w:p>
    <w:p>
      <w:pPr>
        <w:spacing w:after="200" w:before="0" w:line="276"/>
        <w:jc w:val="left"/>
      </w:pPr>
      <w:r>
        <w:rPr>
          <w:rFonts w:ascii="Arial" w:cs="Arial" w:eastAsia="Arial" w:hAnsi="Arial"/>
          <w:b/>
          <w:bCs/>
          <w:color w:val="000000"/>
          <w:sz w:val="22"/>
          <w:szCs w:val="22"/>
        </w:rPr>
        <w:t xml:space="preserve">7. </w:t>
      </w:r>
      <w:r>
        <w:rPr>
          <w:rFonts w:ascii="Arial" w:cs="Arial" w:eastAsia="Arial" w:hAnsi="Arial"/>
          <w:color w:val="000000"/>
          <w:sz w:val="22"/>
          <w:szCs w:val="22"/>
        </w:rPr>
        <w:t xml:space="preserve">OFAC, “Chinese Military Companies Sanctions.” OFAC, “Executive Orders (EO),” OFAC Legal Library.</w:t>
      </w:r>
    </w:p>
    <w:p>
      <w:pPr>
        <w:spacing w:after="200" w:before="0" w:line="276"/>
        <w:jc w:val="left"/>
      </w:pPr>
      <w:r>
        <w:rPr>
          <w:rFonts w:ascii="Arial" w:cs="Arial" w:eastAsia="Arial" w:hAnsi="Arial"/>
          <w:b/>
          <w:bCs/>
          <w:color w:val="000000"/>
          <w:sz w:val="22"/>
          <w:szCs w:val="22"/>
        </w:rPr>
        <w:t xml:space="preserve">8. </w:t>
      </w:r>
      <w:r>
        <w:rPr>
          <w:rFonts w:ascii="Arial" w:cs="Arial" w:eastAsia="Arial" w:hAnsi="Arial"/>
          <w:color w:val="000000"/>
          <w:sz w:val="22"/>
          <w:szCs w:val="22"/>
        </w:rPr>
        <w:t xml:space="preserve">Wassenaar Arrangement on Export Controls for Conventional Arms and Dual-Use Goods and Technologies, public documents and control lists (www.wassenaar.org).</w:t>
      </w:r>
    </w:p>
    <w:p>
      <w:pPr>
        <w:spacing w:after="200" w:before="0" w:line="276"/>
        <w:jc w:val="left"/>
      </w:pPr>
      <w:r>
        <w:rPr>
          <w:rFonts w:ascii="Arial" w:cs="Arial" w:eastAsia="Arial" w:hAnsi="Arial"/>
          <w:b/>
          <w:bCs/>
          <w:color w:val="000000"/>
          <w:sz w:val="22"/>
          <w:szCs w:val="22"/>
        </w:rPr>
        <w:t xml:space="preserve">9. </w:t>
      </w:r>
      <w:r>
        <w:rPr>
          <w:rFonts w:ascii="Arial" w:cs="Arial" w:eastAsia="Arial" w:hAnsi="Arial"/>
          <w:color w:val="000000"/>
          <w:sz w:val="22"/>
          <w:szCs w:val="22"/>
        </w:rPr>
        <w:t xml:space="preserve">KindHearts for Charitable Humanitarian Development, Inc. v. Geithner, 647 F.Supp.2d 857 (N.D. Ohio 2009); Al Haramain Islamic Foundation, Inc. v. U.S. Dep’t of Treasury, 686 F.3d 965 (9th Cir. 2012); Holder v. Humanitarian Law Project, 561 U.S. 1 (2010).</w:t>
      </w:r>
    </w:p>
    <w:p>
      <w:pPr>
        <w:spacing w:after="200" w:before="0" w:line="276"/>
        <w:jc w:val="left"/>
      </w:pPr>
      <w:r>
        <w:rPr>
          <w:rFonts w:ascii="Arial" w:cs="Arial" w:eastAsia="Arial" w:hAnsi="Arial"/>
          <w:b w:val="false"/>
          <w:bCs w:val="false"/>
          <w:i w:val="false"/>
          <w:iCs w:val="false"/>
          <w:color w:val="000000"/>
          <w:sz w:val="22"/>
          <w:szCs w:val="22"/>
        </w:rPr>
        <w:t xml:space="preserve"/>
      </w:r>
    </w:p>
    <w:p>
      <w:pPr>
        <w:pStyle w:val="Heading2"/>
        <w:spacing w:after="180" w:before="280"/>
      </w:pPr>
      <w:r>
        <w:rPr>
          <w:rFonts w:ascii="Arial" w:cs="Arial" w:eastAsia="Arial" w:hAnsi="Arial"/>
          <w:b/>
          <w:bCs/>
          <w:color w:val="1B2A4A"/>
          <w:sz w:val="26"/>
          <w:szCs w:val="26"/>
        </w:rPr>
        <w:t xml:space="preserve">Tier 2 — Enforcement Examples and Regulatory Actions</w:t>
      </w:r>
    </w:p>
    <w:p>
      <w:pPr>
        <w:spacing w:after="200" w:before="0" w:line="276"/>
        <w:jc w:val="left"/>
      </w:pPr>
      <w:r>
        <w:rPr>
          <w:rFonts w:ascii="Arial" w:cs="Arial" w:eastAsia="Arial" w:hAnsi="Arial"/>
          <w:b w:val="false"/>
          <w:bCs w:val="false"/>
          <w:i w:val="false"/>
          <w:iCs w:val="false"/>
          <w:color w:val="000000"/>
          <w:sz w:val="22"/>
          <w:szCs w:val="22"/>
        </w:rPr>
        <w:t xml:space="preserve">These sources are official agency press releases, enforcement actions, or rulemaking documents. Reliability: HIGH.</w:t>
      </w:r>
    </w:p>
    <w:p>
      <w:pPr>
        <w:spacing w:after="200" w:before="0" w:line="276"/>
        <w:jc w:val="left"/>
      </w:pPr>
      <w:r>
        <w:rPr>
          <w:rFonts w:ascii="Arial" w:cs="Arial" w:eastAsia="Arial" w:hAnsi="Arial"/>
          <w:b/>
          <w:bCs/>
          <w:color w:val="000000"/>
          <w:sz w:val="22"/>
          <w:szCs w:val="22"/>
        </w:rPr>
        <w:t xml:space="preserve">10. </w:t>
      </w:r>
      <w:r>
        <w:rPr>
          <w:rFonts w:ascii="Arial" w:cs="Arial" w:eastAsia="Arial" w:hAnsi="Arial"/>
          <w:color w:val="000000"/>
          <w:sz w:val="22"/>
          <w:szCs w:val="22"/>
        </w:rPr>
        <w:t xml:space="preserve">BIS, “Commerce Strengthens Restrictions on Advanced Computing Semiconductors…” (Oct. 17, 2023).</w:t>
      </w:r>
    </w:p>
    <w:p>
      <w:pPr>
        <w:spacing w:after="200" w:before="0" w:line="276"/>
        <w:jc w:val="left"/>
      </w:pPr>
      <w:r>
        <w:rPr>
          <w:rFonts w:ascii="Arial" w:cs="Arial" w:eastAsia="Arial" w:hAnsi="Arial"/>
          <w:b/>
          <w:bCs/>
          <w:color w:val="000000"/>
          <w:sz w:val="22"/>
          <w:szCs w:val="22"/>
        </w:rPr>
        <w:t xml:space="preserve">11. </w:t>
      </w:r>
      <w:r>
        <w:rPr>
          <w:rFonts w:ascii="Arial" w:cs="Arial" w:eastAsia="Arial" w:hAnsi="Arial"/>
          <w:color w:val="000000"/>
          <w:sz w:val="22"/>
          <w:szCs w:val="22"/>
        </w:rPr>
        <w:t xml:space="preserve">BIS, “Commerce Releases Clarifications of Export Control Rules…” (Apr. 4, 2024).</w:t>
      </w:r>
    </w:p>
    <w:p>
      <w:pPr>
        <w:spacing w:after="200" w:before="0" w:line="276"/>
        <w:jc w:val="left"/>
      </w:pPr>
      <w:r>
        <w:rPr>
          <w:rFonts w:ascii="Arial" w:cs="Arial" w:eastAsia="Arial" w:hAnsi="Arial"/>
          <w:b/>
          <w:bCs/>
          <w:color w:val="000000"/>
          <w:sz w:val="22"/>
          <w:szCs w:val="22"/>
        </w:rPr>
        <w:t xml:space="preserve">12. </w:t>
      </w:r>
      <w:r>
        <w:rPr>
          <w:rFonts w:ascii="Arial" w:cs="Arial" w:eastAsia="Arial" w:hAnsi="Arial"/>
          <w:color w:val="000000"/>
          <w:sz w:val="22"/>
          <w:szCs w:val="22"/>
        </w:rPr>
        <w:t xml:space="preserve">BIS, “Commerce Strengthens Export Controls to Restrict China’s Capability…” (Dec. 2, 2024).</w:t>
      </w:r>
    </w:p>
    <w:p>
      <w:pPr>
        <w:spacing w:after="200" w:before="0" w:line="276"/>
        <w:jc w:val="left"/>
      </w:pPr>
      <w:r>
        <w:rPr>
          <w:rFonts w:ascii="Arial" w:cs="Arial" w:eastAsia="Arial" w:hAnsi="Arial"/>
          <w:b/>
          <w:bCs/>
          <w:color w:val="000000"/>
          <w:sz w:val="22"/>
          <w:szCs w:val="22"/>
        </w:rPr>
        <w:t xml:space="preserve">13. </w:t>
      </w:r>
      <w:r>
        <w:rPr>
          <w:rFonts w:ascii="Arial" w:cs="Arial" w:eastAsia="Arial" w:hAnsi="Arial"/>
          <w:color w:val="000000"/>
          <w:sz w:val="22"/>
          <w:szCs w:val="22"/>
        </w:rPr>
        <w:t xml:space="preserve">BIS, “BIS Updated Public Information Page on Export Controls Imposed on Advanced Computing and Semiconductor Manufacturing Items to the PRC.”</w:t>
      </w:r>
    </w:p>
    <w:p>
      <w:pPr>
        <w:spacing w:after="200" w:before="0" w:line="276"/>
        <w:jc w:val="left"/>
      </w:pPr>
      <w:r>
        <w:rPr>
          <w:rFonts w:ascii="Arial" w:cs="Arial" w:eastAsia="Arial" w:hAnsi="Arial"/>
          <w:b/>
          <w:bCs/>
          <w:color w:val="000000"/>
          <w:sz w:val="22"/>
          <w:szCs w:val="22"/>
        </w:rPr>
        <w:t xml:space="preserve">14. </w:t>
      </w:r>
      <w:r>
        <w:rPr>
          <w:rFonts w:ascii="Arial" w:cs="Arial" w:eastAsia="Arial" w:hAnsi="Arial"/>
          <w:color w:val="000000"/>
          <w:sz w:val="22"/>
          <w:szCs w:val="22"/>
        </w:rPr>
        <w:t xml:space="preserve">FinCEN, “FinCEN Finds Iraq-based Al-Huda Bank to be of Primary Money Laundering Concern…” (Jan. 29, 2024).</w:t>
      </w:r>
    </w:p>
    <w:p>
      <w:pPr>
        <w:spacing w:after="200" w:before="0" w:line="276"/>
        <w:jc w:val="left"/>
      </w:pPr>
      <w:r>
        <w:rPr>
          <w:rFonts w:ascii="Arial" w:cs="Arial" w:eastAsia="Arial" w:hAnsi="Arial"/>
          <w:b/>
          <w:bCs/>
          <w:color w:val="000000"/>
          <w:sz w:val="22"/>
          <w:szCs w:val="22"/>
        </w:rPr>
        <w:t xml:space="preserve">15. </w:t>
      </w:r>
      <w:r>
        <w:rPr>
          <w:rFonts w:ascii="Arial" w:cs="Arial" w:eastAsia="Arial" w:hAnsi="Arial"/>
          <w:color w:val="000000"/>
          <w:sz w:val="22"/>
          <w:szCs w:val="22"/>
        </w:rPr>
        <w:t xml:space="preserve">FinCEN, “Imposition of Special Measure regarding Huione Group…” Final Rule (Oct. 2025).</w:t>
      </w:r>
    </w:p>
    <w:p>
      <w:pPr>
        <w:spacing w:after="200" w:before="0" w:line="276"/>
        <w:jc w:val="left"/>
      </w:pPr>
      <w:r>
        <w:rPr>
          <w:rFonts w:ascii="Arial" w:cs="Arial" w:eastAsia="Arial" w:hAnsi="Arial"/>
          <w:b/>
          <w:bCs/>
          <w:color w:val="000000"/>
          <w:sz w:val="22"/>
          <w:szCs w:val="22"/>
        </w:rPr>
        <w:t xml:space="preserve">16. </w:t>
      </w:r>
      <w:r>
        <w:rPr>
          <w:rFonts w:ascii="Arial" w:cs="Arial" w:eastAsia="Arial" w:hAnsi="Arial"/>
          <w:color w:val="000000"/>
          <w:sz w:val="22"/>
          <w:szCs w:val="22"/>
        </w:rPr>
        <w:t xml:space="preserve">BIS / DOJ, multiple enforcement actions against transshipment networks routing controlled items to PRC end-users through third-country intermediaries, 2022–2025.</w:t>
      </w:r>
    </w:p>
    <w:p>
      <w:pPr>
        <w:spacing w:after="200" w:before="0" w:line="276"/>
        <w:jc w:val="left"/>
      </w:pPr>
      <w:r>
        <w:rPr>
          <w:rFonts w:ascii="Arial" w:cs="Arial" w:eastAsia="Arial" w:hAnsi="Arial"/>
          <w:b w:val="false"/>
          <w:bCs w:val="false"/>
          <w:i w:val="false"/>
          <w:iCs w:val="false"/>
          <w:color w:val="000000"/>
          <w:sz w:val="22"/>
          <w:szCs w:val="22"/>
        </w:rPr>
        <w:t xml:space="preserve"/>
      </w:r>
    </w:p>
    <w:p>
      <w:pPr>
        <w:pStyle w:val="Heading2"/>
        <w:spacing w:after="180" w:before="280"/>
      </w:pPr>
      <w:r>
        <w:rPr>
          <w:rFonts w:ascii="Arial" w:cs="Arial" w:eastAsia="Arial" w:hAnsi="Arial"/>
          <w:b/>
          <w:bCs/>
          <w:color w:val="1B2A4A"/>
          <w:sz w:val="26"/>
          <w:szCs w:val="26"/>
        </w:rPr>
        <w:t xml:space="preserve">Tier 3 — Predicate Event Reporting</w:t>
      </w:r>
    </w:p>
    <w:p>
      <w:pPr>
        <w:spacing w:after="200" w:before="0" w:line="276"/>
        <w:jc w:val="left"/>
      </w:pPr>
      <w:r>
        <w:rPr>
          <w:rFonts w:ascii="Arial" w:cs="Arial" w:eastAsia="Arial" w:hAnsi="Arial"/>
          <w:b w:val="false"/>
          <w:bCs w:val="false"/>
          <w:i w:val="false"/>
          <w:iCs w:val="false"/>
          <w:color w:val="000000"/>
          <w:sz w:val="22"/>
          <w:szCs w:val="22"/>
        </w:rPr>
        <w:t xml:space="preserve">These sources are news reports on unverified hacker claims. The underlying data authenticity has not been independently confirmed by any cited source. CNN explicitly states it “cannot verify the origins of the alleged dataset.” Reliability: MODERATE — useful for establishing that reporting exists; insufficient to validate specific technical claims derived from reported breach data.</w:t>
      </w:r>
    </w:p>
    <w:p>
      <w:pPr>
        <w:spacing w:after="200" w:before="0" w:line="276"/>
        <w:jc w:val="left"/>
      </w:pPr>
      <w:r>
        <w:rPr>
          <w:rFonts w:ascii="Arial" w:cs="Arial" w:eastAsia="Arial" w:hAnsi="Arial"/>
          <w:b/>
          <w:bCs/>
          <w:color w:val="000000"/>
          <w:sz w:val="22"/>
          <w:szCs w:val="22"/>
        </w:rPr>
        <w:t xml:space="preserve">17. </w:t>
      </w:r>
      <w:r>
        <w:rPr>
          <w:rFonts w:ascii="Arial" w:cs="Arial" w:eastAsia="Arial" w:hAnsi="Arial"/>
          <w:color w:val="000000"/>
          <w:sz w:val="22"/>
          <w:szCs w:val="22"/>
        </w:rPr>
        <w:t xml:space="preserve">CNN, “A hacker has allegedly breached one of China’s supercomputers…” (Apr. 8, 2026).</w:t>
      </w:r>
    </w:p>
    <w:p>
      <w:pPr>
        <w:spacing w:after="200" w:before="0" w:line="276"/>
        <w:jc w:val="left"/>
      </w:pPr>
      <w:r>
        <w:rPr>
          <w:rFonts w:ascii="Arial" w:cs="Arial" w:eastAsia="Arial" w:hAnsi="Arial"/>
          <w:b/>
          <w:bCs/>
          <w:color w:val="000000"/>
          <w:sz w:val="22"/>
          <w:szCs w:val="22"/>
        </w:rPr>
        <w:t xml:space="preserve">18. </w:t>
      </w:r>
      <w:r>
        <w:rPr>
          <w:rFonts w:ascii="Arial" w:cs="Arial" w:eastAsia="Arial" w:hAnsi="Arial"/>
          <w:color w:val="000000"/>
          <w:sz w:val="22"/>
          <w:szCs w:val="22"/>
        </w:rPr>
        <w:t xml:space="preserve">Marc Hofer (NetAskari), “China’s massive data leak of military secrets?” Substack (Mar. 2026). Note: Author self-describes as “not military weapons experts” and “just humble cyber sec enthusiasts.” Used as preliminary open-source cybersecurity commentary, not as validated technical assessment.</w:t>
      </w:r>
    </w:p>
    <w:p>
      <w:pPr>
        <w:spacing w:after="200" w:before="0" w:line="276"/>
        <w:jc w:val="left"/>
      </w:pPr>
      <w:r>
        <w:rPr>
          <w:rFonts w:ascii="Arial" w:cs="Arial" w:eastAsia="Arial" w:hAnsi="Arial"/>
          <w:b/>
          <w:bCs/>
          <w:color w:val="000000"/>
          <w:sz w:val="22"/>
          <w:szCs w:val="22"/>
        </w:rPr>
        <w:t xml:space="preserve">19. </w:t>
      </w:r>
      <w:r>
        <w:rPr>
          <w:rFonts w:ascii="Arial" w:cs="Arial" w:eastAsia="Arial" w:hAnsi="Arial"/>
          <w:color w:val="000000"/>
          <w:sz w:val="22"/>
          <w:szCs w:val="22"/>
        </w:rPr>
        <w:t xml:space="preserve">Tom’s Hardware, “10 petabytes of sensitive data stolen from China’s National Supercomputing Center, hackers claim” (Apr. 2026).</w:t>
      </w:r>
    </w:p>
    <w:p>
      <w:pPr>
        <w:spacing w:after="200" w:before="0" w:line="276"/>
        <w:jc w:val="left"/>
      </w:pPr>
      <w:r>
        <w:rPr>
          <w:rFonts w:ascii="Arial" w:cs="Arial" w:eastAsia="Arial" w:hAnsi="Arial"/>
          <w:b w:val="false"/>
          <w:bCs w:val="false"/>
          <w:i w:val="false"/>
          <w:iCs w:val="false"/>
          <w:color w:val="000000"/>
          <w:sz w:val="22"/>
          <w:szCs w:val="22"/>
        </w:rPr>
        <w:t xml:space="preserve"/>
      </w:r>
    </w:p>
    <w:p>
      <w:pPr>
        <w:pStyle w:val="Heading2"/>
        <w:spacing w:after="180" w:before="280"/>
      </w:pPr>
      <w:r>
        <w:rPr>
          <w:rFonts w:ascii="Arial" w:cs="Arial" w:eastAsia="Arial" w:hAnsi="Arial"/>
          <w:b/>
          <w:bCs/>
          <w:color w:val="1B2A4A"/>
          <w:sz w:val="26"/>
          <w:szCs w:val="26"/>
        </w:rPr>
        <w:t xml:space="preserve">Tier 4 — Historical Breach Reporting</w:t>
      </w:r>
    </w:p>
    <w:p>
      <w:pPr>
        <w:spacing w:after="200" w:before="0" w:line="276"/>
        <w:jc w:val="left"/>
      </w:pPr>
      <w:r>
        <w:rPr>
          <w:rFonts w:ascii="Arial" w:cs="Arial" w:eastAsia="Arial" w:hAnsi="Arial"/>
          <w:b w:val="false"/>
          <w:bCs w:val="false"/>
          <w:i w:val="false"/>
          <w:iCs w:val="false"/>
          <w:color w:val="000000"/>
          <w:sz w:val="22"/>
          <w:szCs w:val="22"/>
        </w:rPr>
        <w:t xml:space="preserve">These sources document prior PRC data security incidents cited for contextual comparison. Reliability: MODERATE-HIGH — underlying incidents were corroborated by multiple independent outlets.</w:t>
      </w:r>
    </w:p>
    <w:p>
      <w:pPr>
        <w:spacing w:after="200" w:before="0" w:line="276"/>
        <w:jc w:val="left"/>
      </w:pPr>
      <w:r>
        <w:rPr>
          <w:rFonts w:ascii="Arial" w:cs="Arial" w:eastAsia="Arial" w:hAnsi="Arial"/>
          <w:b/>
          <w:bCs/>
          <w:color w:val="000000"/>
          <w:sz w:val="22"/>
          <w:szCs w:val="22"/>
        </w:rPr>
        <w:t xml:space="preserve">20. </w:t>
      </w:r>
      <w:r>
        <w:rPr>
          <w:rFonts w:ascii="Arial" w:cs="Arial" w:eastAsia="Arial" w:hAnsi="Arial"/>
          <w:color w:val="000000"/>
          <w:sz w:val="22"/>
          <w:szCs w:val="22"/>
        </w:rPr>
        <w:t xml:space="preserve">CNN, Reuters, NBC News, Wall Street Journal — Shanghai police database breach (July 2022). Multiple independent verifications of data samples.</w:t>
      </w:r>
    </w:p>
    <w:p>
      <w:pPr>
        <w:spacing w:after="200" w:before="0" w:line="276"/>
        <w:jc w:val="left"/>
      </w:pPr>
      <w:r>
        <w:rPr>
          <w:rFonts w:ascii="Arial" w:cs="Arial" w:eastAsia="Arial" w:hAnsi="Arial"/>
          <w:b/>
          <w:bCs/>
          <w:color w:val="000000"/>
          <w:sz w:val="22"/>
          <w:szCs w:val="22"/>
        </w:rPr>
        <w:t xml:space="preserve">21. </w:t>
      </w:r>
      <w:r>
        <w:rPr>
          <w:rFonts w:ascii="Arial" w:cs="Arial" w:eastAsia="Arial" w:hAnsi="Arial"/>
          <w:color w:val="000000"/>
          <w:sz w:val="22"/>
          <w:szCs w:val="22"/>
        </w:rPr>
        <w:t xml:space="preserve">Cybernews (Vilius Petkauskas, reporting discovery by Bob Dyachenko), CSO Online, Security Affairs — 4-billion-record surveillance database exposure (May–June 2025). Characterized as surveillance-grade aggregation; financial records &lt;25% of total.</w:t>
      </w:r>
    </w:p>
    <w:p>
      <w:pPr>
        <w:spacing w:after="200" w:before="0" w:line="276"/>
        <w:jc w:val="left"/>
      </w:pPr>
      <w:r>
        <w:rPr>
          <w:rFonts w:ascii="Arial" w:cs="Arial" w:eastAsia="Arial" w:hAnsi="Arial"/>
          <w:b w:val="false"/>
          <w:bCs w:val="false"/>
          <w:i w:val="false"/>
          <w:iCs w:val="false"/>
          <w:color w:val="000000"/>
          <w:sz w:val="22"/>
          <w:szCs w:val="22"/>
        </w:rPr>
        <w:t xml:space="preserve"/>
      </w:r>
    </w:p>
    <w:p>
      <w:pPr>
        <w:pStyle w:val="Heading2"/>
        <w:spacing w:after="180" w:before="280"/>
      </w:pPr>
      <w:r>
        <w:rPr>
          <w:rFonts w:ascii="Arial" w:cs="Arial" w:eastAsia="Arial" w:hAnsi="Arial"/>
          <w:b/>
          <w:bCs/>
          <w:color w:val="1B2A4A"/>
          <w:sz w:val="26"/>
          <w:szCs w:val="26"/>
        </w:rPr>
        <w:t xml:space="preserve">Source Concentration Assessment</w:t>
      </w:r>
    </w:p>
    <w:p>
      <w:pPr>
        <w:spacing w:after="200" w:before="0" w:line="276"/>
        <w:jc w:val="left"/>
      </w:pPr>
      <w:r>
        <w:rPr>
          <w:rFonts w:ascii="Arial" w:cs="Arial" w:eastAsia="Arial" w:hAnsi="Arial"/>
          <w:b w:val="false"/>
          <w:bCs w:val="false"/>
          <w:i w:val="false"/>
          <w:iCs w:val="false"/>
          <w:color w:val="000000"/>
          <w:sz w:val="22"/>
          <w:szCs w:val="22"/>
        </w:rPr>
        <w:t xml:space="preserve">This memorandum cites 21 unique sources across 22 footnotes. The legal and regulatory tier (sources 1–9) is robust and internally cross-verified. The enforcement tier (sources 10–16) is anchored to official agency publications. The predicate event tier (sources 17–19) is concentrated: three news outlets reporting on the same unverified event, with NetAskari providing the only detailed interpretation of sample data content. No independent weapons-effects subject-matter expert analysis of the reported data samples has been published as of the date of this memorandum. Analytical inferences derived from Tier 3 sources are explicitly tagged as TIER 2 assessments throughout the document.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7E3" w:sz="2" w:space="1"/>
      </w:pBdr>
      <w:spacing w:before="80"/>
      <w:jc w:val="center"/>
    </w:pPr>
    <w:r>
      <w:rPr>
        <w:rFonts w:ascii="Arial" w:cs="Arial" w:eastAsia="Arial" w:hAnsi="Arial"/>
        <w:color w:val="4A5568"/>
        <w:sz w:val="18"/>
        <w:szCs w:val="18"/>
      </w:rPr>
      <w:t xml:space="preserve">STRAT-NSCC-01  •  April 2026     Page </w:t>
    </w:r>
    <w:r>
      <w:rPr>
        <w:rFonts w:ascii="Arial" w:cs="Arial" w:eastAsia="Arial" w:hAnsi="Arial"/>
        <w:color w:val="4A556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pPr>
        <w:spacing w:after="40"/>
      </w:pPr>
      <w:r>
        <w:rPr>
          <w:rStyle w:val="FootnoteReference"/>
        </w:rPr>
        <w:footnoteRef/>
      </w:r>
      <w:r>
        <w:rPr>
          <w:rFonts w:ascii="Arial" w:cs="Arial" w:eastAsia="Arial" w:hAnsi="Arial"/>
          <w:sz w:val="18"/>
          <w:szCs w:val="18"/>
        </w:rPr>
        <w:t xml:space="preserve">CNN, "A hacker has allegedly breached one of China’s supercomputers and is attempting to sell a trove of stolen data," April 8, 2026. https://edition.cnn.com/2026/04/08/china/china-supercomputer-hackers-hnk-intl</w:t>
      </w:r>
    </w:p>
  </w:footnote>
  <w:footnote w:id="2">
    <w:p>
      <w:pPr>
        <w:spacing w:after="40"/>
      </w:pPr>
      <w:r>
        <w:rPr>
          <w:rStyle w:val="FootnoteReference"/>
        </w:rPr>
        <w:footnoteRef/>
      </w:r>
      <w:r>
        <w:rPr>
          <w:rFonts w:ascii="Arial" w:cs="Arial" w:eastAsia="Arial" w:hAnsi="Arial"/>
          <w:sz w:val="18"/>
          <w:szCs w:val="18"/>
        </w:rPr>
        <w:t xml:space="preserve">Marc Hofer (NetAskari), "China’s massive data leak of military secrets?" Substack, March 2026. https://netaskari.substack.com/p/chinas-massive-data-leak-of-military</w:t>
      </w:r>
    </w:p>
  </w:footnote>
  <w:footnote w:id="3">
    <w:p>
      <w:pPr>
        <w:spacing w:after="40"/>
      </w:pPr>
      <w:r>
        <w:rPr>
          <w:rStyle w:val="FootnoteReference"/>
        </w:rPr>
        <w:footnoteRef/>
      </w:r>
      <w:r>
        <w:rPr>
          <w:rFonts w:ascii="Arial" w:cs="Arial" w:eastAsia="Arial" w:hAnsi="Arial"/>
          <w:sz w:val="18"/>
          <w:szCs w:val="18"/>
        </w:rPr>
        <w:t xml:space="preserve">Bureau of Industry and Security, "BIS Updated Public Information Page on Export Controls Imposed on Advanced Computing and Semiconductor Manufacturing Items to the PRC," U.S. Department of Commerce. https://www.bis.gov/press-release/bis-updated-public-information-page-export-controls-imposed-advanced-computing-semiconductor</w:t>
      </w:r>
    </w:p>
  </w:footnote>
  <w:footnote w:id="4">
    <w:p>
      <w:pPr>
        <w:spacing w:after="40"/>
      </w:pPr>
      <w:r>
        <w:rPr>
          <w:rStyle w:val="FootnoteReference"/>
        </w:rPr>
        <w:footnoteRef/>
      </w:r>
      <w:r>
        <w:rPr>
          <w:rFonts w:ascii="Arial" w:cs="Arial" w:eastAsia="Arial" w:hAnsi="Arial"/>
          <w:sz w:val="18"/>
          <w:szCs w:val="18"/>
        </w:rPr>
        <w:t xml:space="preserve">Wassenaar Arrangement on Export Controls for Conventional Arms and Dual-Use Goods and Technologies, public documents and control lists, www.wassenaar.org. See also U.S. Department of State, Bureau of International Security and Nonproliferation, Wassenaar Arrangement overview.</w:t>
      </w:r>
    </w:p>
  </w:footnote>
  <w:footnote w:id="5">
    <w:p>
      <w:pPr>
        <w:spacing w:after="40"/>
      </w:pPr>
      <w:r>
        <w:rPr>
          <w:rStyle w:val="FootnoteReference"/>
        </w:rPr>
        <w:footnoteRef/>
      </w:r>
      <w:r>
        <w:rPr>
          <w:rFonts w:ascii="Arial" w:cs="Arial" w:eastAsia="Arial" w:hAnsi="Arial"/>
          <w:sz w:val="18"/>
          <w:szCs w:val="18"/>
        </w:rPr>
        <w:t xml:space="preserve">CNN, "A hacker has allegedly breached one of China’s supercomputers and is attempting to sell a trove of stolen data," April 8, 2026. https://edition.cnn.com/2026/04/08/china/china-supercomputer-hackers-hnk-intl</w:t>
      </w:r>
    </w:p>
  </w:footnote>
  <w:footnote w:id="6">
    <w:p>
      <w:pPr>
        <w:spacing w:after="40"/>
      </w:pPr>
      <w:r>
        <w:rPr>
          <w:rStyle w:val="FootnoteReference"/>
        </w:rPr>
        <w:footnoteRef/>
      </w:r>
      <w:r>
        <w:rPr>
          <w:rFonts w:ascii="Arial" w:cs="Arial" w:eastAsia="Arial" w:hAnsi="Arial"/>
          <w:sz w:val="18"/>
          <w:szCs w:val="18"/>
        </w:rPr>
        <w:t xml:space="preserve">Marc Hofer (NetAskari), "China’s massive data leak of military secrets?" Substack, March 2026. https://netaskari.substack.com/p/chinas-massive-data-leak-of-military</w:t>
      </w:r>
    </w:p>
  </w:footnote>
  <w:footnote w:id="7">
    <w:p>
      <w:pPr>
        <w:spacing w:after="40"/>
      </w:pPr>
      <w:r>
        <w:rPr>
          <w:rStyle w:val="FootnoteReference"/>
        </w:rPr>
        <w:footnoteRef/>
      </w:r>
      <w:r>
        <w:rPr>
          <w:rFonts w:ascii="Arial" w:cs="Arial" w:eastAsia="Arial" w:hAnsi="Arial"/>
          <w:sz w:val="18"/>
          <w:szCs w:val="18"/>
        </w:rPr>
        <w:t xml:space="preserve">Anton Shilov, "10 petabytes of sensitive data stolen from China’s National Supercomputing Center, hackers claim," Tom’s Hardware, April 2026.</w:t>
      </w:r>
    </w:p>
  </w:footnote>
  <w:footnote w:id="8">
    <w:p>
      <w:pPr>
        <w:spacing w:after="40"/>
      </w:pPr>
      <w:r>
        <w:rPr>
          <w:rStyle w:val="FootnoteReference"/>
        </w:rPr>
        <w:footnoteRef/>
      </w:r>
      <w:r>
        <w:rPr>
          <w:rFonts w:ascii="Arial" w:cs="Arial" w:eastAsia="Arial" w:hAnsi="Arial"/>
          <w:sz w:val="18"/>
          <w:szCs w:val="18"/>
        </w:rPr>
        <w:t xml:space="preserve">Bureau of Industry and Security, "BIS Updated Public Information Page on Export Controls Imposed on Advanced Computing and Semiconductor Manufacturing Items to the PRC," U.S. Department of Commerce. https://www.bis.gov/press-release/bis-updated-public-information-page-export-controls-imposed-advanced-computing-semiconductor</w:t>
      </w:r>
    </w:p>
  </w:footnote>
  <w:footnote w:id="9">
    <w:p>
      <w:pPr>
        <w:spacing w:after="40"/>
      </w:pPr>
      <w:r>
        <w:rPr>
          <w:rStyle w:val="FootnoteReference"/>
        </w:rPr>
        <w:footnoteRef/>
      </w:r>
      <w:r>
        <w:rPr>
          <w:rFonts w:ascii="Arial" w:cs="Arial" w:eastAsia="Arial" w:hAnsi="Arial"/>
          <w:sz w:val="18"/>
          <w:szCs w:val="18"/>
        </w:rPr>
        <w:t xml:space="preserve">Bureau of Industry and Security, "Commerce Strengthens Restrictions on Advanced Computing Semiconductors, Semiconductor Manufacturing Equipment, and Items for Supercomputer and Entity List End Uses," October 17, 2023.</w:t>
      </w:r>
    </w:p>
  </w:footnote>
  <w:footnote w:id="10">
    <w:p>
      <w:pPr>
        <w:spacing w:after="40"/>
      </w:pPr>
      <w:r>
        <w:rPr>
          <w:rStyle w:val="FootnoteReference"/>
        </w:rPr>
        <w:footnoteRef/>
      </w:r>
      <w:r>
        <w:rPr>
          <w:rFonts w:ascii="Arial" w:cs="Arial" w:eastAsia="Arial" w:hAnsi="Arial"/>
          <w:sz w:val="18"/>
          <w:szCs w:val="18"/>
        </w:rPr>
        <w:t xml:space="preserve">Marc Hofer (NetAskari), "China’s massive data leak of military secrets?" Substack, March 2026. https://netaskari.substack.com/p/chinas-massive-data-leak-of-military</w:t>
      </w:r>
    </w:p>
  </w:footnote>
  <w:footnote w:id="11">
    <w:p>
      <w:pPr>
        <w:spacing w:after="40"/>
      </w:pPr>
      <w:r>
        <w:rPr>
          <w:rStyle w:val="FootnoteReference"/>
        </w:rPr>
        <w:footnoteRef/>
      </w:r>
      <w:r>
        <w:rPr>
          <w:rFonts w:ascii="Arial" w:cs="Arial" w:eastAsia="Arial" w:hAnsi="Arial"/>
          <w:sz w:val="18"/>
          <w:szCs w:val="18"/>
        </w:rPr>
        <w:t xml:space="preserve">CNN, "A hacker has allegedly breached one of China’s supercomputers and is attempting to sell a trove of stolen data," April 8, 2026. https://edition.cnn.com/2026/04/08/china/china-supercomputer-hackers-hnk-intl</w:t>
      </w:r>
    </w:p>
  </w:footnote>
  <w:footnote w:id="12">
    <w:p>
      <w:pPr>
        <w:spacing w:after="40"/>
      </w:pPr>
      <w:r>
        <w:rPr>
          <w:rStyle w:val="FootnoteReference"/>
        </w:rPr>
        <w:footnoteRef/>
      </w:r>
      <w:r>
        <w:rPr>
          <w:rFonts w:ascii="Arial" w:cs="Arial" w:eastAsia="Arial" w:hAnsi="Arial"/>
          <w:sz w:val="18"/>
          <w:szCs w:val="18"/>
        </w:rPr>
        <w:t xml:space="preserve">Anton Shilov, "10 petabytes of sensitive data stolen from China’s National Supercomputing Center, hackers claim," Tom’s Hardware, April 2026.</w:t>
      </w:r>
    </w:p>
  </w:footnote>
  <w:footnote w:id="13">
    <w:p>
      <w:pPr>
        <w:spacing w:after="40"/>
      </w:pPr>
      <w:r>
        <w:rPr>
          <w:rStyle w:val="FootnoteReference"/>
        </w:rPr>
        <w:footnoteRef/>
      </w:r>
      <w:r>
        <w:rPr>
          <w:rFonts w:ascii="Arial" w:cs="Arial" w:eastAsia="Arial" w:hAnsi="Arial"/>
          <w:sz w:val="18"/>
          <w:szCs w:val="18"/>
        </w:rPr>
        <w:t xml:space="preserve">Bureau of Industry and Security, multiple enforcement actions against transshipment networks routing controlled items to PRC end-users through third-country intermediaries, 2022–2025. See also U.S. Department of Justice, press releases on export control enforcement cases involving Singapore-, UAE-, and Malaysia-based intermediaries.</w:t>
      </w:r>
    </w:p>
  </w:footnote>
  <w:footnote w:id="14">
    <w:p>
      <w:pPr>
        <w:spacing w:after="40"/>
      </w:pPr>
      <w:r>
        <w:rPr>
          <w:rStyle w:val="FootnoteReference"/>
        </w:rPr>
        <w:footnoteRef/>
      </w:r>
      <w:r>
        <w:rPr>
          <w:rFonts w:ascii="Arial" w:cs="Arial" w:eastAsia="Arial" w:hAnsi="Arial"/>
          <w:sz w:val="18"/>
          <w:szCs w:val="18"/>
        </w:rPr>
        <w:t xml:space="preserve">Sean Lyngaas, "Nearly one billion people had their personal data leaked, and it’s been online for more than a year," CNN, July 5, 2022. Corroborated by: Josh Ye and Brenda Goh, "Hacker claims to have stolen 1 billion records of Chinese citizens from police," Reuters/NBC News, July 4, 2022; Karen Hao, "A Hacker Claimed to Have Stolen Data on 1 Billion Chinese. Here’s What We Know," Wall Street Journal, July 6, 2022.</w:t>
      </w:r>
    </w:p>
  </w:footnote>
  <w:footnote w:id="15">
    <w:p>
      <w:pPr>
        <w:spacing w:after="40"/>
      </w:pPr>
      <w:r>
        <w:rPr>
          <w:rStyle w:val="FootnoteReference"/>
        </w:rPr>
        <w:footnoteRef/>
      </w:r>
      <w:r>
        <w:rPr>
          <w:rFonts w:ascii="Arial" w:cs="Arial" w:eastAsia="Arial" w:hAnsi="Arial"/>
          <w:sz w:val="18"/>
          <w:szCs w:val="18"/>
        </w:rPr>
        <w:t xml:space="preserve">Bob Dyachenko (SecurityDiscovery.com) and Cybernews Research Team, discovery reported by Vilius Petkauskas, "Largest ever data leak exposes over 4 billion user records," Cybernews, June 10, 2025. Corroborated by: Shweta Sharma, "Colossal breach exposes 4 billion Chinese user records in surveillance-grade database," CSO Online, June 9, 2025; Pierluigi Paganini, "Experts found 4 billion user records online," Security Affairs, June 7, 2025. Note: the database was a 631GB aggregation of 16 data collections spanning WeChat metadata, residential addresses, identity verification, and financial records; financial records constituted less than one quarter of total records. Researchers characterized it as a surveillance-grade aggregation database, not a financial transaction repository.</w:t>
      </w:r>
    </w:p>
  </w:footnote>
  <w:footnote w:id="16">
    <w:p>
      <w:pPr>
        <w:spacing w:after="40"/>
      </w:pPr>
      <w:r>
        <w:rPr>
          <w:rStyle w:val="FootnoteReference"/>
        </w:rPr>
        <w:footnoteRef/>
      </w:r>
      <w:r>
        <w:rPr>
          <w:rFonts w:ascii="Arial" w:cs="Arial" w:eastAsia="Arial" w:hAnsi="Arial"/>
          <w:sz w:val="18"/>
          <w:szCs w:val="18"/>
        </w:rPr>
        <w:t xml:space="preserve">Financial Crimes Enforcement Network, "311 and 9714 Special Measures," U.S. Department of the Treasury. https://www.fincen.gov/resources/statutes-and-regulations/311-and-9714-special-measures</w:t>
      </w:r>
    </w:p>
  </w:footnote>
  <w:footnote w:id="17">
    <w:p>
      <w:pPr>
        <w:spacing w:after="40"/>
      </w:pPr>
      <w:r>
        <w:rPr>
          <w:rStyle w:val="FootnoteReference"/>
        </w:rPr>
        <w:footnoteRef/>
      </w:r>
      <w:r>
        <w:rPr>
          <w:rFonts w:ascii="Arial" w:cs="Arial" w:eastAsia="Arial" w:hAnsi="Arial"/>
          <w:sz w:val="18"/>
          <w:szCs w:val="18"/>
        </w:rPr>
        <w:t xml:space="preserve">USA PATRIOT Act of 2001, Pub. L. 107-56, §311, codified at 31 U.S.C. §5318A.</w:t>
      </w:r>
    </w:p>
  </w:footnote>
  <w:footnote w:id="18">
    <w:p>
      <w:pPr>
        <w:spacing w:after="40"/>
      </w:pPr>
      <w:r>
        <w:rPr>
          <w:rStyle w:val="FootnoteReference"/>
        </w:rPr>
        <w:footnoteRef/>
      </w:r>
      <w:r>
        <w:rPr>
          <w:rFonts w:ascii="Arial" w:cs="Arial" w:eastAsia="Arial" w:hAnsi="Arial"/>
          <w:sz w:val="18"/>
          <w:szCs w:val="18"/>
        </w:rPr>
        <w:t xml:space="preserve">Office of Foreign Assets Control, "Chinese Military Companies Sanctions," U.S. Department of the Treasury. https://ofac.treasury.gov/sanctions-programs-and-country-information/chinese-military-companies-sanctions</w:t>
      </w:r>
    </w:p>
  </w:footnote>
  <w:footnote w:id="19">
    <w:p>
      <w:pPr>
        <w:spacing w:after="40"/>
      </w:pPr>
      <w:r>
        <w:rPr>
          <w:rStyle w:val="FootnoteReference"/>
        </w:rPr>
        <w:footnoteRef/>
      </w:r>
      <w:r>
        <w:rPr>
          <w:rFonts w:ascii="Arial" w:cs="Arial" w:eastAsia="Arial" w:hAnsi="Arial"/>
          <w:sz w:val="18"/>
          <w:szCs w:val="18"/>
        </w:rPr>
        <w:t xml:space="preserve">Executive Order 13959, "Addressing the Threat from Securities Investments that Finance Communist Chinese Military Companies," November 12, 2020, as amended by E.O. 14032, June 3, 2021.</w:t>
      </w:r>
    </w:p>
  </w:footnote>
  <w:footnote w:id="20">
    <w:p>
      <w:pPr>
        <w:spacing w:after="40"/>
      </w:pPr>
      <w:r>
        <w:rPr>
          <w:rStyle w:val="FootnoteReference"/>
        </w:rPr>
        <w:footnoteRef/>
      </w:r>
      <w:r>
        <w:rPr>
          <w:rFonts w:ascii="Arial" w:cs="Arial" w:eastAsia="Arial" w:hAnsi="Arial"/>
          <w:sz w:val="18"/>
          <w:szCs w:val="18"/>
        </w:rPr>
        <w:t xml:space="preserve">Executive Order 14105, "Addressing United States Investments in Certain National Security Technologies and Products in Countries of Concern," August 9, 2023.</w:t>
      </w:r>
    </w:p>
  </w:footnote>
  <w:footnote w:id="21">
    <w:p>
      <w:pPr>
        <w:spacing w:after="40"/>
      </w:pPr>
      <w:r>
        <w:rPr>
          <w:rStyle w:val="FootnoteReference"/>
        </w:rPr>
        <w:footnoteRef/>
      </w:r>
      <w:r>
        <w:rPr>
          <w:rFonts w:ascii="Arial" w:cs="Arial" w:eastAsia="Arial" w:hAnsi="Arial"/>
          <w:sz w:val="18"/>
          <w:szCs w:val="18"/>
        </w:rPr>
        <w:t xml:space="preserve">Financial Crimes Enforcement Network, "FinCEN Finds Iraq-based Al-Huda Bank to be of Primary Money Laundering Concern and Proposes a Rule to Combat Terrorist Financing," January 29, 2024.</w:t>
      </w:r>
    </w:p>
  </w:footnote>
  <w:footnote w:id="22">
    <w:p>
      <w:pPr>
        <w:spacing w:after="40"/>
      </w:pPr>
      <w:r>
        <w:rPr>
          <w:rStyle w:val="FootnoteReference"/>
        </w:rPr>
        <w:footnoteRef/>
      </w:r>
      <w:r>
        <w:rPr>
          <w:rFonts w:ascii="Arial" w:cs="Arial" w:eastAsia="Arial" w:hAnsi="Arial"/>
          <w:sz w:val="18"/>
          <w:szCs w:val="18"/>
        </w:rPr>
        <w:t xml:space="preserve">Financial Crimes Enforcement Network, "Imposition of Special Measure regarding Huione Group, as a Foreign Financial Institution of Primary Money Laundering Concern," Final Rule, October 2025.</w:t>
      </w:r>
    </w:p>
  </w:footnote>
  <w:footnote w:id="23">
    <w:p>
      <w:pPr>
        <w:spacing w:after="40"/>
      </w:pPr>
      <w:r>
        <w:rPr>
          <w:rStyle w:val="FootnoteReference"/>
        </w:rPr>
        <w:footnoteRef/>
      </w:r>
      <w:r>
        <w:rPr>
          <w:rFonts w:ascii="Arial" w:cs="Arial" w:eastAsia="Arial" w:hAnsi="Arial"/>
          <w:sz w:val="18"/>
          <w:szCs w:val="18"/>
        </w:rPr>
        <w:t xml:space="preserve">USA PATRIOT Act of 2001, Pub. L. 107-56, §311, codified at 31 U.S.C. §5318A.</w:t>
      </w:r>
    </w:p>
  </w:footnote>
  <w:footnote w:id="24">
    <w:p>
      <w:pPr>
        <w:spacing w:after="40"/>
      </w:pPr>
      <w:r>
        <w:rPr>
          <w:rStyle w:val="FootnoteReference"/>
        </w:rPr>
        <w:footnoteRef/>
      </w:r>
      <w:r>
        <w:rPr>
          <w:rFonts w:ascii="Arial" w:cs="Arial" w:eastAsia="Arial" w:hAnsi="Arial"/>
          <w:sz w:val="18"/>
          <w:szCs w:val="18"/>
        </w:rPr>
        <w:t xml:space="preserve">Financial Crimes Enforcement Network, "311 and 9714 Special Measures," U.S. Department of the Treasury. https://www.fincen.gov/resources/statutes-and-regulations/311-and-9714-special-measures</w:t>
      </w:r>
    </w:p>
  </w:footnote>
  <w:footnote w:id="25">
    <w:p>
      <w:pPr>
        <w:spacing w:after="40"/>
      </w:pPr>
      <w:r>
        <w:rPr>
          <w:rStyle w:val="FootnoteReference"/>
        </w:rPr>
        <w:footnoteRef/>
      </w:r>
      <w:r>
        <w:rPr>
          <w:rFonts w:ascii="Arial" w:cs="Arial" w:eastAsia="Arial" w:hAnsi="Arial"/>
          <w:sz w:val="18"/>
          <w:szCs w:val="18"/>
        </w:rPr>
        <w:t xml:space="preserve">International Emergency Economic Powers Act, 50 U.S.C. §§1701–1706.</w:t>
      </w:r>
    </w:p>
  </w:footnote>
  <w:footnote w:id="26">
    <w:p>
      <w:pPr>
        <w:spacing w:after="40"/>
      </w:pPr>
      <w:r>
        <w:rPr>
          <w:rStyle w:val="FootnoteReference"/>
        </w:rPr>
        <w:footnoteRef/>
      </w:r>
      <w:r>
        <w:rPr>
          <w:rFonts w:ascii="Arial" w:cs="Arial" w:eastAsia="Arial" w:hAnsi="Arial"/>
          <w:sz w:val="18"/>
          <w:szCs w:val="18"/>
        </w:rPr>
        <w:t xml:space="preserve">Export Administration Regulations, 15 CFR Parts 730–774. Entity List: 15 CFR §744, Supplement No. 4. Civil penalty provisions: 15 CFR §764.3(a)(1) (per-violation cap subject to periodic inflation adjustment under the Federal Civil Penalties Inflation Adjustment Act).</w:t>
      </w:r>
    </w:p>
  </w:footnote>
  <w:footnote w:id="27">
    <w:p>
      <w:pPr>
        <w:spacing w:after="40"/>
      </w:pPr>
      <w:r>
        <w:rPr>
          <w:rStyle w:val="FootnoteReference"/>
        </w:rPr>
        <w:footnoteRef/>
      </w:r>
      <w:r>
        <w:rPr>
          <w:rFonts w:ascii="Arial" w:cs="Arial" w:eastAsia="Arial" w:hAnsi="Arial"/>
          <w:sz w:val="18"/>
          <w:szCs w:val="18"/>
        </w:rPr>
        <w:t xml:space="preserve">Bureau of Industry and Security, "Commerce Strengthens Restrictions on Advanced Computing Semiconductors, Semiconductor Manufacturing Equipment, and Items for Supercomputer and Entity List End Uses," October 17, 2023.</w:t>
      </w:r>
    </w:p>
  </w:footnote>
  <w:footnote w:id="28">
    <w:p>
      <w:pPr>
        <w:spacing w:after="40"/>
      </w:pPr>
      <w:r>
        <w:rPr>
          <w:rStyle w:val="FootnoteReference"/>
        </w:rPr>
        <w:footnoteRef/>
      </w:r>
      <w:r>
        <w:rPr>
          <w:rFonts w:ascii="Arial" w:cs="Arial" w:eastAsia="Arial" w:hAnsi="Arial"/>
          <w:sz w:val="18"/>
          <w:szCs w:val="18"/>
        </w:rPr>
        <w:t xml:space="preserve">Bureau of Industry and Security, "Commerce Releases Clarifications of Export Control Rules to Restrict PRC’s Access to Advanced Computing Chips," April 4, 2024.</w:t>
      </w:r>
    </w:p>
  </w:footnote>
  <w:footnote w:id="29">
    <w:p>
      <w:pPr>
        <w:spacing w:after="40"/>
      </w:pPr>
      <w:r>
        <w:rPr>
          <w:rStyle w:val="FootnoteReference"/>
        </w:rPr>
        <w:footnoteRef/>
      </w:r>
      <w:r>
        <w:rPr>
          <w:rFonts w:ascii="Arial" w:cs="Arial" w:eastAsia="Arial" w:hAnsi="Arial"/>
          <w:sz w:val="18"/>
          <w:szCs w:val="18"/>
        </w:rPr>
        <w:t xml:space="preserve">Bureau of Industry and Security, "Commerce Strengthens Export Controls to Restrict China’s Capability to Produce Advanced Semiconductors for Military Modernization," December 2, 2024.</w:t>
      </w:r>
    </w:p>
  </w:footnote>
  <w:footnote w:id="30">
    <w:p>
      <w:pPr>
        <w:spacing w:after="40"/>
      </w:pPr>
      <w:r>
        <w:rPr>
          <w:rStyle w:val="FootnoteReference"/>
        </w:rPr>
        <w:footnoteRef/>
      </w:r>
      <w:r>
        <w:rPr>
          <w:rFonts w:ascii="Arial" w:cs="Arial" w:eastAsia="Arial" w:hAnsi="Arial"/>
          <w:sz w:val="18"/>
          <w:szCs w:val="18"/>
        </w:rPr>
        <w:t xml:space="preserve">CNN, "A hacker has allegedly breached one of China’s supercomputers and is attempting to sell a trove of stolen data," April 8, 2026. https://edition.cnn.com/2026/04/08/china/china-supercomputer-hackers-hnk-intl</w:t>
      </w:r>
    </w:p>
  </w:footnote>
  <w:footnote w:id="31">
    <w:p>
      <w:pPr>
        <w:spacing w:after="40"/>
      </w:pPr>
      <w:r>
        <w:rPr>
          <w:rStyle w:val="FootnoteReference"/>
        </w:rPr>
        <w:footnoteRef/>
      </w:r>
      <w:r>
        <w:rPr>
          <w:rFonts w:ascii="Arial" w:cs="Arial" w:eastAsia="Arial" w:hAnsi="Arial"/>
          <w:sz w:val="18"/>
          <w:szCs w:val="18"/>
        </w:rPr>
        <w:t xml:space="preserve">Marc Hofer (NetAskari), "China’s massive data leak of military secrets?" Substack, March 2026. https://netaskari.substack.com/p/chinas-massive-data-leak-of-military</w:t>
      </w:r>
    </w:p>
  </w:footnote>
  <w:footnote w:id="32">
    <w:p>
      <w:pPr>
        <w:spacing w:after="40"/>
      </w:pPr>
      <w:r>
        <w:rPr>
          <w:rStyle w:val="FootnoteReference"/>
        </w:rPr>
        <w:footnoteRef/>
      </w:r>
      <w:r>
        <w:rPr>
          <w:rFonts w:ascii="Arial" w:cs="Arial" w:eastAsia="Arial" w:hAnsi="Arial"/>
          <w:sz w:val="18"/>
          <w:szCs w:val="18"/>
        </w:rPr>
        <w:t xml:space="preserve">Export Administration Regulations, 15 CFR Parts 730–774. Entity List: 15 CFR §744, Supplement No. 4. Civil penalty provisions: 15 CFR §764.3(a)(1) (per-violation cap subject to periodic inflation adjustment under the Federal Civil Penalties Inflation Adjustment Act).</w:t>
      </w:r>
    </w:p>
  </w:footnote>
  <w:footnote w:id="33">
    <w:p>
      <w:pPr>
        <w:spacing w:after="40"/>
      </w:pPr>
      <w:r>
        <w:rPr>
          <w:rStyle w:val="FootnoteReference"/>
        </w:rPr>
        <w:footnoteRef/>
      </w:r>
      <w:r>
        <w:rPr>
          <w:rFonts w:ascii="Arial" w:cs="Arial" w:eastAsia="Arial" w:hAnsi="Arial"/>
          <w:sz w:val="18"/>
          <w:szCs w:val="18"/>
        </w:rPr>
        <w:t xml:space="preserve">Federal Acquisition Regulation, 48 CFR Part 9, Subpart 9.4, "Debarment, Suspension, and Ineligibility."</w:t>
      </w:r>
    </w:p>
  </w:footnote>
  <w:footnote w:id="34">
    <w:p>
      <w:pPr>
        <w:spacing w:after="40"/>
      </w:pPr>
      <w:r>
        <w:rPr>
          <w:rStyle w:val="FootnoteReference"/>
        </w:rPr>
        <w:footnoteRef/>
      </w:r>
      <w:r>
        <w:rPr>
          <w:rFonts w:ascii="Arial" w:cs="Arial" w:eastAsia="Arial" w:hAnsi="Arial"/>
          <w:sz w:val="18"/>
          <w:szCs w:val="18"/>
        </w:rPr>
        <w:t xml:space="preserve">Export Administration Regulations, 15 CFR Parts 730–774. Entity List: 15 CFR §744, Supplement No. 4. Civil penalty provisions: 15 CFR §764.3(a)(1) (per-violation cap subject to periodic inflation adjustment under the Federal Civil Penalties Inflation Adjustment Act).</w:t>
      </w:r>
    </w:p>
  </w:footnote>
  <w:footnote w:id="35">
    <w:p>
      <w:pPr>
        <w:spacing w:after="40"/>
      </w:pPr>
      <w:r>
        <w:rPr>
          <w:rStyle w:val="FootnoteReference"/>
        </w:rPr>
        <w:footnoteRef/>
      </w:r>
      <w:r>
        <w:rPr>
          <w:rFonts w:ascii="Arial" w:cs="Arial" w:eastAsia="Arial" w:hAnsi="Arial"/>
          <w:sz w:val="18"/>
          <w:szCs w:val="18"/>
        </w:rPr>
        <w:t xml:space="preserve">Wassenaar Arrangement on Export Controls for Conventional Arms and Dual-Use Goods and Technologies, public documents and control lists, www.wassenaar.org. See also U.S. Department of State, Bureau of International Security and Nonproliferation, Wassenaar Arrangement overview.</w:t>
      </w:r>
    </w:p>
  </w:footnote>
  <w:footnote w:id="36">
    <w:p>
      <w:pPr>
        <w:spacing w:after="40"/>
      </w:pPr>
      <w:r>
        <w:rPr>
          <w:rStyle w:val="FootnoteReference"/>
        </w:rPr>
        <w:footnoteRef/>
      </w:r>
      <w:r>
        <w:rPr>
          <w:rFonts w:ascii="Arial" w:cs="Arial" w:eastAsia="Arial" w:hAnsi="Arial"/>
          <w:sz w:val="18"/>
          <w:szCs w:val="18"/>
        </w:rPr>
        <w:t xml:space="preserve">Federal Acquisition Regulation, 48 CFR Part 9, Subpart 9.4, "Debarment, Suspension, and Ineligibility."</w:t>
      </w:r>
    </w:p>
  </w:footnote>
  <w:footnote w:id="37">
    <w:p>
      <w:pPr>
        <w:spacing w:after="40"/>
      </w:pPr>
      <w:r>
        <w:rPr>
          <w:rStyle w:val="FootnoteReference"/>
        </w:rPr>
        <w:footnoteRef/>
      </w:r>
      <w:r>
        <w:rPr>
          <w:rFonts w:ascii="Arial" w:cs="Arial" w:eastAsia="Arial" w:hAnsi="Arial"/>
          <w:sz w:val="18"/>
          <w:szCs w:val="18"/>
        </w:rPr>
        <w:t xml:space="preserve">Wassenaar Arrangement on Export Controls for Conventional Arms and Dual-Use Goods and Technologies, public documents and control lists, www.wassenaar.org. See also U.S. Department of State, Bureau of International Security and Nonproliferation, Wassenaar Arrangement overview.</w:t>
      </w:r>
    </w:p>
  </w:footnote>
  <w:footnote w:id="38">
    <w:p>
      <w:pPr>
        <w:spacing w:after="40"/>
      </w:pPr>
      <w:r>
        <w:rPr>
          <w:rStyle w:val="FootnoteReference"/>
        </w:rPr>
        <w:footnoteRef/>
      </w:r>
      <w:r>
        <w:rPr>
          <w:rFonts w:ascii="Arial" w:cs="Arial" w:eastAsia="Arial" w:hAnsi="Arial"/>
          <w:sz w:val="18"/>
          <w:szCs w:val="18"/>
        </w:rPr>
        <w:t xml:space="preserve">Bureau of Industry and Security, "BIS Updated Public Information Page on Export Controls Imposed on Advanced Computing and Semiconductor Manufacturing Items to the PRC," U.S. Department of Commerce. https://www.bis.gov/press-release/bis-updated-public-information-page-export-controls-imposed-advanced-computing-semiconductor</w:t>
      </w:r>
    </w:p>
  </w:footnote>
  <w:footnote w:id="39">
    <w:p>
      <w:pPr>
        <w:spacing w:after="40"/>
      </w:pPr>
      <w:r>
        <w:rPr>
          <w:rStyle w:val="FootnoteReference"/>
        </w:rPr>
        <w:footnoteRef/>
      </w:r>
      <w:r>
        <w:rPr>
          <w:rFonts w:ascii="Arial" w:cs="Arial" w:eastAsia="Arial" w:hAnsi="Arial"/>
          <w:sz w:val="18"/>
          <w:szCs w:val="18"/>
        </w:rPr>
        <w:t xml:space="preserve">Bureau of Industry and Security, "Commerce Strengthens Restrictions on Advanced Computing Semiconductors, Semiconductor Manufacturing Equipment, and Items for Supercomputer and Entity List End Uses," October 17, 2023.</w:t>
      </w:r>
    </w:p>
  </w:footnote>
  <w:footnote w:id="40">
    <w:p>
      <w:pPr>
        <w:spacing w:after="40"/>
      </w:pPr>
      <w:r>
        <w:rPr>
          <w:rStyle w:val="FootnoteReference"/>
        </w:rPr>
        <w:footnoteRef/>
      </w:r>
      <w:r>
        <w:rPr>
          <w:rFonts w:ascii="Arial" w:cs="Arial" w:eastAsia="Arial" w:hAnsi="Arial"/>
          <w:sz w:val="18"/>
          <w:szCs w:val="18"/>
        </w:rPr>
        <w:t xml:space="preserve">Wassenaar Arrangement on Export Controls for Conventional Arms and Dual-Use Goods and Technologies, public documents and control lists, www.wassenaar.org. See also U.S. Department of State, Bureau of International Security and Nonproliferation, Wassenaar Arrangement overview.</w:t>
      </w:r>
    </w:p>
  </w:footnote>
  <w:footnote w:id="41">
    <w:p>
      <w:pPr>
        <w:spacing w:after="40"/>
      </w:pPr>
      <w:r>
        <w:rPr>
          <w:rStyle w:val="FootnoteReference"/>
        </w:rPr>
        <w:footnoteRef/>
      </w:r>
      <w:r>
        <w:rPr>
          <w:rFonts w:ascii="Arial" w:cs="Arial" w:eastAsia="Arial" w:hAnsi="Arial"/>
          <w:sz w:val="18"/>
          <w:szCs w:val="18"/>
        </w:rPr>
        <w:t xml:space="preserve">Wassenaar Arrangement on Export Controls for Conventional Arms and Dual-Use Goods and Technologies, public documents and control lists, www.wassenaar.org. See also U.S. Department of State, Bureau of International Security and Nonproliferation, Wassenaar Arrangement overview.</w:t>
      </w:r>
    </w:p>
  </w:footnote>
  <w:footnote w:id="42">
    <w:p>
      <w:pPr>
        <w:spacing w:after="40"/>
      </w:pPr>
      <w:r>
        <w:rPr>
          <w:rStyle w:val="FootnoteReference"/>
        </w:rPr>
        <w:footnoteRef/>
      </w:r>
      <w:r>
        <w:rPr>
          <w:rFonts w:ascii="Arial" w:cs="Arial" w:eastAsia="Arial" w:hAnsi="Arial"/>
          <w:sz w:val="18"/>
          <w:szCs w:val="18"/>
        </w:rPr>
        <w:t xml:space="preserve">Bureau of Industry and Security, multiple enforcement actions against transshipment networks routing controlled items to PRC end-users through third-country intermediaries, 2022–2025. See also U.S. Department of Justice, press releases on export control enforcement cases involving Singapore-, UAE-, and Malaysia-based intermediaries.</w:t>
      </w:r>
    </w:p>
  </w:footnote>
  <w:footnote w:id="43">
    <w:p>
      <w:pPr>
        <w:spacing w:after="40"/>
      </w:pPr>
      <w:r>
        <w:rPr>
          <w:rStyle w:val="FootnoteReference"/>
        </w:rPr>
        <w:footnoteRef/>
      </w:r>
      <w:r>
        <w:rPr>
          <w:rFonts w:ascii="Arial" w:cs="Arial" w:eastAsia="Arial" w:hAnsi="Arial"/>
          <w:sz w:val="18"/>
          <w:szCs w:val="18"/>
        </w:rPr>
        <w:t xml:space="preserve">International Emergency Economic Powers Act, 50 U.S.C. §§1701–1706.</w:t>
      </w:r>
    </w:p>
  </w:footnote>
  <w:footnote w:id="44">
    <w:p>
      <w:pPr>
        <w:spacing w:after="40"/>
      </w:pPr>
      <w:r>
        <w:rPr>
          <w:rStyle w:val="FootnoteReference"/>
        </w:rPr>
        <w:footnoteRef/>
      </w:r>
      <w:r>
        <w:rPr>
          <w:rFonts w:ascii="Arial" w:cs="Arial" w:eastAsia="Arial" w:hAnsi="Arial"/>
          <w:sz w:val="18"/>
          <w:szCs w:val="18"/>
        </w:rPr>
        <w:t xml:space="preserve">KindHearts for Charitable Humanitarian Development, Inc. v. Geithner, 647 F.Supp.2d 857 (N.D. Ohio 2009); Al Haramain Islamic Foundation, Inc. v. U.S. Dep’t of Treasury, 686 F.3d 965 (9th Cir. 2012). See also Holder v. Humanitarian Law Project, 561 U.S. 1 (2010).</w:t>
      </w:r>
    </w:p>
  </w:footnote>
  <w:footnote w:id="45">
    <w:p>
      <w:pPr>
        <w:spacing w:after="40"/>
      </w:pPr>
      <w:r>
        <w:rPr>
          <w:rStyle w:val="FootnoteReference"/>
        </w:rPr>
        <w:footnoteRef/>
      </w:r>
      <w:r>
        <w:rPr>
          <w:rFonts w:ascii="Arial" w:cs="Arial" w:eastAsia="Arial" w:hAnsi="Arial"/>
          <w:sz w:val="18"/>
          <w:szCs w:val="18"/>
        </w:rPr>
        <w:t xml:space="preserve">Marc Hofer (NetAskari), "China’s massive data leak of military secrets?" Substack, March 2026. https://netaskari.substack.com/p/chinas-massive-data-leak-of-military</w:t>
      </w:r>
    </w:p>
  </w:footnote>
  <w:footnote w:id="46">
    <w:p>
      <w:pPr>
        <w:spacing w:after="40"/>
      </w:pPr>
      <w:r>
        <w:rPr>
          <w:rStyle w:val="FootnoteReference"/>
        </w:rPr>
        <w:footnoteRef/>
      </w:r>
      <w:r>
        <w:rPr>
          <w:rFonts w:ascii="Arial" w:cs="Arial" w:eastAsia="Arial" w:hAnsi="Arial"/>
          <w:sz w:val="18"/>
          <w:szCs w:val="18"/>
        </w:rPr>
        <w:t xml:space="preserve">Marc Hofer (NetAskari), "China’s massive data leak of military secrets?" Substack, March 2026. https://netaskari.substack.com/p/chinas-massive-data-leak-of-military</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2A4A" w:sz="6" w:space="1"/>
      </w:pBdr>
      <w:spacing w:after="120" w:before="0"/>
    </w:pPr>
    <w:r>
      <w:rPr>
        <w:rFonts w:ascii="Arial" w:cs="Arial" w:eastAsia="Arial" w:hAnsi="Arial"/>
        <w:caps/>
        <w:color w:val="4A5568"/>
        <w:sz w:val="16"/>
        <w:szCs w:val="16"/>
      </w:rPr>
      <w:t xml:space="preserve">STRAT-NSCC-01  •  UNCLASSIFIED // OPEN SOURCE  •  CENTER FOR COMPETITIVE STATECRAFT AND STRATEGIC POLICY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1B2A4A"/>
      <w:sz w:val="32"/>
      <w:szCs w:val="32"/>
    </w:rPr>
  </w:style>
  <w:style w:type="paragraph" w:styleId="Heading2">
    <w:name w:val="Heading 2"/>
    <w:basedOn w:val="Normal"/>
    <w:next w:val="Normal"/>
    <w:qFormat/>
    <w:pPr>
      <w:spacing w:after="180" w:before="280"/>
      <w:outlineLvl w:val="1"/>
    </w:pPr>
    <w:rPr>
      <w:rFonts w:ascii="Arial" w:cs="Arial" w:eastAsia="Arial" w:hAnsi="Arial"/>
      <w:b/>
      <w:bCs/>
      <w:color w:val="1B2A4A"/>
      <w:sz w:val="26"/>
      <w:szCs w:val="26"/>
    </w:rPr>
  </w:style>
  <w:style w:type="paragraph" w:styleId="Heading3">
    <w:name w:val="Heading 3"/>
    <w:basedOn w:val="Normal"/>
    <w:next w:val="Normal"/>
    <w:qFormat/>
    <w:pPr>
      <w:spacing w:after="140" w:before="240"/>
      <w:outlineLvl w:val="2"/>
    </w:pPr>
    <w:rPr>
      <w:rFonts w:ascii="Arial" w:cs="Arial" w:eastAsia="Arial" w:hAnsi="Arial"/>
      <w:b/>
      <w:bCs/>
      <w:color w:val="1B2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2026-04-10T16:14:44.335Z</dcterms:created>
  <dcterms:modified xsi:type="dcterms:W3CDTF">2026-04-10T16:14:44.336Z</dcterms:modified>
</cp:coreProperties>
</file>

<file path=docProps/custom.xml><?xml version="1.0" encoding="utf-8"?>
<Properties xmlns="http://schemas.openxmlformats.org/officeDocument/2006/custom-properties" xmlns:vt="http://schemas.openxmlformats.org/officeDocument/2006/docPropsVTypes"/>
</file>