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i w:val="false"/>
          <w:iCs w:val="false"/>
          <w:caps/>
          <w:color w:val="1B2A4A"/>
          <w:sz w:val="20"/>
          <w:szCs w:val="20"/>
        </w:rPr>
        <w:t xml:space="preserve">CENTER FOR COMPETITIVE STATECRAFT AND STRATEGIC POLICY</w:t>
      </w:r>
    </w:p>
    <w:p>
      <w:pPr>
        <w:spacing w:before="0" w:after="60"/>
        <w:jc w:val="center"/>
      </w:pPr>
      <w:r>
        <w:rPr>
          <w:rFonts w:ascii="Arial" w:cs="Arial" w:eastAsia="Arial" w:hAnsi="Arial"/>
          <w:b/>
          <w:bCs/>
          <w:i w:val="false"/>
          <w:iCs w:val="false"/>
          <w:caps w:val="false"/>
          <w:color w:val="2E4172"/>
          <w:sz w:val="20"/>
          <w:szCs w:val="20"/>
        </w:rPr>
        <w:t xml:space="preserve">WP-2026 SERIES — SERIES ARCHITECTURE</w:t>
      </w:r>
    </w:p>
    <w:p>
      <w:pPr>
        <w:spacing w:before="60" w:after="60"/>
      </w:pPr>
      <w:r>
        <w:rPr>
          <w:rFonts w:ascii="Arial" w:cs="Arial" w:eastAsia="Arial" w:hAnsi="Arial"/>
          <w:b w:val="false"/>
          <w:bCs w:val="false"/>
          <w:i w:val="false"/>
          <w:iCs w:val="false"/>
          <w:caps w:val="false"/>
          <w:color w:val="000000"/>
          <w:sz w:val="20"/>
          <w:szCs w:val="20"/>
        </w:rPr>
        <w:t xml:space="preserve"/>
      </w:r>
    </w:p>
    <w:p>
      <w:pPr>
        <w:spacing w:before="0" w:after="80"/>
        <w:jc w:val="center"/>
      </w:pPr>
      <w:r>
        <w:rPr>
          <w:rFonts w:ascii="Arial" w:cs="Arial" w:eastAsia="Arial" w:hAnsi="Arial"/>
          <w:b/>
          <w:bCs/>
          <w:i w:val="false"/>
          <w:iCs w:val="false"/>
          <w:caps w:val="false"/>
          <w:color w:val="1B2A4A"/>
          <w:sz w:val="28"/>
          <w:szCs w:val="28"/>
        </w:rPr>
        <w:t xml:space="preserve">SERIES ARCHITECTURE MEMO — SAM-01 / REVISION 3.0</w:t>
      </w:r>
    </w:p>
    <w:p>
      <w:pPr>
        <w:spacing w:before="0" w:after="60"/>
        <w:jc w:val="center"/>
      </w:pPr>
      <w:r>
        <w:rPr>
          <w:rFonts w:ascii="Arial" w:cs="Arial" w:eastAsia="Arial" w:hAnsi="Arial"/>
          <w:b w:val="false"/>
          <w:bCs w:val="false"/>
          <w:i/>
          <w:iCs/>
          <w:caps w:val="false"/>
          <w:color w:val="4A5568"/>
          <w:sz w:val="20"/>
          <w:szCs w:val="20"/>
        </w:rPr>
        <w:t xml:space="preserve">Amendment: New Document Ownership Registrations — TARIFF-01 v9.5, FISCAL-01, SCORES-01</w:t>
      </w:r>
    </w:p>
    <w:p>
      <w:pPr>
        <w:pBdr>
          <w:bottom w:val="single" w:color="1B2A4A"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60" w:after="60"/>
      </w:pPr>
      <w:r>
        <w:rPr>
          <w:rFonts w:ascii="Arial" w:cs="Arial" w:eastAsia="Arial" w:hAnsi="Arial"/>
          <w:b w:val="false"/>
          <w:bCs w:val="false"/>
          <w:i w:val="false"/>
          <w:iCs w:val="false"/>
          <w:caps w:val="false"/>
          <w:color w:val="000000"/>
          <w:sz w:val="20"/>
          <w:szCs w:val="20"/>
        </w:rPr>
        <w:t xml:space="preserve"/>
      </w:r>
    </w:p>
    <w:tbl>
      <w:tblPr>
        <w:tblW w:type="pct" w:w="100%"/>
        <w:tblBorders>
          <w:top w:val="single" w:color="2E4172" w:sz="1"/>
          <w:left w:val="single" w:color="2E4172" w:sz="1"/>
          <w:bottom w:val="single" w:color="2E4172" w:sz="1"/>
          <w:right w:val="single" w:color="2E4172" w:sz="1"/>
          <w:insideH w:val="single" w:color="auto" w:sz="4"/>
          <w:insideV w:val="single" w:color="auto" w:sz="4"/>
        </w:tblBorders>
      </w:tblPr>
      <w:tblGrid>
        <w:gridCol w:w="100"/>
        <w:gridCol w:w="100"/>
      </w:tblGrid>
      <w:tr>
        <w:tc>
          <w:tcPr>
            <w:tcW w:type="pct" w:w="22%"/>
            <w:shd w:fill="E8EDF5"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2A4A"/>
                <w:sz w:val="18"/>
                <w:szCs w:val="18"/>
              </w:rPr>
              <w:t xml:space="preserve">Series</w:t>
            </w:r>
          </w:p>
        </w:tc>
        <w:tc>
          <w:tcPr>
            <w:tcW w:type="pct" w:w="78%"/>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WP-2026 — Center for Competitive Statecraft and Strategic Policy</w:t>
            </w:r>
          </w:p>
        </w:tc>
      </w:tr>
      <w:tr>
        <w:tc>
          <w:tcPr>
            <w:tcW w:type="pct" w:w="22%"/>
            <w:shd w:fill="E8EDF5"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2A4A"/>
                <w:sz w:val="18"/>
                <w:szCs w:val="18"/>
              </w:rPr>
              <w:t xml:space="preserve">Document</w:t>
            </w:r>
          </w:p>
        </w:tc>
        <w:tc>
          <w:tcPr>
            <w:tcW w:type="pct" w:w="78%"/>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SAM-01, Revision 3.0 — Series Architecture Memo</w:t>
            </w:r>
          </w:p>
        </w:tc>
      </w:tr>
      <w:tr>
        <w:tc>
          <w:tcPr>
            <w:tcW w:type="pct" w:w="22%"/>
            <w:shd w:fill="E8EDF5"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2A4A"/>
                <w:sz w:val="18"/>
                <w:szCs w:val="18"/>
              </w:rPr>
              <w:t xml:space="preserve">Date</w:t>
            </w:r>
          </w:p>
        </w:tc>
        <w:tc>
          <w:tcPr>
            <w:tcW w:type="pct" w:w="78%"/>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March 2026</w:t>
            </w:r>
          </w:p>
        </w:tc>
      </w:tr>
      <w:tr>
        <w:tc>
          <w:tcPr>
            <w:tcW w:type="pct" w:w="22%"/>
            <w:shd w:fill="E8EDF5"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2A4A"/>
                <w:sz w:val="18"/>
                <w:szCs w:val="18"/>
              </w:rPr>
              <w:t xml:space="preserve">Status</w:t>
            </w:r>
          </w:p>
        </w:tc>
        <w:tc>
          <w:tcPr>
            <w:tcW w:type="pct" w:w="78%"/>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Governing document. Required compliance for all WP-2026 series papers.</w:t>
            </w:r>
          </w:p>
        </w:tc>
      </w:tr>
      <w:tr>
        <w:tc>
          <w:tcPr>
            <w:tcW w:type="pct" w:w="22%"/>
            <w:shd w:fill="E8EDF5"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2A4A"/>
                <w:sz w:val="18"/>
                <w:szCs w:val="18"/>
              </w:rPr>
              <w:t xml:space="preserve">Applies To</w:t>
            </w:r>
          </w:p>
        </w:tc>
        <w:tc>
          <w:tcPr>
            <w:tcW w:type="pct" w:w="78%"/>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All WP-2026 series documents, current and future</w:t>
            </w:r>
          </w:p>
        </w:tc>
      </w:tr>
      <w:tr>
        <w:tc>
          <w:tcPr>
            <w:tcW w:type="pct" w:w="22%"/>
            <w:shd w:fill="E8EDF5"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2A4A"/>
                <w:sz w:val="18"/>
                <w:szCs w:val="18"/>
              </w:rPr>
              <w:t xml:space="preserve">Supersedes</w:t>
            </w:r>
          </w:p>
        </w:tc>
        <w:tc>
          <w:tcPr>
            <w:tcW w:type="pct" w:w="78%"/>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SAM-01, Revision 2.0 (March 2026) — incorporates all Rev 2.0 content by reference</w:t>
            </w:r>
          </w:p>
        </w:tc>
      </w:tr>
    </w:tbl>
    <w:p>
      <w:pPr>
        <w:spacing w:before="120" w:after="120"/>
      </w:pPr>
      <w:r>
        <w:rPr>
          <w:rFonts w:ascii="Arial" w:cs="Arial" w:eastAsia="Arial" w:hAnsi="Arial"/>
          <w:b w:val="false"/>
          <w:bCs w:val="false"/>
          <w:i w:val="false"/>
          <w:iCs w:val="false"/>
          <w:caps w:val="false"/>
          <w:color w:val="000000"/>
          <w:sz w:val="20"/>
          <w:szCs w:val="20"/>
        </w:rPr>
        <w:t xml:space="preserve"/>
      </w:r>
    </w:p>
    <w:tbl>
      <w:tblPr>
        <w:tblW w:type="pct" w:w="100%"/>
        <w:tblBorders>
          <w:top w:val="single" w:color="2E4172" w:sz="1"/>
          <w:left w:val="single" w:color="2E4172" w:sz="1"/>
          <w:bottom w:val="single" w:color="2E4172" w:sz="1"/>
          <w:right w:val="single" w:color="2E4172" w:sz="1"/>
          <w:insideH w:val="single" w:color="auto" w:sz="4"/>
          <w:insideV w:val="single" w:color="auto" w:sz="4"/>
        </w:tblBorders>
      </w:tblPr>
      <w:tblGrid>
        <w:gridCol w:w="100"/>
      </w:tblGrid>
      <w:tr>
        <w:tc>
          <w:tcPr>
            <w:shd w:fill="E8EDF5" w:val="clear"/>
            <w:tcMar>
              <w:top w:type="dxa" w:w="120"/>
              <w:left w:type="dxa" w:w="180"/>
              <w:bottom w:type="dxa" w:w="120"/>
              <w:right w:type="dxa" w:w="180"/>
            </w:tcMar>
          </w:tcPr>
          <w:p>
            <w:pPr>
              <w:spacing w:before="40" w:after="40"/>
              <w:jc w:val="left"/>
            </w:pPr>
            <w:r>
              <w:rPr>
                <w:rFonts w:ascii="Arial" w:cs="Arial" w:eastAsia="Arial" w:hAnsi="Arial"/>
                <w:b w:val="false"/>
                <w:bCs w:val="false"/>
                <w:i w:val="false"/>
                <w:iCs w:val="false"/>
                <w:caps w:val="false"/>
                <w:color w:val="1B2A4A"/>
                <w:sz w:val="18"/>
                <w:szCs w:val="18"/>
              </w:rPr>
              <w:t xml:space="preserve">GOVERNING DOCUMENT NOTICE</w:t>
            </w:r>
          </w:p>
          <w:p>
            <w:pPr>
              <w:spacing w:before="40" w:after="40"/>
              <w:jc w:val="left"/>
            </w:pPr>
            <w:r>
              <w:rPr>
                <w:rFonts w:ascii="Arial" w:cs="Arial" w:eastAsia="Arial" w:hAnsi="Arial"/>
                <w:b w:val="false"/>
                <w:bCs w:val="false"/>
                <w:i w:val="false"/>
                <w:iCs w:val="false"/>
                <w:caps w:val="false"/>
                <w:color w:val="1B2A4A"/>
                <w:sz w:val="18"/>
                <w:szCs w:val="18"/>
              </w:rPr>
              <w:t xml:space="preserve"/>
            </w:r>
          </w:p>
          <w:p>
            <w:pPr>
              <w:spacing w:before="40" w:after="40"/>
              <w:jc w:val="left"/>
            </w:pPr>
            <w:r>
              <w:rPr>
                <w:rFonts w:ascii="Arial" w:cs="Arial" w:eastAsia="Arial" w:hAnsi="Arial"/>
                <w:b w:val="false"/>
                <w:bCs w:val="false"/>
                <w:i w:val="false"/>
                <w:iCs w:val="false"/>
                <w:caps w:val="false"/>
                <w:color w:val="1B2A4A"/>
                <w:sz w:val="18"/>
                <w:szCs w:val="18"/>
              </w:rPr>
              <w:t xml:space="preserve">SAM-01 is the governing architecture document for the WP-2026 series. Revision 3.0 adds ownership domain registrations for three new documents: TARIFF-01 v9.5 (superseding the prior TARIFF-01), FISCAL-01 (US fiscal sustainability architecture), and SCORES-01 (official fiscal score compilation). All other provisions of SAM-01 Rev 2.0 remain in full force and are incorporated by reference. Compliance requirements, overlap classification thresholds, series failure conditions, and required edits defined in Rev 2.0 continue to apply without modification.</w:t>
            </w:r>
          </w:p>
          <w:p>
            <w:pPr>
              <w:spacing w:before="40" w:after="40"/>
              <w:jc w:val="left"/>
            </w:pPr>
            <w:r>
              <w:rPr>
                <w:rFonts w:ascii="Arial" w:cs="Arial" w:eastAsia="Arial" w:hAnsi="Arial"/>
                <w:b w:val="false"/>
                <w:bCs w:val="false"/>
                <w:i w:val="false"/>
                <w:iCs w:val="false"/>
                <w:caps w:val="false"/>
                <w:color w:val="1B2A4A"/>
                <w:sz w:val="18"/>
                <w:szCs w:val="18"/>
              </w:rPr>
              <w:t xml:space="preserve"/>
            </w:r>
          </w:p>
          <w:p>
            <w:pPr>
              <w:spacing w:before="40" w:after="40"/>
              <w:jc w:val="left"/>
            </w:pPr>
            <w:r>
              <w:rPr>
                <w:rFonts w:ascii="Arial" w:cs="Arial" w:eastAsia="Arial" w:hAnsi="Arial"/>
                <w:b w:val="false"/>
                <w:bCs w:val="false"/>
                <w:i w:val="false"/>
                <w:iCs w:val="false"/>
                <w:caps w:val="false"/>
                <w:color w:val="1B2A4A"/>
                <w:sz w:val="18"/>
                <w:szCs w:val="18"/>
              </w:rPr>
              <w:t xml:space="preserve">Rev 3.0 additions: Three new Part IV ownership domain entries; one TARIFF-01 supersession note; cross-reference updates to the overlap matrix; document count update (59 → 62 documents).</w:t>
            </w:r>
          </w:p>
        </w:tc>
      </w:tr>
    </w:tbl>
    <w:p>
      <w:pPr>
        <w:spacing w:before="120" w:after="120"/>
      </w:pPr>
      <w:r>
        <w:rPr>
          <w:rFonts w:ascii="Arial" w:cs="Arial" w:eastAsia="Arial" w:hAnsi="Arial"/>
          <w:b w:val="false"/>
          <w:bCs w:val="false"/>
          <w:i w:val="false"/>
          <w:iCs w:val="false"/>
          <w:caps w:val="false"/>
          <w:color w:val="000000"/>
          <w:sz w:val="20"/>
          <w:szCs w:val="20"/>
        </w:rPr>
        <w:t xml:space="preserve"/>
      </w:r>
    </w:p>
    <w:p>
      <w:pPr>
        <w:pBdr>
          <w:bottom w:val="single" w:color="1B2A4A"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200" w:after="100"/>
        <w:jc w:val="left"/>
      </w:pPr>
      <w:r>
        <w:rPr>
          <w:rFonts w:ascii="Arial" w:cs="Arial" w:eastAsia="Arial" w:hAnsi="Arial"/>
          <w:b/>
          <w:bCs/>
          <w:i w:val="false"/>
          <w:iCs w:val="false"/>
          <w:caps/>
          <w:color w:val="1B2A4A"/>
          <w:sz w:val="24"/>
          <w:szCs w:val="24"/>
        </w:rPr>
        <w:t xml:space="preserve">PART IV AMENDMENT: NEW DOCUMENT OWNERSHIP REGISTRATIONS</w:t>
      </w:r>
    </w:p>
    <w:p>
      <w:pPr>
        <w:spacing w:before="60" w:after="60"/>
        <w:jc w:val="left"/>
      </w:pPr>
      <w:r>
        <w:rPr>
          <w:rFonts w:ascii="Arial" w:cs="Arial" w:eastAsia="Arial" w:hAnsi="Arial"/>
          <w:b w:val="false"/>
          <w:bCs w:val="false"/>
          <w:i w:val="false"/>
          <w:iCs w:val="false"/>
          <w:caps w:val="false"/>
          <w:color w:val="000000"/>
          <w:sz w:val="20"/>
          <w:szCs w:val="20"/>
        </w:rPr>
        <w:t xml:space="preserve">The following ownership assignments are added to SAM-01 Part IV. Each new document owns the analytical claims listed below. All other series documents import those claims by cross-reference.</w:t>
      </w:r>
    </w:p>
    <w:p>
      <w:pPr>
        <w:spacing w:before="80" w:after="80"/>
      </w:pPr>
      <w:r>
        <w:rPr>
          <w:rFonts w:ascii="Arial" w:cs="Arial" w:eastAsia="Arial" w:hAnsi="Arial"/>
          <w:b w:val="false"/>
          <w:bCs w:val="false"/>
          <w:i w:val="false"/>
          <w:iCs w:val="false"/>
          <w:caps w:val="false"/>
          <w:color w:val="000000"/>
          <w:sz w:val="20"/>
          <w:szCs w:val="20"/>
        </w:rPr>
        <w:t xml:space="preserve"/>
      </w:r>
    </w:p>
    <w:tbl>
      <w:tblPr>
        <w:tblW w:type="pct" w:w="100%"/>
        <w:tblBorders>
          <w:top w:val="single" w:color="2E4172" w:sz="1"/>
          <w:left w:val="single" w:color="2E4172" w:sz="1"/>
          <w:bottom w:val="single" w:color="2E4172" w:sz="1"/>
          <w:right w:val="single" w:color="2E4172" w:sz="1"/>
          <w:insideH w:val="single" w:color="auto" w:sz="4"/>
          <w:insideV w:val="single" w:color="auto" w:sz="4"/>
        </w:tblBorders>
      </w:tblPr>
      <w:tblGrid>
        <w:gridCol w:w="100"/>
      </w:tblGrid>
      <w:tr>
        <w:tc>
          <w:tcPr>
            <w:shd w:fill="E8EDF5" w:val="clear"/>
            <w:tcMar>
              <w:top w:type="dxa" w:w="120"/>
              <w:left w:type="dxa" w:w="180"/>
              <w:bottom w:type="dxa" w:w="120"/>
              <w:right w:type="dxa" w:w="180"/>
            </w:tcMar>
          </w:tcPr>
          <w:p>
            <w:pPr>
              <w:spacing w:before="40" w:after="80"/>
              <w:jc w:val="left"/>
            </w:pPr>
            <w:r>
              <w:rPr>
                <w:rFonts w:ascii="Arial" w:cs="Arial" w:eastAsia="Arial" w:hAnsi="Arial"/>
                <w:b/>
                <w:bCs/>
                <w:i w:val="false"/>
                <w:iCs w:val="false"/>
                <w:caps/>
                <w:color w:val="1B2A4A"/>
                <w:sz w:val="20"/>
                <w:szCs w:val="20"/>
              </w:rPr>
              <w:t xml:space="preserve">TARIFF-01 v9.5 — EXCLUSIVE OWNERSHIP DOMAIN</w:t>
            </w:r>
          </w:p>
          <w:p>
            <w:pPr>
              <w:spacing w:before="40" w:after="40"/>
              <w:jc w:val="left"/>
            </w:pPr>
            <w:r>
              <w:rPr>
                <w:rFonts w:ascii="Arial" w:cs="Arial" w:eastAsia="Arial" w:hAnsi="Arial"/>
                <w:b w:val="false"/>
                <w:bCs w:val="false"/>
                <w:i w:val="false"/>
                <w:iCs w:val="false"/>
                <w:caps w:val="false"/>
                <w:color w:val="000000"/>
                <w:sz w:val="19"/>
                <w:szCs w:val="19"/>
              </w:rPr>
              <w:t xml:space="preserve">SUPERSESSION NOTE: TARIFF-01 v9.5 supersedes all prior versions of TARIFF-01 (v1–v5 and the earlier enforcement-architecture version). The prior version is archived to 11-archive/. v9.5 is the authoritative TARIFF-01 for the series.</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Post-Learning Resources v. Trump (Feb. 20, 2026) tariff legal authority architecture: the statutory interpretation holding, the plurality major questions doctrine analysis (Roberts, Gorsuch, Barrett), and the operative authority set remaining after IEEPA foreclosure (AD/CVD, Section 232, Section 301, Section 122).</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Tariff revenue capacity analysis: the bounded revenue range under post-SCOTUS authority, retaliation risk modeling by trading partner, transshipment and evasion dynamics, and the declining revenue trajectory under sustained AD/CVD-only enforcement.</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The welfare-maximizing US tariff calibration: the Itskhoki-Mukhin (2025) optimal tariff incorporating dollar reserve currency role and US external liabilities (~9%), and the relationship between that calibration and the post-SCOTUS effective rate (~7–10.5%).</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Trade-policy alternatives to tariff revenue: border-adjusted consumption tax revenue capacity (~$230–350B/year), VAT comparison to tariff revenue, WTO defensibility analysis of each alternative, and the political feasibility constraint.</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The interaction between tariff policy and fiscal sustainability: why tariff revenue cannot function as a primary debt-service instrument at any plausible post-SCOTUS revenue level, and the distributional and macroeconomic transmission channels.</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SERIES POSITION: Reads upstream from FISCAL-01 (revenue capacity as input to fiscal consolidation architecture) and SCORES-01 (official CBO/JCT/Yale Budget Lab scoring basis). Reads into PERSIST-01 (IEEPA authority rail — Learning Resources ruling directly constrains the IEEPA sanctions authority that PERSIST-01 governs; this interaction is a Category 1 healthy overlap requiring cross-reference). Reads into ESCALATE-01 (tariff-based pressure as one instrument in the graduated enforcement architecture).</w:t>
            </w:r>
          </w:p>
        </w:tc>
      </w:tr>
    </w:tbl>
    <w:p>
      <w:pPr>
        <w:spacing w:before="120" w:after="120"/>
      </w:pPr>
      <w:r>
        <w:rPr>
          <w:rFonts w:ascii="Arial" w:cs="Arial" w:eastAsia="Arial" w:hAnsi="Arial"/>
          <w:b w:val="false"/>
          <w:bCs w:val="false"/>
          <w:i w:val="false"/>
          <w:iCs w:val="false"/>
          <w:caps w:val="false"/>
          <w:color w:val="000000"/>
          <w:sz w:val="20"/>
          <w:szCs w:val="20"/>
        </w:rPr>
        <w:t xml:space="preserve"/>
      </w:r>
    </w:p>
    <w:tbl>
      <w:tblPr>
        <w:tblW w:type="pct" w:w="100%"/>
        <w:tblBorders>
          <w:top w:val="single" w:color="2E4172" w:sz="1"/>
          <w:left w:val="single" w:color="2E4172" w:sz="1"/>
          <w:bottom w:val="single" w:color="2E4172" w:sz="1"/>
          <w:right w:val="single" w:color="2E4172" w:sz="1"/>
          <w:insideH w:val="single" w:color="auto" w:sz="4"/>
          <w:insideV w:val="single" w:color="auto" w:sz="4"/>
        </w:tblBorders>
      </w:tblPr>
      <w:tblGrid>
        <w:gridCol w:w="100"/>
      </w:tblGrid>
      <w:tr>
        <w:tc>
          <w:tcPr>
            <w:shd w:fill="E8EDF5" w:val="clear"/>
            <w:tcMar>
              <w:top w:type="dxa" w:w="120"/>
              <w:left w:type="dxa" w:w="180"/>
              <w:bottom w:type="dxa" w:w="120"/>
              <w:right w:type="dxa" w:w="180"/>
            </w:tcMar>
          </w:tcPr>
          <w:p>
            <w:pPr>
              <w:spacing w:before="40" w:after="80"/>
              <w:jc w:val="left"/>
            </w:pPr>
            <w:r>
              <w:rPr>
                <w:rFonts w:ascii="Arial" w:cs="Arial" w:eastAsia="Arial" w:hAnsi="Arial"/>
                <w:b/>
                <w:bCs/>
                <w:i w:val="false"/>
                <w:iCs w:val="false"/>
                <w:caps/>
                <w:color w:val="1B2A4A"/>
                <w:sz w:val="20"/>
                <w:szCs w:val="20"/>
              </w:rPr>
              <w:t xml:space="preserve">FISCAL-01 — EXCLUSIVE OWNERSHIP DOMAIN</w:t>
            </w:r>
          </w:p>
          <w:p>
            <w:pPr>
              <w:spacing w:before="40" w:after="40"/>
              <w:jc w:val="left"/>
            </w:pPr>
            <w:r>
              <w:rPr>
                <w:rFonts w:ascii="Arial" w:cs="Arial" w:eastAsia="Arial" w:hAnsi="Arial"/>
                <w:b w:val="false"/>
                <w:bCs w:val="false"/>
                <w:i w:val="false"/>
                <w:iCs w:val="false"/>
                <w:caps w:val="false"/>
                <w:color w:val="000000"/>
                <w:sz w:val="19"/>
                <w:szCs w:val="19"/>
              </w:rPr>
              <w:t xml:space="preserve">The US fiscal sustainability baseline: CBO long-term debt trajectory (100% → 156% GDP by 2055), net interest dynamics (FY2025 ~$970B, FY2026 &gt;$1T), trust fund depletion timelines (OASI and HI: 2033), and the structural diagnosis that expenditure growth outpaces revenue growth while interest compounds on a larger base.</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The fiscal consolidation architecture: the required adjustment magnitude (~4.5–5.0% of GDP, ~$1.4–1.5T annually) for debt-to-GDP stabilization, the interaction-effects discount (~10–20%), and the historical consolidation episode comparators.</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The multi-instrument fiscal sustainability framework: the specific revenue, expenditure, and enforcement instruments analyzed, their estimated yield ranges (★ official score / ◆ modeled estimate / ◇ illustrative planning range per the scoring taxonomy), political feasibility assessments, and distributional incidence.</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The scoring taxonomy as applied to fiscal consolidation instruments: the three-tier classification (★ / ◆ / ◇) governing how all fiscal figures in this document and in SCORES-01 are cited and interpreted. FISCAL-01 owns the application of this taxonomy to consolidation instrument analysis; SCORES-01 owns the underlying compilation.</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The growth policy interaction doctrine: why GDP growth changes the feasibility of consolidation without substituting for fiscal adjustment, including the GDP sensitivity analysis for interest burden reduction.</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The enforcement revenue analysis: IRS enforcement funding return (~$18–20B/year marginal from IRA-funded increment, corrected from prior conflation with total existing enforcement collections), Congressional rescission impact, and sustained-appropriations conditionality.</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SERIES POSITION: Reads upstream from TARIFF-01 v9.5 (tariff revenue capacity as input), SCORES-01 (evidentiary compilation), and PERSIST-01 (authority rail sustainability as a guardrail condition). Reads into ESCALATE-01 (institutional throughput constraints — fiscal constraints on OFAC designation capacity, DOJ forfeiture funding, and BIS enforcement resourcing are upstream of ESCALATE-01's institutional constraint layer), RESILIENCE-01 (domestic capacity prerequisites — both documents address US capacity to sustain multi-year campaigns; RESILIENCE-01 owns industrial capacity, FISCAL-01 owns fiscal capacity; Category 1 healthy overlap requiring mutual cross-reference), and PERSIST-01 Guardrail Index (fiscal sustainability as a fourth systemic stability indicator alongside the three currently defined).</w:t>
            </w:r>
          </w:p>
        </w:tc>
      </w:tr>
    </w:tbl>
    <w:p>
      <w:pPr>
        <w:spacing w:before="120" w:after="120"/>
      </w:pPr>
      <w:r>
        <w:rPr>
          <w:rFonts w:ascii="Arial" w:cs="Arial" w:eastAsia="Arial" w:hAnsi="Arial"/>
          <w:b w:val="false"/>
          <w:bCs w:val="false"/>
          <w:i w:val="false"/>
          <w:iCs w:val="false"/>
          <w:caps w:val="false"/>
          <w:color w:val="000000"/>
          <w:sz w:val="20"/>
          <w:szCs w:val="20"/>
        </w:rPr>
        <w:t xml:space="preserve"/>
      </w:r>
    </w:p>
    <w:tbl>
      <w:tblPr>
        <w:tblW w:type="pct" w:w="100%"/>
        <w:tblBorders>
          <w:top w:val="single" w:color="2E4172" w:sz="1"/>
          <w:left w:val="single" w:color="2E4172" w:sz="1"/>
          <w:bottom w:val="single" w:color="2E4172" w:sz="1"/>
          <w:right w:val="single" w:color="2E4172" w:sz="1"/>
          <w:insideH w:val="single" w:color="auto" w:sz="4"/>
          <w:insideV w:val="single" w:color="auto" w:sz="4"/>
        </w:tblBorders>
      </w:tblPr>
      <w:tblGrid>
        <w:gridCol w:w="100"/>
      </w:tblGrid>
      <w:tr>
        <w:tc>
          <w:tcPr>
            <w:shd w:fill="E8EDF5" w:val="clear"/>
            <w:tcMar>
              <w:top w:type="dxa" w:w="120"/>
              <w:left w:type="dxa" w:w="180"/>
              <w:bottom w:type="dxa" w:w="120"/>
              <w:right w:type="dxa" w:w="180"/>
            </w:tcMar>
          </w:tcPr>
          <w:p>
            <w:pPr>
              <w:spacing w:before="40" w:after="80"/>
              <w:jc w:val="left"/>
            </w:pPr>
            <w:r>
              <w:rPr>
                <w:rFonts w:ascii="Arial" w:cs="Arial" w:eastAsia="Arial" w:hAnsi="Arial"/>
                <w:b/>
                <w:bCs/>
                <w:i w:val="false"/>
                <w:iCs w:val="false"/>
                <w:caps/>
                <w:color w:val="1B2A4A"/>
                <w:sz w:val="20"/>
                <w:szCs w:val="20"/>
              </w:rPr>
              <w:t xml:space="preserve">SCORES-01 — EXCLUSIVE OWNERSHIP DOMAIN</w:t>
            </w:r>
          </w:p>
          <w:p>
            <w:pPr>
              <w:spacing w:before="40" w:after="40"/>
              <w:jc w:val="left"/>
            </w:pPr>
            <w:r>
              <w:rPr>
                <w:rFonts w:ascii="Arial" w:cs="Arial" w:eastAsia="Arial" w:hAnsi="Arial"/>
                <w:b w:val="false"/>
                <w:bCs w:val="false"/>
                <w:i w:val="false"/>
                <w:iCs w:val="false"/>
                <w:caps w:val="false"/>
                <w:color w:val="000000"/>
                <w:sz w:val="19"/>
                <w:szCs w:val="19"/>
              </w:rPr>
              <w:t xml:space="preserve">The official fiscal score compilation: the authoritative collection and classification of publicly available CBO, JCT, SSA, and GAO fiscal estimates across five policy families (revenue measures, entitlement reform, defense, discretionary spending, and tax administration/enforcement) as of March 2026.</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The four-category classification vocabulary for fiscal estimates: Official legislative score (CBO/JCT score of enacted or introduced legislation under statutory scorekeeping authority); Official budget-option estimate (CBO/JCT Options for Reducing the Deficit compendium or comparable institutional publication; not a score of specific legislation); Institutional modeling exercise (CBO working paper, SSA actuarial analysis, or comparable institutional modeling of a hypothetical policy design; prepared with institutional rigor but not a score or budget option); Retrospective administrative finding (GAO audit finding, IG report, or comparable post-hoc assessment; not a prospective budget score). This taxonomy is used throughout the series wherever fiscal estimates are cited.</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The citability rules associated with each category: what attribution language is required, what qualifiers are mandatory, and what a figure cannot be presented as to a committee, budget office, or scoring authority.</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The identification of which items in the series carry official legislative scores of enacted law (three items as of March 2026: IRA drug-pricing provisions ~$237B/10yr, P.L. 117-169; IIJA ~$256B deficit increase/10yr, P.L. 117-58; OBBBA itemized deduction limitation ~$834B/10yr, P.L. 119-XX) versus budget-option estimates, modeling exercises, or retrospective findings.</w:t>
            </w:r>
          </w:p>
          <w:p>
            <w:pPr>
              <w:spacing w:before="40" w:after="40"/>
              <w:jc w:val="left"/>
            </w:pPr>
            <w:r>
              <w:rPr>
                <w:rFonts w:ascii="Arial" w:cs="Arial" w:eastAsia="Arial" w:hAnsi="Arial"/>
                <w:b w:val="false"/>
                <w:bCs w:val="false"/>
                <w:i w:val="false"/>
                <w:iCs w:val="false"/>
                <w:caps w:val="false"/>
                <w:color w:val="000000"/>
                <w:sz w:val="19"/>
                <w:szCs w:val="19"/>
              </w:rPr>
              <w:t xml:space="preserve"/>
            </w:r>
          </w:p>
          <w:p>
            <w:pPr>
              <w:spacing w:before="40" w:after="40"/>
              <w:jc w:val="left"/>
            </w:pPr>
            <w:r>
              <w:rPr>
                <w:rFonts w:ascii="Arial" w:cs="Arial" w:eastAsia="Arial" w:hAnsi="Arial"/>
                <w:b w:val="false"/>
                <w:bCs w:val="false"/>
                <w:i w:val="false"/>
                <w:iCs w:val="false"/>
                <w:caps w:val="false"/>
                <w:color w:val="000000"/>
                <w:sz w:val="19"/>
                <w:szCs w:val="19"/>
              </w:rPr>
              <w:t xml:space="preserve">SERIES POSITION: Reference compilation. Does not introduce original analytical claims or enforcement framework conclusions. Provides the evidentiary classification foundation for fiscal estimates used in FISCAL-01 and TARIFF-01 v9.5. All other series documents that cite fiscal figures should verify those figures against SCORES-01 categorization before publication. SCORES-01 is the series' authoritative source on what category any given fiscal estimate belongs to and how it may be cited.</w:t>
            </w:r>
          </w:p>
        </w:tc>
      </w:tr>
    </w:tbl>
    <w:p>
      <w:pPr>
        <w:spacing w:before="120" w:after="120"/>
      </w:pPr>
      <w:r>
        <w:rPr>
          <w:rFonts w:ascii="Arial" w:cs="Arial" w:eastAsia="Arial" w:hAnsi="Arial"/>
          <w:b w:val="false"/>
          <w:bCs w:val="false"/>
          <w:i w:val="false"/>
          <w:iCs w:val="false"/>
          <w:caps w:val="false"/>
          <w:color w:val="000000"/>
          <w:sz w:val="20"/>
          <w:szCs w:val="20"/>
        </w:rPr>
        <w:t xml:space="preserve"/>
      </w:r>
    </w:p>
    <w:p>
      <w:pPr>
        <w:pBdr>
          <w:bottom w:val="single" w:color="1B2A4A"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200" w:after="100"/>
        <w:jc w:val="left"/>
      </w:pPr>
      <w:r>
        <w:rPr>
          <w:rFonts w:ascii="Arial" w:cs="Arial" w:eastAsia="Arial" w:hAnsi="Arial"/>
          <w:b/>
          <w:bCs/>
          <w:i w:val="false"/>
          <w:iCs w:val="false"/>
          <w:caps/>
          <w:color w:val="1B2A4A"/>
          <w:sz w:val="24"/>
          <w:szCs w:val="24"/>
        </w:rPr>
        <w:t xml:space="preserve">PART VIII AMENDMENT: OVERLAP MATRIX ADDITIONS</w:t>
      </w:r>
    </w:p>
    <w:p>
      <w:pPr>
        <w:spacing w:before="60" w:after="60"/>
        <w:jc w:val="left"/>
      </w:pPr>
      <w:r>
        <w:rPr>
          <w:rFonts w:ascii="Arial" w:cs="Arial" w:eastAsia="Arial" w:hAnsi="Arial"/>
          <w:b w:val="false"/>
          <w:bCs w:val="false"/>
          <w:i w:val="false"/>
          <w:iCs w:val="false"/>
          <w:caps w:val="false"/>
          <w:color w:val="000000"/>
          <w:sz w:val="20"/>
          <w:szCs w:val="20"/>
        </w:rPr>
        <w:t xml:space="preserve">The following overlap matrix entries are added to SAM-01 Part VIII. All prior Part VIII entries remain in force.</w:t>
      </w:r>
    </w:p>
    <w:p>
      <w:pPr>
        <w:spacing w:before="80" w:after="80"/>
      </w:pPr>
      <w:r>
        <w:rPr>
          <w:rFonts w:ascii="Arial" w:cs="Arial" w:eastAsia="Arial" w:hAnsi="Arial"/>
          <w:b w:val="false"/>
          <w:bCs w:val="false"/>
          <w:i w:val="false"/>
          <w:iCs w:val="false"/>
          <w:caps w:val="false"/>
          <w:color w:val="000000"/>
          <w:sz w:val="20"/>
          <w:szCs w:val="20"/>
        </w:rPr>
        <w:t xml:space="preserve"/>
      </w:r>
    </w:p>
    <w:p>
      <w:pPr>
        <w:spacing w:before="160" w:after="80"/>
        <w:jc w:val="left"/>
      </w:pPr>
      <w:r>
        <w:rPr>
          <w:rFonts w:ascii="Arial" w:cs="Arial" w:eastAsia="Arial" w:hAnsi="Arial"/>
          <w:b/>
          <w:bCs/>
          <w:i w:val="false"/>
          <w:iCs w:val="false"/>
          <w:caps w:val="false"/>
          <w:color w:val="1B2A4A"/>
          <w:sz w:val="22"/>
          <w:szCs w:val="22"/>
        </w:rPr>
        <w:t xml:space="preserve">8.x TARIFF-01 ↔ PERSIST-01</w:t>
      </w:r>
    </w:p>
    <w:tbl>
      <w:tblPr>
        <w:tblW w:type="pct" w:w="100%"/>
        <w:tblBorders>
          <w:top w:val="single" w:color="2E4172" w:sz="1"/>
          <w:left w:val="single" w:color="2E4172" w:sz="1"/>
          <w:bottom w:val="single" w:color="2E4172" w:sz="1"/>
          <w:right w:val="single" w:color="2E4172" w:sz="1"/>
          <w:insideH w:val="single" w:color="auto" w:sz="4"/>
          <w:insideV w:val="single" w:color="auto" w:sz="4"/>
        </w:tblBorders>
      </w:tblPr>
      <w:tblGrid>
        <w:gridCol w:w="100"/>
        <w:gridCol w:w="100"/>
        <w:gridCol w:w="100"/>
        <w:gridCol w:w="100"/>
      </w:tblGrid>
      <w:tr>
        <w:tc>
          <w:tcPr>
            <w:shd w:fill="1B2A4A"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FFFFFF"/>
                <w:sz w:val="18"/>
                <w:szCs w:val="18"/>
              </w:rPr>
              <w:t xml:space="preserve">Overlap Area</w:t>
            </w:r>
          </w:p>
        </w:tc>
        <w:tc>
          <w:tcPr>
            <w:shd w:fill="1B2A4A"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FFFFFF"/>
                <w:sz w:val="18"/>
                <w:szCs w:val="18"/>
              </w:rPr>
              <w:t xml:space="preserve">TARIFF-01 Treatment</w:t>
            </w:r>
          </w:p>
        </w:tc>
        <w:tc>
          <w:tcPr>
            <w:shd w:fill="1B2A4A"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FFFFFF"/>
                <w:sz w:val="18"/>
                <w:szCs w:val="18"/>
              </w:rPr>
              <w:t xml:space="preserve">PERSIST-01 Treatment</w:t>
            </w:r>
          </w:p>
        </w:tc>
        <w:tc>
          <w:tcPr>
            <w:shd w:fill="1B2A4A"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FFFFFF"/>
                <w:sz w:val="18"/>
                <w:szCs w:val="18"/>
              </w:rPr>
              <w:t xml:space="preserve">Category and Resolution</w:t>
            </w:r>
          </w:p>
        </w:tc>
      </w:tr>
      <w:tr>
        <w:tc>
          <w:tcP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IEEPA authority post-Learning Resources</w:t>
            </w:r>
          </w:p>
        </w:tc>
        <w:tc>
          <w:tcP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Learning Resources holding and its effect on tariff revenue capacity; IEEPA foreclosed as tariff authority</w:t>
            </w:r>
          </w:p>
        </w:tc>
        <w:tc>
          <w:tcP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IEEPA as sanctions authority rail; hard limits and drafting rules for blocking orders</w:t>
            </w:r>
          </w:p>
        </w:tc>
        <w:tc>
          <w:tcPr>
            <w:shd w:fill="E8EDF5"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B2A4A"/>
                <w:sz w:val="18"/>
                <w:szCs w:val="18"/>
              </w:rPr>
              <w:t xml:space="preserve">CATEGORY 1 (Healthy). TARIFF-01 owns the tariff/revenue dimension of Learning Resources. PERSIST-01 owns the sanctions/blocking authority dimension. Analytical functions are distinct. Both documents must cross-reference each other on the IEEPA ruling.</w:t>
            </w:r>
          </w:p>
        </w:tc>
      </w:tr>
    </w:tbl>
    <w:p>
      <w:pPr>
        <w:spacing w:before="120" w:after="120"/>
      </w:pPr>
      <w:r>
        <w:rPr>
          <w:rFonts w:ascii="Arial" w:cs="Arial" w:eastAsia="Arial" w:hAnsi="Arial"/>
          <w:b w:val="false"/>
          <w:bCs w:val="false"/>
          <w:i w:val="false"/>
          <w:iCs w:val="false"/>
          <w:caps w:val="false"/>
          <w:color w:val="000000"/>
          <w:sz w:val="20"/>
          <w:szCs w:val="20"/>
        </w:rPr>
        <w:t xml:space="preserve"/>
      </w:r>
    </w:p>
    <w:p>
      <w:pPr>
        <w:spacing w:before="160" w:after="80"/>
        <w:jc w:val="left"/>
      </w:pPr>
      <w:r>
        <w:rPr>
          <w:rFonts w:ascii="Arial" w:cs="Arial" w:eastAsia="Arial" w:hAnsi="Arial"/>
          <w:b/>
          <w:bCs/>
          <w:i w:val="false"/>
          <w:iCs w:val="false"/>
          <w:caps w:val="false"/>
          <w:color w:val="1B2A4A"/>
          <w:sz w:val="22"/>
          <w:szCs w:val="22"/>
        </w:rPr>
        <w:t xml:space="preserve">8.y FISCAL-01 ↔ RESILIENCE-01</w:t>
      </w:r>
    </w:p>
    <w:tbl>
      <w:tblPr>
        <w:tblW w:type="pct" w:w="100%"/>
        <w:tblBorders>
          <w:top w:val="single" w:color="2E4172" w:sz="1"/>
          <w:left w:val="single" w:color="2E4172" w:sz="1"/>
          <w:bottom w:val="single" w:color="2E4172" w:sz="1"/>
          <w:right w:val="single" w:color="2E4172" w:sz="1"/>
          <w:insideH w:val="single" w:color="auto" w:sz="4"/>
          <w:insideV w:val="single" w:color="auto" w:sz="4"/>
        </w:tblBorders>
      </w:tblPr>
      <w:tblGrid>
        <w:gridCol w:w="100"/>
        <w:gridCol w:w="100"/>
        <w:gridCol w:w="100"/>
        <w:gridCol w:w="100"/>
      </w:tblGrid>
      <w:tr>
        <w:tc>
          <w:tcPr>
            <w:shd w:fill="1B2A4A"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FFFFFF"/>
                <w:sz w:val="18"/>
                <w:szCs w:val="18"/>
              </w:rPr>
              <w:t xml:space="preserve">Overlap Area</w:t>
            </w:r>
          </w:p>
        </w:tc>
        <w:tc>
          <w:tcPr>
            <w:shd w:fill="1B2A4A"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FFFFFF"/>
                <w:sz w:val="18"/>
                <w:szCs w:val="18"/>
              </w:rPr>
              <w:t xml:space="preserve">FISCAL-01 Treatment</w:t>
            </w:r>
          </w:p>
        </w:tc>
        <w:tc>
          <w:tcPr>
            <w:shd w:fill="1B2A4A"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FFFFFF"/>
                <w:sz w:val="18"/>
                <w:szCs w:val="18"/>
              </w:rPr>
              <w:t xml:space="preserve">RESILIENCE-01 Treatment</w:t>
            </w:r>
          </w:p>
        </w:tc>
        <w:tc>
          <w:tcPr>
            <w:shd w:fill="1B2A4A"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FFFFFF"/>
                <w:sz w:val="18"/>
                <w:szCs w:val="18"/>
              </w:rPr>
              <w:t xml:space="preserve">Category and Resolution</w:t>
            </w:r>
          </w:p>
        </w:tc>
      </w:tr>
      <w:tr>
        <w:tc>
          <w:tcP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US capacity to sustain multi-year enforcement campaigns</w:t>
            </w:r>
          </w:p>
        </w:tc>
        <w:tc>
          <w:tcP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Fiscal capacity: debt trajectory, interest burden, revenue instrument yield, enforcement funding sustainability</w:t>
            </w:r>
          </w:p>
        </w:tc>
        <w:tc>
          <w:tcP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Industrial capacity: critical minerals, battery technology, energy resilience, advanced manufacturing; enforcement credibility threshold architecture</w:t>
            </w:r>
          </w:p>
        </w:tc>
        <w:tc>
          <w:tcPr>
            <w:shd w:fill="E8EDF5"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B2A4A"/>
                <w:sz w:val="18"/>
                <w:szCs w:val="18"/>
              </w:rPr>
              <w:t xml:space="preserve">CATEGORY 1 (Healthy). Analytical functions are distinct: FISCAL-01 owns fiscal capacity; RESILIENCE-01 owns industrial capacity. Neither makes the other redundant. Both must cross-reference each other as companion prerequisite-layer documents.</w:t>
            </w:r>
          </w:p>
        </w:tc>
      </w:tr>
    </w:tbl>
    <w:p>
      <w:pPr>
        <w:spacing w:before="120" w:after="120"/>
      </w:pPr>
      <w:r>
        <w:rPr>
          <w:rFonts w:ascii="Arial" w:cs="Arial" w:eastAsia="Arial" w:hAnsi="Arial"/>
          <w:b w:val="false"/>
          <w:bCs w:val="false"/>
          <w:i w:val="false"/>
          <w:iCs w:val="false"/>
          <w:caps w:val="false"/>
          <w:color w:val="000000"/>
          <w:sz w:val="20"/>
          <w:szCs w:val="20"/>
        </w:rPr>
        <w:t xml:space="preserve"/>
      </w:r>
    </w:p>
    <w:p>
      <w:pPr>
        <w:spacing w:before="160" w:after="80"/>
        <w:jc w:val="left"/>
      </w:pPr>
      <w:r>
        <w:rPr>
          <w:rFonts w:ascii="Arial" w:cs="Arial" w:eastAsia="Arial" w:hAnsi="Arial"/>
          <w:b/>
          <w:bCs/>
          <w:i w:val="false"/>
          <w:iCs w:val="false"/>
          <w:caps w:val="false"/>
          <w:color w:val="1B2A4A"/>
          <w:sz w:val="22"/>
          <w:szCs w:val="22"/>
        </w:rPr>
        <w:t xml:space="preserve">8.z FISCAL-01 ↔ ESCALATE-01</w:t>
      </w:r>
    </w:p>
    <w:tbl>
      <w:tblPr>
        <w:tblW w:type="pct" w:w="100%"/>
        <w:tblBorders>
          <w:top w:val="single" w:color="2E4172" w:sz="1"/>
          <w:left w:val="single" w:color="2E4172" w:sz="1"/>
          <w:bottom w:val="single" w:color="2E4172" w:sz="1"/>
          <w:right w:val="single" w:color="2E4172" w:sz="1"/>
          <w:insideH w:val="single" w:color="auto" w:sz="4"/>
          <w:insideV w:val="single" w:color="auto" w:sz="4"/>
        </w:tblBorders>
      </w:tblPr>
      <w:tblGrid>
        <w:gridCol w:w="100"/>
        <w:gridCol w:w="100"/>
        <w:gridCol w:w="100"/>
        <w:gridCol w:w="100"/>
      </w:tblGrid>
      <w:tr>
        <w:tc>
          <w:tcPr>
            <w:shd w:fill="1B2A4A"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FFFFFF"/>
                <w:sz w:val="18"/>
                <w:szCs w:val="18"/>
              </w:rPr>
              <w:t xml:space="preserve">Overlap Area</w:t>
            </w:r>
          </w:p>
        </w:tc>
        <w:tc>
          <w:tcPr>
            <w:shd w:fill="1B2A4A"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FFFFFF"/>
                <w:sz w:val="18"/>
                <w:szCs w:val="18"/>
              </w:rPr>
              <w:t xml:space="preserve">FISCAL-01 Treatment</w:t>
            </w:r>
          </w:p>
        </w:tc>
        <w:tc>
          <w:tcPr>
            <w:shd w:fill="1B2A4A"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FFFFFF"/>
                <w:sz w:val="18"/>
                <w:szCs w:val="18"/>
              </w:rPr>
              <w:t xml:space="preserve">ESCALATE-01 Treatment</w:t>
            </w:r>
          </w:p>
        </w:tc>
        <w:tc>
          <w:tcPr>
            <w:shd w:fill="1B2A4A"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FFFFFF"/>
                <w:sz w:val="18"/>
                <w:szCs w:val="18"/>
              </w:rPr>
              <w:t xml:space="preserve">Category and Resolution</w:t>
            </w:r>
          </w:p>
        </w:tc>
      </w:tr>
      <w:tr>
        <w:tc>
          <w:tcP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Institutional throughput constraints on enforcement</w:t>
            </w:r>
          </w:p>
        </w:tc>
        <w:tc>
          <w:tcP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Fiscal constraints on OFAC resourcing, DOJ forfeiture funding, and BIS enforcement appropriations as upstream causes of throughput limits</w:t>
            </w:r>
          </w:p>
        </w:tc>
        <w:tc>
          <w:tcP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000000"/>
                <w:sz w:val="18"/>
                <w:szCs w:val="18"/>
              </w:rPr>
              <w:t xml:space="preserve">OFAC designation capacity band, DOJ forfeiture timelines, and BIS enforcement lag as operational throughput constraints on enforcement architecture</w:t>
            </w:r>
          </w:p>
        </w:tc>
        <w:tc>
          <w:tcPr>
            <w:shd w:fill="E8EDF5"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B2A4A"/>
                <w:sz w:val="18"/>
                <w:szCs w:val="18"/>
              </w:rPr>
              <w:t xml:space="preserve">CATEGORY 1 (Healthy). FISCAL-01 owns the upstream fiscal cause. ESCALATE-01 owns the operational throughput effect. Analytical functions are distinct and sequential. ESCALATE-01 must cross-reference FISCAL-01 for the structural fiscal basis of its throughput constraints.</w:t>
            </w:r>
          </w:p>
        </w:tc>
      </w:tr>
    </w:tbl>
    <w:p>
      <w:pPr>
        <w:spacing w:before="120" w:after="120"/>
      </w:pPr>
      <w:r>
        <w:rPr>
          <w:rFonts w:ascii="Arial" w:cs="Arial" w:eastAsia="Arial" w:hAnsi="Arial"/>
          <w:b w:val="false"/>
          <w:bCs w:val="false"/>
          <w:i w:val="false"/>
          <w:iCs w:val="false"/>
          <w:caps w:val="false"/>
          <w:color w:val="000000"/>
          <w:sz w:val="20"/>
          <w:szCs w:val="20"/>
        </w:rPr>
        <w:t xml:space="preserve"/>
      </w:r>
    </w:p>
    <w:p>
      <w:pPr>
        <w:pBdr>
          <w:bottom w:val="single" w:color="1B2A4A"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200" w:after="100"/>
        <w:jc w:val="left"/>
      </w:pPr>
      <w:r>
        <w:rPr>
          <w:rFonts w:ascii="Arial" w:cs="Arial" w:eastAsia="Arial" w:hAnsi="Arial"/>
          <w:b/>
          <w:bCs/>
          <w:i w:val="false"/>
          <w:iCs w:val="false"/>
          <w:caps/>
          <w:color w:val="1B2A4A"/>
          <w:sz w:val="24"/>
          <w:szCs w:val="24"/>
        </w:rPr>
        <w:t xml:space="preserve">DOCUMENT COUNT UPDATE</w:t>
      </w:r>
    </w:p>
    <w:p>
      <w:pPr>
        <w:spacing w:before="60" w:after="60"/>
        <w:jc w:val="left"/>
      </w:pPr>
      <w:r>
        <w:rPr>
          <w:rFonts w:ascii="Arial" w:cs="Arial" w:eastAsia="Arial" w:hAnsi="Arial"/>
          <w:b w:val="false"/>
          <w:bCs w:val="false"/>
          <w:i w:val="false"/>
          <w:iCs w:val="false"/>
          <w:caps w:val="false"/>
          <w:color w:val="000000"/>
          <w:sz w:val="20"/>
          <w:szCs w:val="20"/>
        </w:rPr>
        <w:t xml:space="preserve">Revision 2.0 governed 59 documents across 10 analytical domains. Revision 3.0 adds three documents (TARIFF-01 v9.5 as superseding replacement + net addition of FISCAL-01 and SCORES-01). Adjusted series count: 61 documents (TARIFF-01 v9.5 replaces prior TARIFF-01; net new = +2). The prior TARIFF-01 is archived to 11-archive/ and is no longer a governed series document.</w:t>
      </w:r>
    </w:p>
    <w:p>
      <w:pPr>
        <w:spacing w:before="60" w:after="60"/>
      </w:pPr>
      <w:r>
        <w:rPr>
          <w:rFonts w:ascii="Arial" w:cs="Arial" w:eastAsia="Arial" w:hAnsi="Arial"/>
          <w:b w:val="false"/>
          <w:bCs w:val="false"/>
          <w:i w:val="false"/>
          <w:iCs w:val="false"/>
          <w:caps w:val="false"/>
          <w:color w:val="000000"/>
          <w:sz w:val="20"/>
          <w:szCs w:val="20"/>
        </w:rPr>
        <w:t xml:space="preserve"/>
      </w:r>
    </w:p>
    <w:p>
      <w:pPr>
        <w:spacing w:before="160" w:after="80"/>
        <w:jc w:val="left"/>
      </w:pPr>
      <w:r>
        <w:rPr>
          <w:rFonts w:ascii="Arial" w:cs="Arial" w:eastAsia="Arial" w:hAnsi="Arial"/>
          <w:b/>
          <w:bCs/>
          <w:i w:val="false"/>
          <w:iCs w:val="false"/>
          <w:caps w:val="false"/>
          <w:color w:val="1B2A4A"/>
          <w:sz w:val="22"/>
          <w:szCs w:val="22"/>
        </w:rPr>
        <w:t xml:space="preserve">Updated Reading Order — Fiscal Architecture Stack</w:t>
      </w:r>
    </w:p>
    <w:p>
      <w:pPr>
        <w:spacing w:before="60" w:after="60"/>
        <w:jc w:val="left"/>
      </w:pPr>
      <w:r>
        <w:rPr>
          <w:rFonts w:ascii="Arial" w:cs="Arial" w:eastAsia="Arial" w:hAnsi="Arial"/>
          <w:b w:val="false"/>
          <w:bCs w:val="false"/>
          <w:i w:val="false"/>
          <w:iCs w:val="false"/>
          <w:caps w:val="false"/>
          <w:color w:val="000000"/>
          <w:sz w:val="20"/>
          <w:szCs w:val="20"/>
        </w:rPr>
        <w:t xml:space="preserve">SCORES-01 (01-methodology) → TARIFF-01 v9.5 (03-strategic-architecture) → FISCAL-01 (03-strategic-architecture) → PERSIST-01 → RESILIENCE-01 → ESCALATE-01. SCORES-01 should be read before TARIFF-01 and FISCAL-01 as their evidentiary reference foundation. FISCAL-01 should be read before ESCALATE-01 and after PERSIST-01.</w:t>
      </w:r>
    </w:p>
    <w:p>
      <w:pPr>
        <w:spacing w:before="120" w:after="120"/>
      </w:pPr>
      <w:r>
        <w:rPr>
          <w:rFonts w:ascii="Arial" w:cs="Arial" w:eastAsia="Arial" w:hAnsi="Arial"/>
          <w:b w:val="false"/>
          <w:bCs w:val="false"/>
          <w:i w:val="false"/>
          <w:iCs w:val="false"/>
          <w:caps w:val="false"/>
          <w:color w:val="000000"/>
          <w:sz w:val="20"/>
          <w:szCs w:val="20"/>
        </w:rPr>
        <w:t xml:space="preserve"/>
      </w:r>
    </w:p>
    <w:p>
      <w:pPr>
        <w:pBdr>
          <w:bottom w:val="single" w:color="1B2A4A"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120" w:after="60"/>
        <w:jc w:val="center"/>
      </w:pPr>
      <w:r>
        <w:rPr>
          <w:rFonts w:ascii="Arial" w:cs="Arial" w:eastAsia="Arial" w:hAnsi="Arial"/>
          <w:b w:val="false"/>
          <w:bCs w:val="false"/>
          <w:i/>
          <w:iCs/>
          <w:caps w:val="false"/>
          <w:color w:val="4A5568"/>
          <w:sz w:val="16"/>
          <w:szCs w:val="16"/>
        </w:rPr>
        <w:t xml:space="preserve">END OF DOCUMENT — WP-2026-SAM-01 v3.0 — SERIES ARCHITECTURE MEMO REVISION 3.0 — MARCH 2026 — GEORGE (2026) — UNCLASSIFIED // OPEN SOURCE POLICY ANALYSIS — CC BY 4.0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2026-03-29T14:48:26.704Z</dcterms:created>
  <dcterms:modified xsi:type="dcterms:W3CDTF">2026-03-29T14:48:26.705Z</dcterms:modified>
</cp:coreProperties>
</file>

<file path=docProps/custom.xml><?xml version="1.0" encoding="utf-8"?>
<Properties xmlns="http://schemas.openxmlformats.org/officeDocument/2006/custom-properties" xmlns:vt="http://schemas.openxmlformats.org/officeDocument/2006/docPropsVTypes"/>
</file>