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rPr>
          <w:rFonts w:ascii="Arial" w:cs="Arial" w:eastAsia="Arial" w:hAnsi="Arial"/>
          <w:sz w:val="22"/>
          <w:szCs w:val="22"/>
        </w:rPr>
        <w:t xml:space="preserve"/>
      </w:r>
    </w:p>
    <w:p>
      <w:pPr>
        <w:spacing w:before="0" w:after="80"/>
        <w:jc w:val="center"/>
      </w:pPr>
      <w:r>
        <w:rPr>
          <w:rFonts w:ascii="Arial" w:cs="Arial" w:eastAsia="Arial" w:hAnsi="Arial"/>
          <w:b/>
          <w:bCs/>
          <w:caps/>
          <w:color w:val="4A5568"/>
          <w:sz w:val="20"/>
          <w:szCs w:val="20"/>
        </w:rPr>
        <w:t xml:space="preserve">CENTER FOR COMPETITIVE STATECRAFT AND STRATEGIC POLICY</w:t>
      </w:r>
    </w:p>
    <w:p>
      <w:pPr>
        <w:spacing w:before="0" w:after="200"/>
        <w:jc w:val="center"/>
      </w:pPr>
      <w:r>
        <w:rPr>
          <w:rFonts w:ascii="Arial" w:cs="Arial" w:eastAsia="Arial" w:hAnsi="Arial"/>
          <w:b/>
          <w:bCs/>
          <w:color w:val="1B2A4A"/>
          <w:sz w:val="20"/>
          <w:szCs w:val="20"/>
        </w:rPr>
        <w:t xml:space="preserve">WP-2026 SERIES  ·  PAPER FISCAL-01</w:t>
      </w:r>
    </w:p>
    <w:p>
      <w:pPr>
        <w:pBdr>
          <w:bottom w:val="single" w:color="1B2A4A" w:sz="12" w:space="8"/>
        </w:pBdr>
        <w:spacing w:before="0" w:after="80"/>
        <w:jc w:val="center"/>
      </w:pPr>
      <w:r>
        <w:rPr>
          <w:rFonts w:ascii="Arial" w:cs="Arial" w:eastAsia="Arial" w:hAnsi="Arial"/>
          <w:b/>
          <w:bCs/>
          <w:color w:val="1B2A4A"/>
          <w:sz w:val="44"/>
          <w:szCs w:val="44"/>
        </w:rPr>
        <w:t xml:space="preserve">US FISCAL SUSTAINABILITY</w:t>
      </w:r>
    </w:p>
    <w:p>
      <w:pPr>
        <w:spacing w:before="160" w:after="320"/>
        <w:jc w:val="center"/>
      </w:pPr>
      <w:r>
        <w:rPr>
          <w:rFonts w:ascii="Arial" w:cs="Arial" w:eastAsia="Arial" w:hAnsi="Arial"/>
          <w:i/>
          <w:iCs/>
          <w:color w:val="4A5568"/>
          <w:sz w:val="26"/>
          <w:szCs w:val="26"/>
        </w:rPr>
        <w:t xml:space="preserve">Baseline, Instruments, and Consolidation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Series</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WP-2026</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Identifier</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FISCAL-01</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Version</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Publication-Ready (post-93-claim fact-check)</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Date</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March 2026</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Classification</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UNCLASSIFIED // OPEN-SOURCE POLICY ANALYSIS</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Author</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Collin George</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Affiliation</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Center for Competitive Statecraft and Strategic Policy</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ORCID</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0009-0007-8162-6839</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Score Type</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Independent fiscal policy analysis based on public CBO, JCT, SSA, Treasury, IMF, GAO, and published academic literature. Illustrative planning ranges (◇) are not independently scored values.</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Repository</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github.com/collingeorge/WP-2026</w:t>
            </w:r>
          </w:p>
        </w:tc>
      </w:tr>
    </w:tbl>
    <w:p>
      <w:pPr>
        <w:spacing w:before="120" w:after="0"/>
      </w:pPr>
      <w:r>
        <w:rPr>
          <w:rFonts w:ascii="Arial" w:cs="Arial" w:eastAsia="Arial" w:hAnsi="Arial"/>
          <w:sz w:val="22"/>
          <w:szCs w:val="22"/>
        </w:rPr>
        <w:t xml:space="preserve"/>
      </w:r>
    </w:p>
    <w:p>
      <w:pPr>
        <w:pBdr>
          <w:bottom w:val="single" w:color="1B2A4A" w:sz="6" w:space="4"/>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NOTICE</w:t>
            </w:r>
          </w:p>
          <w:p>
            <w:pPr>
              <w:spacing w:before="0" w:after="60"/>
            </w:pPr>
            <w:r>
              <w:rPr>
                <w:rFonts w:ascii="Arial" w:cs="Arial" w:eastAsia="Arial" w:hAnsi="Arial"/>
                <w:color w:val="000000"/>
                <w:sz w:val="20"/>
                <w:szCs w:val="20"/>
              </w:rPr>
              <w:t xml:space="preserve">This document is an independent open-source policy analysis. It is not an official budget score, legislative cost estimate, committee print, or institutional assessment. Every fiscal estimate is classified as ★ Official score, ◆ Modeled estimate, or ◇ Illustrative planning range. Figures marked ◇ should not be presented to a committee, budget office, or scoring authority as scored estimates. The analysis reflects publicly available data as of March 2026 and is subject to revision.</w:t>
            </w:r>
          </w:p>
        </w:tc>
      </w:tr>
    </w:tbl>
    <w:p>
      <w:pPr>
        <w:spacing w:before="6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Methodological Note</w:t>
      </w:r>
    </w:p>
    <w:p>
      <w:pPr>
        <w:spacing w:before="60" w:after="60" w:line="276"/>
      </w:pPr>
      <w:r>
        <w:rPr>
          <w:rFonts w:ascii="Arial" w:cs="Arial" w:eastAsia="Arial" w:hAnsi="Arial"/>
          <w:b/>
          <w:bCs/>
          <w:sz w:val="22"/>
          <w:szCs w:val="22"/>
        </w:rPr>
        <w:t xml:space="preserve">Scoring taxonomy.</w:t>
      </w:r>
      <w:r>
        <w:rPr>
          <w:rFonts w:ascii="Arial" w:cs="Arial" w:eastAsia="Arial" w:hAnsi="Arial"/>
          <w:sz w:val="22"/>
          <w:szCs w:val="22"/>
        </w:rPr>
        <w:t xml:space="preserve"> ★ Official score = CBO, JCT, or SSA actuary has published a specific score for this or a closely analogous provision. ◆ Modeled estimate = derived from an identified institutional model but applied to a design variant not officially scored. ◇ Illustrative planning range = author synthesis of available estimates; not independently scored.</w:t>
      </w:r>
    </w:p>
    <w:p>
      <w:pPr>
        <w:spacing w:before="60" w:after="60" w:line="276"/>
      </w:pPr>
      <w:r>
        <w:rPr>
          <w:rFonts w:ascii="Arial" w:cs="Arial" w:eastAsia="Arial" w:hAnsi="Arial"/>
          <w:b/>
          <w:bCs/>
          <w:sz w:val="22"/>
          <w:szCs w:val="22"/>
        </w:rPr>
        <w:t xml:space="preserve">Rule for readers:</w:t>
      </w:r>
      <w:r>
        <w:rPr>
          <w:rFonts w:ascii="Arial" w:cs="Arial" w:eastAsia="Arial" w:hAnsi="Arial"/>
          <w:sz w:val="22"/>
          <w:szCs w:val="22"/>
        </w:rPr>
        <w:t xml:space="preserve"> If a figure is marked ◇, it should not be presented to a committee, budget office, or scoring authority as a scored estimate. Figures marked ★ can be cited with attribution. Figures marked ◆ require a note on the design variant.</w:t>
      </w:r>
    </w:p>
    <w:p>
      <w:pPr>
        <w:spacing w:before="60" w:after="60" w:line="276"/>
      </w:pPr>
      <w:r>
        <w:rPr>
          <w:rFonts w:ascii="Arial" w:cs="Arial" w:eastAsia="Arial" w:hAnsi="Arial"/>
          <w:b/>
          <w:bCs/>
          <w:sz w:val="22"/>
          <w:szCs w:val="22"/>
        </w:rPr>
        <w:t xml:space="preserve">Confidence convention.</w:t>
      </w:r>
      <w:r>
        <w:rPr>
          <w:rFonts w:ascii="Arial" w:cs="Arial" w:eastAsia="Arial" w:hAnsi="Arial"/>
          <w:sz w:val="22"/>
          <w:szCs w:val="22"/>
        </w:rPr>
        <w:t xml:space="preserve"> HIGH CONFIDENCE = directly supported by official, repeated, consistent reporting. MODERATE CONFIDENCE = supported with gaps, ambiguity, or meaningful inference. LOW CONFIDENCE = plausible inference from limited evidence.</w:t>
      </w:r>
    </w:p>
    <w:p>
      <w:pPr>
        <w:spacing w:before="60" w:after="60" w:line="276"/>
      </w:pPr>
      <w:r>
        <w:rPr>
          <w:rFonts w:ascii="Arial" w:cs="Arial" w:eastAsia="Arial" w:hAnsi="Arial"/>
          <w:b/>
          <w:bCs/>
          <w:sz w:val="22"/>
          <w:szCs w:val="22"/>
        </w:rPr>
        <w:t xml:space="preserve">Claim classification.</w:t>
      </w:r>
      <w:r>
        <w:rPr>
          <w:rFonts w:ascii="Arial" w:cs="Arial" w:eastAsia="Arial" w:hAnsi="Arial"/>
          <w:sz w:val="22"/>
          <w:szCs w:val="22"/>
        </w:rPr>
        <w:t xml:space="preserve"> Verified fact = primary-source anchored. Published literature result = institutional research, model-dependent. Sourced estimate = identified source, approximate. Assessment = analytic inference. Illustrative estimate = directional, not precision claim.</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HIGH CONFIDENCE</w:t>
            </w:r>
          </w:p>
          <w:p>
            <w:pPr>
              <w:spacing w:before="0" w:after="60"/>
            </w:pPr>
            <w:r>
              <w:rPr>
                <w:rFonts w:ascii="Arial" w:cs="Arial" w:eastAsia="Arial" w:hAnsi="Arial"/>
                <w:color w:val="000000"/>
                <w:sz w:val="20"/>
                <w:szCs w:val="20"/>
              </w:rPr>
              <w:t xml:space="preserve">Current-law debt dynamics worsen over time because expenditure growth outpaces revenue growth while interest compounds on a larger base. CBO projects debt held by the public rising from approximately 100% of GDP to 156% by 2055. [TIER 1 — CBO March 2025 Long-Term Budget Outlook]</w:t>
            </w:r>
          </w:p>
        </w:tc>
      </w:tr>
    </w:tbl>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HIGH CONFIDENCE</w:t>
            </w:r>
          </w:p>
          <w:p>
            <w:pPr>
              <w:spacing w:before="0" w:after="60"/>
            </w:pPr>
            <w:r>
              <w:rPr>
                <w:rFonts w:ascii="Arial" w:cs="Arial" w:eastAsia="Arial" w:hAnsi="Arial"/>
                <w:color w:val="000000"/>
                <w:sz w:val="20"/>
                <w:szCs w:val="20"/>
              </w:rPr>
              <w:t xml:space="preserve">Net interest consumed approximately $970 billion (18.5% of federal revenue) in FY2025 and is projected to exceed $1 trillion in FY2026. Interest is almost certainly becoming a structural expenditure category that progressively reduces fiscal capacity. [TIER 1 — Treasury MTS; CBO]</w:t>
            </w:r>
          </w:p>
        </w:tc>
      </w:tr>
    </w:tbl>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MODERATE CONFIDENCE</w:t>
            </w:r>
          </w:p>
          <w:p>
            <w:pPr>
              <w:spacing w:before="0" w:after="60"/>
            </w:pPr>
            <w:r>
              <w:rPr>
                <w:rFonts w:ascii="Arial" w:cs="Arial" w:eastAsia="Arial" w:hAnsi="Arial"/>
                <w:color w:val="000000"/>
                <w:sz w:val="20"/>
                <w:szCs w:val="20"/>
              </w:rPr>
              <w:t xml:space="preserve">A more defensible policy objective is stabilization of debt relative to GDP followed by gradual reduction, requiring fiscal adjustment of approximately 4.5–5.0% of GDP (~$1.4–1.5 trillion annually) — comparable in magnitude to historical consolidation episodes, though subject to a 10–20% interaction-effects discount. [TIER 1 — CBO baseline; TIER 2 — IMF WP 2023/063; historical case literature]</w:t>
            </w:r>
          </w:p>
        </w:tc>
      </w:tr>
    </w:tbl>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MODERATE CONFIDENCE · ANALYTICALLY INFERRED</w:t>
            </w:r>
          </w:p>
          <w:p>
            <w:pPr>
              <w:spacing w:before="0" w:after="60"/>
            </w:pPr>
            <w:r>
              <w:rPr>
                <w:rFonts w:ascii="Arial" w:cs="Arial" w:eastAsia="Arial" w:hAnsi="Arial"/>
                <w:color w:val="000000"/>
                <w:sz w:val="20"/>
                <w:szCs w:val="20"/>
              </w:rPr>
              <w:t xml:space="preserve">The deficit will likely not be closed without at least 3–4 structural instruments enacted simultaneously. Growth policy changes the feasibility of consolidation but does not substitute for fiscal adjustment. [TIER 1 — CBO sensitivity analysis; CBO immigration scoring]</w:t>
            </w:r>
          </w:p>
        </w:tc>
      </w:tr>
    </w:tbl>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HIGH CONFIDENCE</w:t>
            </w:r>
          </w:p>
          <w:p>
            <w:pPr>
              <w:spacing w:before="0" w:after="60"/>
            </w:pPr>
            <w:r>
              <w:rPr>
                <w:rFonts w:ascii="Arial" w:cs="Arial" w:eastAsia="Arial" w:hAnsi="Arial"/>
                <w:color w:val="000000"/>
                <w:sz w:val="20"/>
                <w:szCs w:val="20"/>
              </w:rPr>
              <w:t xml:space="preserve">The OASI and HI trust funds are projected to be depleted in 2033. Absent legislative action, scheduled Social Security benefits would be reduced to approximately 77% of scheduled levels and Medicare Part A benefits to approximately 89%. [TIER 1 — 2025 Trustees Reports]</w:t>
            </w:r>
          </w:p>
        </w:tc>
      </w:tr>
    </w:tbl>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MODERATE CONFIDENCE · ANALYTICALLY INFERRED</w:t>
            </w:r>
          </w:p>
          <w:p>
            <w:pPr>
              <w:spacing w:before="0" w:after="60"/>
            </w:pPr>
            <w:r>
              <w:rPr>
                <w:rFonts w:ascii="Arial" w:cs="Arial" w:eastAsia="Arial" w:hAnsi="Arial"/>
                <w:color w:val="000000"/>
                <w:sz w:val="20"/>
                <w:szCs w:val="20"/>
              </w:rPr>
              <w:t xml:space="preserve">Sequencing likely affects whether consolidation lowers debt ratios or merely suppresses GDP. IMF evidence supports a pace of 1–2% of GDP per year with growth-enhancing reforms preceding contractionary measures. [TIER 2 — IMF WP 2023/063; Alesina, Favero, and Giavazzi; historical cases]</w:t>
            </w:r>
          </w:p>
        </w:tc>
      </w:tr>
    </w:tbl>
    <w:p>
      <w:pPr>
        <w:spacing w:before="6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1 — Staff Summary: Fiscal Consolidation Decision Matrix</w:t>
      </w:r>
    </w:p>
    <w:p>
      <w:pPr>
        <w:spacing w:before="60" w:after="60" w:line="276"/>
      </w:pPr>
      <w:r>
        <w:rPr>
          <w:rFonts w:ascii="Arial" w:cs="Arial" w:eastAsia="Arial" w:hAnsi="Arial"/>
          <w:i/>
          <w:iCs/>
          <w:sz w:val="22"/>
          <w:szCs w:val="22"/>
        </w:rPr>
        <w:t xml:space="preserve">This table distills the full analysis into a single decision sheet. Each row represents a major policy instrument scored across five dimensions. Detailed analysis, sourcing, and caveats appear in the body and appendices.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Policy Instrument</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10-Year Deficit Effect</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30-Year Structural Effect</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Distributional Risk</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Implementation Risk</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Political Risk</w:t>
            </w:r>
          </w:p>
        </w:tc>
        <w:tc>
          <w:tcPr>
            <w:tcW w:type="dxa" w:w="13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Score Type</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VAT (5%, narrow base)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~$1.4–2.0T</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 broad base grows with economy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 pre-rebate for bottom quintiles; manageable post-credit</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 — requires new collection infrastructure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r>
              <w:rPr>
                <w:rFonts w:ascii="Arial" w:cs="Arial" w:eastAsia="Arial" w:hAnsi="Arial"/>
                <w:color w:val="000000"/>
                <w:sz w:val="20"/>
                <w:szCs w:val="20"/>
              </w:rPr>
              <w:t xml:space="preserve"> — no constituency; requires legislation</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Illustrative (CBO has officially scored a 5% broad-base VAT; narrow-base estimates used here are author-derived adjustments and are not independently scored)</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FICA donut hole ($400K+)</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~$670–830B</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 aging-linked, wage-indexed</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for bottom 80%; high for top 5%</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 uses existing payroll system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w:t>
            </w:r>
            <w:r>
              <w:rPr>
                <w:rFonts w:ascii="Arial" w:cs="Arial" w:eastAsia="Arial" w:hAnsi="Arial"/>
                <w:color w:val="000000"/>
                <w:sz w:val="20"/>
                <w:szCs w:val="20"/>
              </w:rPr>
              <w:t xml:space="preserve"> — high public support, legislative path unclear</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Illustrative planning range (ITEP + SSA)</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Carbon tax ($25/ton +5%/yr)</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~$960B–1.1T</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Moderate-High</w:t>
            </w:r>
            <w:r>
              <w:rPr>
                <w:rFonts w:ascii="Arial" w:cs="Arial" w:eastAsia="Arial" w:hAnsi="Arial"/>
                <w:color w:val="000000"/>
                <w:sz w:val="20"/>
                <w:szCs w:val="20"/>
              </w:rPr>
              <w:t xml:space="preserve"> — declines as economy decarbonizes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 pre-dividend for low-income; manageable post-dividend</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 upstream collection feasible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r>
              <w:rPr>
                <w:rFonts w:ascii="Arial" w:cs="Arial" w:eastAsia="Arial" w:hAnsi="Arial"/>
                <w:color w:val="000000"/>
                <w:sz w:val="20"/>
                <w:szCs w:val="20"/>
              </w:rPr>
              <w:t xml:space="preserve"> — no bipartisan coalition currently</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estimate (CBO base rate + escalator)</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IRS enforcement (sustained)</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~$180–200B</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w:t>
            </w:r>
            <w:r>
              <w:rPr>
                <w:rFonts w:ascii="Arial" w:cs="Arial" w:eastAsia="Arial" w:hAnsi="Arial"/>
                <w:color w:val="000000"/>
                <w:sz w:val="20"/>
                <w:szCs w:val="20"/>
              </w:rPr>
              <w:t xml:space="preserve"> — depends on institutional capacity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for most; high for top earners and non-filers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 — hiring, training, and IT modernization lag</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w:t>
            </w:r>
            <w:r>
              <w:rPr>
                <w:rFonts w:ascii="Arial" w:cs="Arial" w:eastAsia="Arial" w:hAnsi="Arial"/>
                <w:color w:val="000000"/>
                <w:sz w:val="20"/>
                <w:szCs w:val="20"/>
              </w:rPr>
              <w:t xml:space="preserve"> — bipartisan support in principle; vulnerable to appropriations</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estimate (CBO)</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Corporate rate to 25%</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~$400–550B</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w:t>
            </w:r>
            <w:r>
              <w:rPr>
                <w:rFonts w:ascii="Arial" w:cs="Arial" w:eastAsia="Arial" w:hAnsi="Arial"/>
                <w:color w:val="000000"/>
                <w:sz w:val="20"/>
                <w:szCs w:val="20"/>
              </w:rPr>
              <w:t xml:space="preserve"> — stable but subject to international competition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direct for households; moderate for investment returns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 immediate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w:t>
            </w:r>
            <w:r>
              <w:rPr>
                <w:rFonts w:ascii="Arial" w:cs="Arial" w:eastAsia="Arial" w:hAnsi="Arial"/>
                <w:color w:val="000000"/>
                <w:sz w:val="20"/>
                <w:szCs w:val="20"/>
              </w:rPr>
              <w:t xml:space="preserve"> — business opposition vs. deficit concern</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estimate (JCT)</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SS formula reform (chained CPI + progressive)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~$200–350B</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 compounding effect over decades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for retirees (cumulative); low for workers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 administrative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 retiree constituency; requires careful phase-in</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estimate (CBO chained CPI ★ + SSA progressive formula)</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SS retirement age (67→70)</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~$50–100B (mostly post-window)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 structural alignment with longevity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Very high for physically demanding occupations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 administrative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r>
              <w:rPr>
                <w:rFonts w:ascii="Arial" w:cs="Arial" w:eastAsia="Arial" w:hAnsi="Arial"/>
                <w:color w:val="000000"/>
                <w:sz w:val="20"/>
                <w:szCs w:val="20"/>
              </w:rPr>
              <w:t xml:space="preserve"> — broad opposition; requires long phase-in</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Official score range (CBO)</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Healthcare payment reform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~$200–400B</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r>
              <w:rPr>
                <w:rFonts w:ascii="Arial" w:cs="Arial" w:eastAsia="Arial" w:hAnsi="Arial"/>
                <w:color w:val="000000"/>
                <w:sz w:val="20"/>
                <w:szCs w:val="20"/>
              </w:rPr>
              <w:t xml:space="preserve"> — bends cost-growth curve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for providers; low-moderate for patients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r>
              <w:rPr>
                <w:rFonts w:ascii="Arial" w:cs="Arial" w:eastAsia="Arial" w:hAnsi="Arial"/>
                <w:color w:val="000000"/>
                <w:sz w:val="20"/>
                <w:szCs w:val="20"/>
              </w:rPr>
              <w:t xml:space="preserve"> — systemic redesign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r>
              <w:rPr>
                <w:rFonts w:ascii="Arial" w:cs="Arial" w:eastAsia="Arial" w:hAnsi="Arial"/>
                <w:color w:val="000000"/>
                <w:sz w:val="20"/>
                <w:szCs w:val="20"/>
              </w:rPr>
              <w:t xml:space="preserve"> — provider and insurer opposition</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Illustrative planning range (CBO scenarios)</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Drug pricing expansion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~$250–400B</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w:t>
            </w:r>
            <w:r>
              <w:rPr>
                <w:rFonts w:ascii="Arial" w:cs="Arial" w:eastAsia="Arial" w:hAnsi="Arial"/>
                <w:color w:val="000000"/>
                <w:sz w:val="20"/>
                <w:szCs w:val="20"/>
              </w:rPr>
              <w:t xml:space="preserve"> — depends on statutory scope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 negotiation infrastructure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w:t>
            </w:r>
            <w:r>
              <w:rPr>
                <w:rFonts w:ascii="Arial" w:cs="Arial" w:eastAsia="Arial" w:hAnsi="Arial"/>
                <w:color w:val="000000"/>
                <w:sz w:val="20"/>
                <w:szCs w:val="20"/>
              </w:rPr>
              <w:t xml:space="preserve"> — bipartisan support exists</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estimate (CBO IRA baseline + scope extension)</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Tax expenditure caps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~$500–800B</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if statutory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 for itemizers; concentrated in upper quintiles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 enforcement complexity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r>
              <w:rPr>
                <w:rFonts w:ascii="Arial" w:cs="Arial" w:eastAsia="Arial" w:hAnsi="Arial"/>
                <w:color w:val="000000"/>
                <w:sz w:val="20"/>
                <w:szCs w:val="20"/>
              </w:rPr>
              <w:t xml:space="preserve"> — organized constituencies for each provision</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Illustrative planning range (CBO scored components + author scope)</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Defense procurement reform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~$100–200B</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Low-Moderate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for households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r>
              <w:rPr>
                <w:rFonts w:ascii="Arial" w:cs="Arial" w:eastAsia="Arial" w:hAnsi="Arial"/>
                <w:color w:val="000000"/>
                <w:sz w:val="20"/>
                <w:szCs w:val="20"/>
              </w:rPr>
              <w:t xml:space="preserve"> — institutional resistance, contract cycles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w:t>
            </w:r>
            <w:r>
              <w:rPr>
                <w:rFonts w:ascii="Arial" w:cs="Arial" w:eastAsia="Arial" w:hAnsi="Arial"/>
                <w:color w:val="000000"/>
                <w:sz w:val="20"/>
                <w:szCs w:val="20"/>
              </w:rPr>
              <w:t xml:space="preserve"> — bipartisan interest</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Illustrative planning range (GAO + author synthesis)</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Growth package (immigration, R&amp;D, permitting)</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Reduces deficit ~$500–900B (CBO scored for immigration component)</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r>
              <w:rPr>
                <w:rFonts w:ascii="Arial" w:cs="Arial" w:eastAsia="Arial" w:hAnsi="Arial"/>
                <w:color w:val="000000"/>
                <w:sz w:val="20"/>
                <w:szCs w:val="20"/>
              </w:rPr>
              <w:t xml:space="preserve"> — denominator + receipts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direct; political sensitivity on immigration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Moderate-High — legislative complexity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 immigration is politically polarized</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Official (CBO, immigration) + ◇ Illustrative (R&amp;D, permitting)</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Tariff revenue (current policy)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~$60–130B/yr post-SCOTUS (new revenue)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Low-Declining</w:t>
            </w:r>
            <w:r>
              <w:rPr>
                <w:rFonts w:ascii="Arial" w:cs="Arial" w:eastAsia="Arial" w:hAnsi="Arial"/>
                <w:color w:val="000000"/>
                <w:sz w:val="20"/>
                <w:szCs w:val="20"/>
              </w:rPr>
              <w:t xml:space="preserve"> — shrinking base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Regressive — functions as consumption tax</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 already operational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Low</w:t>
            </w:r>
            <w:r>
              <w:rPr>
                <w:rFonts w:ascii="Arial" w:cs="Arial" w:eastAsia="Arial" w:hAnsi="Arial"/>
                <w:color w:val="000000"/>
                <w:sz w:val="20"/>
                <w:szCs w:val="20"/>
              </w:rPr>
              <w:t xml:space="preserve"> — politically easy to maintain</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estimate (Yale/TPC/TF)</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b/>
          <w:bCs/>
          <w:sz w:val="22"/>
          <w:szCs w:val="22"/>
        </w:rPr>
        <w:t xml:space="preserve">How to read this table:</w:t>
      </w:r>
      <w:r>
        <w:rPr>
          <w:rFonts w:ascii="Arial" w:cs="Arial" w:eastAsia="Arial" w:hAnsi="Arial"/>
          <w:sz w:val="22"/>
          <w:szCs w:val="22"/>
        </w:rPr>
        <w:t xml:space="preserve"> Policies with "High" 30-year structural effect and "Low-Moderate" implementation risk should be prioritized. Policies with "Low" 30-year effect (tariffs, workforce cuts) are bridge measures, not solutions. The deficit will not be closed without at least 3–4 structural instruments enacted simultaneously.</w:t>
      </w:r>
    </w:p>
    <w:p>
      <w:pPr>
        <w:spacing w:before="60" w:after="60" w:line="276"/>
      </w:pPr>
      <w:r>
        <w:rPr>
          <w:rFonts w:ascii="Arial" w:cs="Arial" w:eastAsia="Arial" w:hAnsi="Arial"/>
          <w:b/>
          <w:bCs/>
          <w:sz w:val="22"/>
          <w:szCs w:val="22"/>
        </w:rPr>
        <w:t xml:space="preserve">Aggregate package estimate (Scenario 2):</w:t>
      </w:r>
      <w:r>
        <w:rPr>
          <w:rFonts w:ascii="Arial" w:cs="Arial" w:eastAsia="Arial" w:hAnsi="Arial"/>
          <w:sz w:val="22"/>
          <w:szCs w:val="22"/>
        </w:rPr>
        <w:t xml:space="preserve"> Revenue increases of ~2.5% of GDP (~$750B/yr) + spending reductions of ~2.0% of GDP (~$600B/yr) + growth dividend = total adjustment of ~4.5–5.0% of GDP. This is very ambitious but comparable in magnitude to historical consolidation episodes (Canada 1990s achieved ~5.4–6.0%), though structural differences — exchange rate regime, debt composition, entitlement burden — limit direct comparability. All individual line items are design-contingent estimates.</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2 — The Fiscal Baseline</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Current-law debt dynamics worsen over time because expenditure growth outpaces revenue growth while interest compounds on a larger base. Demographics and net interest are the principal drivers; discretionary spending is not the source of the structural gap.</w:t>
      </w:r>
    </w:p>
    <w:p>
      <w:pPr>
        <w:spacing w:before="60" w:after="60" w:line="276"/>
      </w:pPr>
      <w:r>
        <w:rPr>
          <w:rFonts w:ascii="Arial" w:cs="Arial" w:eastAsia="Arial" w:hAnsi="Arial"/>
          <w:sz w:val="22"/>
          <w:szCs w:val="22"/>
        </w:rPr>
        <w:t xml:space="preserve">Treasury reports FY2025 outlays of approximately $7.01 trillion [TIER 1 — Treasury MTS], receipts of approximately $5.23 trillion, and a deficit of approximately $1.78 trillion — per outside analysis (AAF), the largest in a non-recession, non-pandemic year.</w:t>
      </w:r>
    </w:p>
    <w:p>
      <w:pPr>
        <w:spacing w:before="60" w:after="60" w:line="276"/>
      </w:pPr>
      <w:r>
        <w:rPr>
          <w:rFonts w:ascii="Arial" w:cs="Arial" w:eastAsia="Arial" w:hAnsi="Arial"/>
          <w:sz w:val="22"/>
          <w:szCs w:val="22"/>
        </w:rPr>
        <w:t xml:space="preserve">Net interest outlays totaled approximately $970 billion in FY2025, consuming approximately 18.5% of federal revenue [TIER 1 — Treasury MTS]. CBO projects net interest to exceed $1 trillion in FY2026 [TIER 1 — CBO] and to continue rising as a share of both spending and revenue.</w:t>
      </w:r>
    </w:p>
    <w:p>
      <w:pPr>
        <w:spacing w:before="60" w:after="60" w:line="276"/>
      </w:pPr>
      <w:r>
        <w:rPr>
          <w:rFonts w:ascii="Arial" w:cs="Arial" w:eastAsia="Arial" w:hAnsi="Arial"/>
          <w:sz w:val="22"/>
          <w:szCs w:val="22"/>
        </w:rPr>
        <w:t xml:space="preserve">The 2025 Trustees project the OASI trust fund will be depleted in 2033 [TIER 1 — 2025 OASDI Trustees Report], after which continuing income would cover 77% of scheduled benefits. The HI (Medicare Part A) trust fund is also projected to be depleted in 2033, after which income would cover 89% of scheduled benefits. Absent legislative action, scheduled benefits would no longer be fully financeable. Social Security costs approximately $1.6 trillion annually; Medicare approximately $997 billion. Approximately 4.1 million Americans turn 65 each year during the current "Peak 65" wave.</w:t>
      </w:r>
    </w:p>
    <w:p>
      <w:pPr>
        <w:spacing w:before="60" w:after="60" w:line="276"/>
      </w:pPr>
      <w:r>
        <w:rPr>
          <w:rFonts w:ascii="Arial" w:cs="Arial" w:eastAsia="Arial" w:hAnsi="Arial"/>
          <w:sz w:val="22"/>
          <w:szCs w:val="22"/>
        </w:rPr>
        <w:t xml:space="preserve">CBO's 2025 long-term outlook projects debt held by the public rising from approximately 100% of GDP to 156% by 2055 [TIER 1 — CBO March 2025 Long-Term Budget Outlook] under current law. Under alternative policies that extend expiring tax provisions or increase spending without offsets, debt could rise materially faster, though such figures are scenario-dependent rather than baseline projections.</w:t>
      </w:r>
    </w:p>
    <w:p>
      <w:pPr>
        <w:spacing w:before="60" w:after="60" w:line="276"/>
      </w:pPr>
      <w:r>
        <w:rPr>
          <w:rFonts w:ascii="Arial" w:cs="Arial" w:eastAsia="Arial" w:hAnsi="Arial"/>
          <w:b/>
          <w:bCs/>
          <w:sz w:val="22"/>
          <w:szCs w:val="22"/>
        </w:rPr>
        <w:t xml:space="preserve">Main uncertainty:</w:t>
      </w:r>
      <w:r>
        <w:rPr>
          <w:rFonts w:ascii="Arial" w:cs="Arial" w:eastAsia="Arial" w:hAnsi="Arial"/>
          <w:sz w:val="22"/>
          <w:szCs w:val="22"/>
        </w:rPr>
        <w:t xml:space="preserve"> long-term debt dynamics become materially less favorable once effective interest rates persist above economic growth rates. That risk becomes more pronounced in CBO's later-year projections, but the exact timing is model-dependent.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FY2025</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FY2035 Projected</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FY2055 Projected</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Debt held by public (% GDP)</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~100%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~118%</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~156%</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Annual deficit (% GDP)</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~6.2%</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~6.1%</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~7.3%</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Net interest (% GDP)</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~3.2%</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~4.1%</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~5.4%</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Revenue (% GDP)</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~17.1%</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~18.3%</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~19.3%</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Spending (% GDP)</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~23.3%</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~24.4%</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~26.6%</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i/>
          <w:iCs/>
          <w:sz w:val="22"/>
          <w:szCs w:val="22"/>
        </w:rPr>
        <w:t xml:space="preserve">Source: CBO January 2025 Budget and Economic Outlook (FY2025 projections); March 2025 Long-Term Budget Outlook (long-run). FY2025 actual data from Treasury MTS where available.</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3 — Revenue Options</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Revenue-side options vary less by gross yield than by implementation lag, political durability, and long-run structural effect. The federal government collected approximately $5.2 trillion in FY2025, or approximately 17.1% of GDP — near the 50-year historical average of roughly 17.3%. The structural deficit is driven primarily by the expenditure side, but revenue broadening is necessary because spending reform alone cannot close the gap at current tax levels.</w:t>
      </w:r>
    </w:p>
    <w:p>
      <w:pPr>
        <w:spacing w:before="60" w:after="60" w:line="276"/>
      </w:pPr>
      <w:r>
        <w:rPr>
          <w:rFonts w:ascii="Arial" w:cs="Arial" w:eastAsia="Arial" w:hAnsi="Arial"/>
          <w:sz w:val="22"/>
          <w:szCs w:val="22"/>
        </w:rPr>
        <w:t xml:space="preserve">A broad-based VAT remains one of the largest untapped federal revenue instruments. CBO has scored a broad-based 5% VAT as generating very substantial annual revenue; Yale Budget Lab estimates a 10% broad-based VAT could generate approximately $700 billion annually after interactions. Exact yield is highly design-contingent. Every OECD country except the US has a VAT, with an average rate of approximately 19%.</w:t>
      </w:r>
    </w:p>
    <w:p>
      <w:pPr>
        <w:spacing w:before="60" w:after="60" w:line="276"/>
      </w:pPr>
      <w:r>
        <w:rPr>
          <w:rFonts w:ascii="Arial" w:cs="Arial" w:eastAsia="Arial" w:hAnsi="Arial"/>
          <w:sz w:val="22"/>
          <w:szCs w:val="22"/>
        </w:rPr>
        <w:t xml:space="preserve">Lifting or restructuring the Social Security taxable earnings cap is among the highest-yield revenue options tied directly to trust-fund solvency. Full elimination of the cap could generate roughly $320–475 billion annually, though revenue depends on whether a benefit credit is included. A donut-hole approach — taxing earnings above $400,000 while maintaining the current cap — has been estimated to yield roughly $67–83 billion annually (ITEP, July 2023), not the $130–160 billion cited in earlier drafts. The lower figure reflects behavioral responses and the narrower base of the donut-hole design relative to full cap elimination.</w:t>
      </w:r>
    </w:p>
    <w:p>
      <w:pPr>
        <w:spacing w:before="60" w:after="60" w:line="276"/>
      </w:pPr>
      <w:r>
        <w:rPr>
          <w:rFonts w:ascii="Arial" w:cs="Arial" w:eastAsia="Arial" w:hAnsi="Arial"/>
          <w:sz w:val="22"/>
          <w:szCs w:val="22"/>
        </w:rPr>
        <w:t xml:space="preserve">Raising the corporate rate from 21% to 28% has been estimated to generate approximately $88–100 billion annually (JCT conventional scoring) but could reduce long-run GDP by approximately 0.8% (Tax Foundation). A carbon tax at $25/ton with 5% annual escalation has been estimated to generate approximately $96–110 billion annually after income tax offsets (CBO).</w:t>
      </w:r>
    </w:p>
    <w:p>
      <w:pPr>
        <w:spacing w:before="60" w:after="60" w:line="276"/>
      </w:pPr>
      <w:r>
        <w:rPr>
          <w:rFonts w:ascii="Arial" w:cs="Arial" w:eastAsia="Arial" w:hAnsi="Arial"/>
          <w:sz w:val="22"/>
          <w:szCs w:val="22"/>
        </w:rPr>
        <w:t xml:space="preserve">The IRS estimates a gross tax gap of $696 billion for tax year 2022 [TIER 1 — IRS Publication 5869, October 2024]. Enhanced enforcement funding is among the highest-return fiscal-administration investments available, conditional on sustained appropriations and enforcement capacity realization. CBO scored the IRA's ~$80 billion in IRS enforcement funding at approximately $180–204 billion [TIER 1 — CBO IRA scoring, January 2023] in incremental revenue over ten years, or roughly $18–20 billion per year on average. Earlier drafts of this document cited $56–85 billion annually, which conflated total existing IRS enforcement collections (~$78 billion in FY2024) with marginal revenue from additional funding; this has been corrected. The practical return from enforcement funding is further constrained by subsequent Congressional rescissions totaling approximately $42 billion of the original IRA allocation.</w:t>
      </w:r>
    </w:p>
    <w:p>
      <w:pPr>
        <w:spacing w:before="60" w:after="60" w:line="276"/>
      </w:pPr>
      <w:r>
        <w:rPr>
          <w:rFonts w:ascii="Arial" w:cs="Arial" w:eastAsia="Arial" w:hAnsi="Arial"/>
          <w:sz w:val="22"/>
          <w:szCs w:val="22"/>
        </w:rPr>
        <w:t xml:space="preserve">Other significant revenue options include eliminating the step-up basis at death (CBO scores a carryover-basis policy at ~$11–18 billion annually; the upper-bound $57 billion figure reflects JCT's tax expenditure estimate, not a realistic policy score), a 0.1% financial transaction tax (~$75–78 billion/year per CBO), and estate tax reform ($50–100 billion/year). Carried interest reform generates only approximately $1.3 billion annually.</w:t>
      </w:r>
    </w:p>
    <w:p>
      <w:pPr>
        <w:spacing w:before="60" w:after="60" w:line="276"/>
      </w:pPr>
      <w:r>
        <w:rPr>
          <w:rFonts w:ascii="Arial" w:cs="Arial" w:eastAsia="Arial" w:hAnsi="Arial"/>
          <w:sz w:val="22"/>
          <w:szCs w:val="22"/>
        </w:rPr>
        <w:t xml:space="preserve">Wealth taxes remain highly uncertain. The Warren proposal has produced divergent estimates — roughly $620 billion/year (Saez-Zucman) versus roughly $117 billion/year (Smith-Zidar-Zwick) — though the gap partly reflects different time periods and wealth-concentration assumptions. European experience is cautionary: twelve OECD countries had wealth taxes in 1990; four remain (Norway, Spain, Switzerland, Colombia). Constitutional challenges add further uncertainty in the US context.</w:t>
      </w:r>
    </w:p>
    <w:p>
      <w:pPr>
        <w:spacing w:before="60" w:after="60" w:line="276"/>
      </w:pPr>
      <w:r>
        <w:rPr>
          <w:rFonts w:ascii="Arial" w:cs="Arial" w:eastAsia="Arial" w:hAnsi="Arial"/>
          <w:sz w:val="22"/>
          <w:szCs w:val="22"/>
        </w:rPr>
        <w:t xml:space="preserve">Tax expenditure reform represents the largest category of implicit spending. JCT estimated total tax expenditures at approximately $1.8 trillion for FY2024 (JCX-48-24); following the OBBBA's enactment in July 2025, the FY2025+ estimate rose to approximately $2.2 trillion (JCX-45-25). Capping itemized deductions at 15% could generate approximately $200 billion annually (CBO December 2024); limiting the employer health exclusion could generate approximately $120 billion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Revenue Option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Estimated Annual Revenue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Design Sensitivity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Score Type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10% VAT (broad base)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~$700B</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Illustrative (Yale)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FICA cap removal (full)</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~$320–475B</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Illustrative (SSA)</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FICA donut hole ($400K+)</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~$67–83B</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Illustrative (ITEP)</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Corporate rate to 28%</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~$88–100B</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(JCT)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Carbon tax ($25/ton +5%)</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~$96–110B</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(CBO)</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IRS enforcement (sustained)</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~$18–20B</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(CBO)</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Financial transaction tax</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~$75–78B</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(CBO)</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Step-up basis elimination</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~$11–18B</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Official (CBO)</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i/>
          <w:iCs/>
          <w:sz w:val="22"/>
          <w:szCs w:val="22"/>
        </w:rPr>
        <w:t xml:space="preserve">All revenue estimates are design-contingent.</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4 — Spending Reform: The Rigidity Constraint</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The budget is structurally dominated by mandatory programs and interest, which together account for approximately 73–74% of total outlays. This sharply limits how much deficit reduction discretionary cuts alone can achieve. The serious fiscal choices involve entitlements, taxes, and growth — not discretionary trimming.</w:t>
      </w:r>
    </w:p>
    <w:p>
      <w:pPr>
        <w:spacing w:before="60" w:after="60" w:line="276"/>
      </w:pPr>
      <w:r>
        <w:rPr>
          <w:rFonts w:ascii="Arial" w:cs="Arial" w:eastAsia="Arial" w:hAnsi="Arial"/>
          <w:sz w:val="22"/>
          <w:szCs w:val="22"/>
        </w:rPr>
        <w:t xml:space="preserve">Defense spending optimization offers real but limited savings. The Pentagon has failed its comprehensive audit seven consecutive years (through the FY2024 audit announced November 2024). Procurement reform, BRAC, IT modernization, and audit-driven waste elimination could generate savings estimated at $17–30 billion annually — meaningful, but a small fraction of the annual deficit. The aggregate range assumes partial non-overlap across these components; full simultaneity would likely yield lower realized savings than the arithmetic sum. The exact combined range is an author aggregation of component estimates, not a single scored figure.</w:t>
      </w:r>
    </w:p>
    <w:p>
      <w:pPr>
        <w:spacing w:before="60" w:after="60" w:line="276"/>
      </w:pPr>
      <w:r>
        <w:rPr>
          <w:rFonts w:ascii="Arial" w:cs="Arial" w:eastAsia="Arial" w:hAnsi="Arial"/>
          <w:sz w:val="22"/>
          <w:szCs w:val="22"/>
        </w:rPr>
        <w:t xml:space="preserve">Healthcare cost reduction presents among the largest identified savings categories and the greatest political difficulty. Current CMS data show US national health expenditures of approximately $5.3 trillion (2024), or roughly 18% of GDP, versus 10–12% in peer nations. A 2020 </w:t>
      </w:r>
      <w:r>
        <w:rPr>
          <w:rFonts w:ascii="Arial" w:cs="Arial" w:eastAsia="Arial" w:hAnsi="Arial"/>
          <w:i/>
          <w:iCs/>
          <w:sz w:val="22"/>
          <w:szCs w:val="22"/>
        </w:rPr>
        <w:t xml:space="preserve">Annals of Internal Medicine</w:t>
      </w:r>
      <w:r>
        <w:rPr>
          <w:rFonts w:ascii="Arial" w:cs="Arial" w:eastAsia="Arial" w:hAnsi="Arial"/>
          <w:sz w:val="22"/>
          <w:szCs w:val="22"/>
        </w:rPr>
        <w:t xml:space="preserve"> study (Himmelstein, Campbell, and Woolhandler, analyzing 2017 data) found that administrative costs consumed 34.2% of spending within the categories examined — hospitals, physicians, nursing homes, and insurance overhead — totaling approximately $812 billion. That 34.2% figure applies to the study's restricted denominator (~$2.37 trillion), not to total NHE; against 2017 total NHE of $3.5 trillion, administrative costs represented approximately 23%. These figures represent accounting shares, not directly recoverable savings under current institutional structures. CBO analysis of single-payer variants suggests national health expenditures could decline significantly through administrative simplification, but single-payer would increase federal spending by roughly $1.5–3 trillion as costs shift from private to public balance sheets.</w:t>
      </w:r>
    </w:p>
    <w:p>
      <w:pPr>
        <w:spacing w:before="60" w:after="60" w:line="276"/>
      </w:pPr>
      <w:r>
        <w:rPr>
          <w:rFonts w:ascii="Arial" w:cs="Arial" w:eastAsia="Arial" w:hAnsi="Arial"/>
          <w:sz w:val="22"/>
          <w:szCs w:val="22"/>
        </w:rPr>
        <w:t xml:space="preserve">Social Security reform offers several well-scored options. Switching to chained CPI could save approximately $260 billion over a decade (CBO/CRFB). Raising the full retirement age from 67 to 70 (phased over decades) has been estimated to close roughly 35% of the 75-year solvency gap. Only the combination of revenue increases and benefit adjustments together is likely to achieve full solvency.</w:t>
      </w:r>
    </w:p>
    <w:p>
      <w:pPr>
        <w:spacing w:before="60" w:after="60" w:line="276"/>
      </w:pPr>
      <w:r>
        <w:rPr>
          <w:rFonts w:ascii="Arial" w:cs="Arial" w:eastAsia="Arial" w:hAnsi="Arial"/>
          <w:sz w:val="22"/>
          <w:szCs w:val="22"/>
        </w:rPr>
        <w:t xml:space="preserve">Federal civilian compensation represents approximately 4.4% of total spending (CBO). Independent analyses of the 2025 DOGE workforce reductions found that despite cutting approximately 271,000 employees (BLS), the initiative did not measurably reduce federal outlays and may have increased costs through disruption. CRFB estimates that attrition-based workforce reduction yields approximately $15 billion annually — helpful but not transformative relative to a $1.8 trillion deficit.</w:t>
      </w:r>
    </w:p>
    <w:p>
      <w:pPr>
        <w:spacing w:before="60" w:after="60" w:line="276"/>
      </w:pPr>
      <w:r>
        <w:rPr>
          <w:rFonts w:ascii="Arial" w:cs="Arial" w:eastAsia="Arial" w:hAnsi="Arial"/>
          <w:sz w:val="22"/>
          <w:szCs w:val="22"/>
        </w:rPr>
        <w:t xml:space="preserve">Tax expenditure reform represents the largest category of implicit spending. JCT estimates total tax expenditures at approximately $2.2 trillion for FY2025+ (post-OBBBA). Capping itemized deductions at 15% could generate approximately $200 billion annually; limiting the employer health exclusion could generate approximately $120 billion annually.</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5 — Growth Policy</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Growth materially improves the denominator and revenue base, but does not substitute for fiscal adjustment. None of these levers alone closes a $1.8 trillion annual deficit. The significance of growth policy is that it changes the feasibility of consolidation — a higher-growth economy makes the required fiscal adjustment smaller, faster, and less contractionary.</w:t>
      </w:r>
    </w:p>
    <w:p>
      <w:pPr>
        <w:spacing w:before="60" w:after="60" w:line="276"/>
      </w:pPr>
      <w:r>
        <w:rPr>
          <w:rFonts w:ascii="Arial" w:cs="Arial" w:eastAsia="Arial" w:hAnsi="Arial"/>
          <w:sz w:val="22"/>
          <w:szCs w:val="22"/>
        </w:rPr>
        <w:t xml:space="preserve">CBO's sensitivity analysis indicates that 0.5 percentage points of additional annual productivity growth would reduce the projected 2055 debt-to-GDP ratio from 156% to approximately 113% — a 43-point improvement without tax increases or spending cuts.</w:t>
      </w:r>
    </w:p>
    <w:p>
      <w:pPr>
        <w:spacing w:before="60" w:after="60" w:line="276"/>
      </w:pPr>
      <w:r>
        <w:rPr>
          <w:rFonts w:ascii="Arial" w:cs="Arial" w:eastAsia="Arial" w:hAnsi="Arial"/>
          <w:b/>
          <w:bCs/>
          <w:sz w:val="22"/>
          <w:szCs w:val="22"/>
        </w:rPr>
        <w:t xml:space="preserve">Immigration</w:t>
      </w:r>
      <w:r>
        <w:rPr>
          <w:rFonts w:ascii="Arial" w:cs="Arial" w:eastAsia="Arial" w:hAnsi="Arial"/>
          <w:sz w:val="22"/>
          <w:szCs w:val="22"/>
        </w:rPr>
        <w:t xml:space="preserve"> is a major growth lever with direct CBO scoring. CBO found that the 2021–2026 immigration surge would raise cumulative nominal GDP by $8.9 trillion [TIER 1 — CBO Publication 60165, July 2024] over 2024–2034 and reduce the federal deficit by approximately $900 billion ($897 billion precisely) over a decade. The deficit effect operates primarily through labor force expansion and increased taxable income rather than per-capita productivity gains. The 2013 Senate bill (S.744) was scored as increasing real GDP by 5.4% by 2033 and reducing deficits by approximately $900 billion–$1 trillion over 20 years. CBO projects that annual deaths will exceed births beginning in the early 2030s (the exact crossover year has shifted across CBO publications — 2033 in January 2025, 2031 in the September 2025 update, 2030 in the January 2026 outlook — reflecting declining fertility projections). After that crossover, net immigration accounts for all population growth. Dallas Fed analysis estimates that restricting immigration reduces annual GDP growth by roughly 0.8 percentage points relative to baseline.</w:t>
      </w:r>
    </w:p>
    <w:p>
      <w:pPr>
        <w:spacing w:before="60" w:after="60" w:line="276"/>
      </w:pPr>
      <w:r>
        <w:rPr>
          <w:rFonts w:ascii="Arial" w:cs="Arial" w:eastAsia="Arial" w:hAnsi="Arial"/>
          <w:sz w:val="22"/>
          <w:szCs w:val="22"/>
        </w:rPr>
        <w:t xml:space="preserve">Infrastructure investment produces GDP multipliers the literature estimates at 1.2–2.9x depending on type and economic conditions (Moody's Analytics at the lower bound; IMF's four-year cumulative estimate at the upper bound). The IIJA has been estimated to raise cumulative GDP by 3.5% over 2022–2031 (Moody's Analytics, not CBO). R&amp;D investment generates social returns the literature estimates at 30–100%+ through innovation spillovers. Regulatory compliance costs have been estimated at $2.1–3.1 trillion annually (CEI; NAM), though such estimates carry substantial methodological uncertainty.</w:t>
      </w:r>
    </w:p>
    <w:p>
      <w:pPr>
        <w:spacing w:before="60" w:after="60" w:line="276"/>
      </w:pPr>
      <w:r>
        <w:rPr>
          <w:rFonts w:ascii="Arial" w:cs="Arial" w:eastAsia="Arial" w:hAnsi="Arial"/>
          <w:b/>
          <w:bCs/>
          <w:sz w:val="22"/>
          <w:szCs w:val="22"/>
        </w:rPr>
        <w:t xml:space="preserve">Limitation:</w:t>
      </w:r>
      <w:r>
        <w:rPr>
          <w:rFonts w:ascii="Arial" w:cs="Arial" w:eastAsia="Arial" w:hAnsi="Arial"/>
          <w:sz w:val="22"/>
          <w:szCs w:val="22"/>
        </w:rPr>
        <w:t xml:space="preserve"> even under optimistic growth assumptions, growth does not eliminate the need for revenue and spending reform. The difference between 1.6% and 2.2% sustained growth changes the 2055 debt-to-GDP projection by an estimated 30–40 points — but the current primary deficit of approximately 2.7% of GDP must still be closed through fiscal adjustment.</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6 — Historical Cases</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Historical debt-reduction episodes illustrate mechanisms and constraints but do not provide transplantable models. Four episodes are instructive.</w:t>
      </w:r>
    </w:p>
    <w:p>
      <w:pPr>
        <w:spacing w:before="60" w:after="60" w:line="276"/>
      </w:pPr>
      <w:r>
        <w:rPr>
          <w:rFonts w:ascii="Arial" w:cs="Arial" w:eastAsia="Arial" w:hAnsi="Arial"/>
          <w:b/>
          <w:bCs/>
          <w:sz w:val="22"/>
          <w:szCs w:val="22"/>
        </w:rPr>
        <w:t xml:space="preserve">United States after World War II.</w:t>
      </w:r>
      <w:r>
        <w:rPr>
          <w:rFonts w:ascii="Arial" w:cs="Arial" w:eastAsia="Arial" w:hAnsi="Arial"/>
          <w:sz w:val="22"/>
          <w:szCs w:val="22"/>
        </w:rPr>
        <w:t xml:space="preserve"> Debt-to-GDP fell from approximately 106% in 1946 to roughly 23% by 1974. Acalin and Ball (IMF WP 2024/005) [TIER 2 — peer-reviewed working paper] decomposed the contributing factors: primary budget surpluses averaging 1.1% of GDP annually (enabled by massive post-war demobilization); financial repression through the Fed's interest rate peg (1942–1951); and surprise inflation that created deeply negative real interest rates on existing bonds. </w:t>
      </w:r>
      <w:r>
        <w:rPr>
          <w:rFonts w:ascii="Arial" w:cs="Arial" w:eastAsia="Arial" w:hAnsi="Arial"/>
          <w:i/>
          <w:iCs/>
          <w:sz w:val="22"/>
          <w:szCs w:val="22"/>
        </w:rPr>
        <w:t xml:space="preserve">Limiting condition:</w:t>
      </w:r>
      <w:r>
        <w:rPr>
          <w:rFonts w:ascii="Arial" w:cs="Arial" w:eastAsia="Arial" w:hAnsi="Arial"/>
          <w:sz w:val="22"/>
          <w:szCs w:val="22"/>
        </w:rPr>
        <w:t xml:space="preserve"> without financial repression and inflation surprises, debt would have fallen only to roughly 74% by 1974. </w:t>
      </w:r>
      <w:r>
        <w:rPr>
          <w:rFonts w:ascii="Arial" w:cs="Arial" w:eastAsia="Arial" w:hAnsi="Arial"/>
          <w:i/>
          <w:iCs/>
          <w:sz w:val="22"/>
          <w:szCs w:val="22"/>
        </w:rPr>
        <w:t xml:space="preserve">Policy significance:</w:t>
      </w:r>
      <w:r>
        <w:rPr>
          <w:rFonts w:ascii="Arial" w:cs="Arial" w:eastAsia="Arial" w:hAnsi="Arial"/>
          <w:sz w:val="22"/>
          <w:szCs w:val="22"/>
        </w:rPr>
        <w:t xml:space="preserve"> these conditions — an interest-rate peg, suppressed inflation expectations, massive demobilization savings — are not reproducible under current institutional arrangements.</w:t>
      </w:r>
    </w:p>
    <w:p>
      <w:pPr>
        <w:spacing w:before="60" w:after="60" w:line="276"/>
      </w:pPr>
      <w:r>
        <w:rPr>
          <w:rFonts w:ascii="Arial" w:cs="Arial" w:eastAsia="Arial" w:hAnsi="Arial"/>
          <w:b/>
          <w:bCs/>
          <w:sz w:val="22"/>
          <w:szCs w:val="22"/>
        </w:rPr>
        <w:t xml:space="preserve">Canada's 1990s consolidation.</w:t>
      </w:r>
      <w:r>
        <w:rPr>
          <w:rFonts w:ascii="Arial" w:cs="Arial" w:eastAsia="Arial" w:hAnsi="Arial"/>
          <w:sz w:val="22"/>
          <w:szCs w:val="22"/>
        </w:rPr>
        <w:t xml:space="preserve"> Facing approximately 70% debt-to-GDP and deficits at 5.4% of GDP, Finance Minister Martin executed a roughly 7:1 spending-to-revenue adjustment — approximately C$29 billion over three years. Program spending fell from 23% to 17% of GDP. The deficit was eliminated in four years; debt-to-GDP fell approximately 30 points in a decade. Alesina, Favero, and Giavazzi report that spending-based consolidations tend to be less contractionary than tax-based consolidations on average, consistent with the Canadian experience. </w:t>
      </w:r>
      <w:r>
        <w:rPr>
          <w:rFonts w:ascii="Arial" w:cs="Arial" w:eastAsia="Arial" w:hAnsi="Arial"/>
          <w:i/>
          <w:iCs/>
          <w:sz w:val="22"/>
          <w:szCs w:val="22"/>
        </w:rPr>
        <w:t xml:space="preserve">Limiting condition:</w:t>
      </w:r>
      <w:r>
        <w:rPr>
          <w:rFonts w:ascii="Arial" w:cs="Arial" w:eastAsia="Arial" w:hAnsi="Arial"/>
          <w:sz w:val="22"/>
          <w:szCs w:val="22"/>
        </w:rPr>
        <w:t xml:space="preserve"> critical enablers included NAFTA-driven export demand, declining global interest rates, and prior tax base broadening. The actual fiscal adjustment was approximately 5.4–6.0% of GDP — somewhat larger than the 4.5–5.0% modeled in this paper's Scenario 2.</w:t>
      </w:r>
    </w:p>
    <w:p>
      <w:pPr>
        <w:spacing w:before="60" w:after="60" w:line="276"/>
      </w:pPr>
      <w:r>
        <w:rPr>
          <w:rFonts w:ascii="Arial" w:cs="Arial" w:eastAsia="Arial" w:hAnsi="Arial"/>
          <w:b/>
          <w:bCs/>
          <w:sz w:val="22"/>
          <w:szCs w:val="22"/>
        </w:rPr>
        <w:t xml:space="preserve">Britain after the Napoleonic Wars.</w:t>
      </w:r>
      <w:r>
        <w:rPr>
          <w:rFonts w:ascii="Arial" w:cs="Arial" w:eastAsia="Arial" w:hAnsi="Arial"/>
          <w:sz w:val="22"/>
          <w:szCs w:val="22"/>
        </w:rPr>
        <w:t xml:space="preserve"> Debt peaked at approximately 200–230% of GDP in 1815 (estimates range from the OBR's ~180% to Officer and Williamson's ~226%; the 250% figure more commonly describes Britain's 1946 WWII peak). It took roughly 99 years to reach ~30% — achieved through nearly continuous primary surpluses of 2–3% of GDP, enabled by a limited franchise that empowered creditors over debtors. Britain's gold standard produced deflation, increasing the real debt burden. </w:t>
      </w:r>
      <w:r>
        <w:rPr>
          <w:rFonts w:ascii="Arial" w:cs="Arial" w:eastAsia="Arial" w:hAnsi="Arial"/>
          <w:i/>
          <w:iCs/>
          <w:sz w:val="22"/>
          <w:szCs w:val="22"/>
        </w:rPr>
        <w:t xml:space="preserve">Policy significance:</w:t>
      </w:r>
      <w:r>
        <w:rPr>
          <w:rFonts w:ascii="Arial" w:cs="Arial" w:eastAsia="Arial" w:hAnsi="Arial"/>
          <w:sz w:val="22"/>
          <w:szCs w:val="22"/>
        </w:rPr>
        <w:t xml:space="preserve"> the social costs — poverty, underinvestment, eventual industrial decline relative to peers — argue against prolonged austerity as the sole instrument.</w:t>
      </w:r>
    </w:p>
    <w:p>
      <w:pPr>
        <w:spacing w:before="60" w:after="60" w:line="276"/>
      </w:pPr>
      <w:r>
        <w:rPr>
          <w:rFonts w:ascii="Arial" w:cs="Arial" w:eastAsia="Arial" w:hAnsi="Arial"/>
          <w:b/>
          <w:bCs/>
          <w:sz w:val="22"/>
          <w:szCs w:val="22"/>
        </w:rPr>
        <w:t xml:space="preserve">New Zealand 1984–1994.</w:t>
      </w:r>
      <w:r>
        <w:rPr>
          <w:rFonts w:ascii="Arial" w:cs="Arial" w:eastAsia="Arial" w:hAnsi="Arial"/>
          <w:sz w:val="22"/>
          <w:szCs w:val="22"/>
        </w:rPr>
        <w:t xml:space="preserve"> Deregulation, currency float, subsidy elimination, income tax cuts, and GST introduction produced dramatic results: inflation fell from 17% to near zero, and by 1993–94 growth reached 5–6%. However, per capita GDP stagnated for nearly a decade, unemployment peaked at 11%, poverty rose 35%, and child poverty reportedly doubled. The lowest 30% of the population did not recover 1980s living standards for approximately 20 years.</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historical debt reductions generally reflect combinations of primary balance adjustment, growth, interest-rate conditions, and institutional context. Roughly half of all consolidation episodes result in debt ratios that actually increase because GDP contraction offsets deficit reduction (IMF WP 2023/063; April 2023 IMF Blog).</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7 — Three Scenarios</w:t>
      </w:r>
    </w:p>
    <w:p>
      <w:pPr>
        <w:spacing w:before="60" w:after="60" w:line="276"/>
      </w:pPr>
      <w:r>
        <w:rPr>
          <w:rFonts w:ascii="Arial" w:cs="Arial" w:eastAsia="Arial" w:hAnsi="Arial"/>
          <w:b/>
          <w:bCs/>
          <w:sz w:val="22"/>
          <w:szCs w:val="22"/>
        </w:rPr>
        <w:t xml:space="preserve">Scenario 1: Debt-free in 20 years (aggressive).</w:t>
      </w:r>
      <w:r>
        <w:rPr>
          <w:rFonts w:ascii="Arial" w:cs="Arial" w:eastAsia="Arial" w:hAnsi="Arial"/>
          <w:sz w:val="22"/>
          <w:szCs w:val="22"/>
        </w:rPr>
        <w:t xml:space="preserve"> Retiring roughly $36 trillion in gross debt by 2046 would require fiscal adjustment far beyond what advanced economies have historically sustained — roughly 12–13 percent of GDP annually. </w:t>
      </w:r>
      <w:r>
        <w:rPr>
          <w:rFonts w:ascii="Arial" w:cs="Arial" w:eastAsia="Arial" w:hAnsi="Arial"/>
          <w:b/>
          <w:bCs/>
          <w:sz w:val="22"/>
          <w:szCs w:val="22"/>
        </w:rPr>
        <w:t xml:space="preserve">Assessment:</w:t>
      </w:r>
      <w:r>
        <w:rPr>
          <w:rFonts w:ascii="Arial" w:cs="Arial" w:eastAsia="Arial" w:hAnsi="Arial"/>
          <w:sz w:val="22"/>
          <w:szCs w:val="22"/>
        </w:rPr>
        <w:t xml:space="preserve"> pursuing such a target would carry severe contractionary risk and should not be treated as a realistic policy benchmark.</w:t>
      </w:r>
    </w:p>
    <w:p>
      <w:pPr>
        <w:spacing w:before="60" w:after="60" w:line="276"/>
      </w:pPr>
      <w:r>
        <w:rPr>
          <w:rFonts w:ascii="Arial" w:cs="Arial" w:eastAsia="Arial" w:hAnsi="Arial"/>
          <w:b/>
          <w:bCs/>
          <w:sz w:val="22"/>
          <w:szCs w:val="22"/>
        </w:rPr>
        <w:t xml:space="preserve">Scenario 2: Debt-to-GDP below 60 percent by 2050 (moderate).</w:t>
      </w:r>
      <w:r>
        <w:rPr>
          <w:rFonts w:ascii="Arial" w:cs="Arial" w:eastAsia="Arial" w:hAnsi="Arial"/>
          <w:sz w:val="22"/>
          <w:szCs w:val="22"/>
        </w:rPr>
        <w:t xml:space="preserve"> Reducing from approximately 100 to 60 percent over 25 years requires average annual debt-to-GDP decline of roughly 1.6 points, demanding a primary surplus averaging approximately 1.6–2.0 percent of GDP — compared to the current primary deficit of roughly 2.7% of GDP. Total fiscal adjustment: approximately 4.5–5.0% of GDP ($1.4–1.5 trillion annually). This is very ambitious but comparable in magnitude to historical consolidation episodes (Canada achieved ~5.4–6.0%), though structural differences — exchange rate regime, debt composition, entitlement burden — limit direct comparability. A plausible policy combination:</w:t>
      </w:r>
    </w:p>
    <w:p>
      <w:pPr>
        <w:spacing w:before="60" w:after="60" w:line="276"/>
      </w:pPr>
      <w:r>
        <w:rPr>
          <w:rFonts w:ascii="Arial" w:cs="Arial" w:eastAsia="Arial" w:hAnsi="Arial"/>
          <w:i/>
          <w:iCs/>
          <w:sz w:val="22"/>
          <w:szCs w:val="22"/>
        </w:rPr>
        <w:t xml:space="preserve">Revenue increases of ~2.5% of GDP (~$750B/yr):</w:t>
      </w:r>
      <w:r>
        <w:rPr>
          <w:rFonts w:ascii="Arial" w:cs="Arial" w:eastAsia="Arial" w:hAnsi="Arial"/>
          <w:sz w:val="22"/>
          <w:szCs w:val="22"/>
        </w:rPr>
        <w:t xml:space="preserve"> FICA donut hole (~$70B/yr), narrow-base VAT (~$230B/yr), corporate rate increase to 25% (~$55B/yr), capital gains reform (~$50B/yr), IRS enforcement (~$20B/yr), carbon tax (~$96B/yr), FICA cap restructuring (~$150B/yr), estate/step-up reform (~$45B/yr), other base broadening (~$35B/yr).</w:t>
      </w:r>
    </w:p>
    <w:p>
      <w:pPr>
        <w:spacing w:before="60" w:after="60" w:line="276"/>
      </w:pPr>
      <w:r>
        <w:rPr>
          <w:rFonts w:ascii="Arial" w:cs="Arial" w:eastAsia="Arial" w:hAnsi="Arial"/>
          <w:i/>
          <w:iCs/>
          <w:sz w:val="22"/>
          <w:szCs w:val="22"/>
        </w:rPr>
        <w:t xml:space="preserve">Spending reductions of ~2.0% of GDP (~$600B/yr):</w:t>
      </w:r>
      <w:r>
        <w:rPr>
          <w:rFonts w:ascii="Arial" w:cs="Arial" w:eastAsia="Arial" w:hAnsi="Arial"/>
          <w:sz w:val="22"/>
          <w:szCs w:val="22"/>
        </w:rPr>
        <w:t xml:space="preserve"> Social Security adjustments (phasing up from ~$50B/yr), healthcare efficiency (~$100B/yr), defense procurement reform (~$20B/yr), discretionary caps (~$30B/yr), interest savings from lower deficits (~$100B/yr growing over time), Medicaid reform (~$30B/yr), tax expenditure caps (~$100B/yr), other (~$70B/yr growing over time).</w:t>
      </w:r>
    </w:p>
    <w:p>
      <w:pPr>
        <w:spacing w:before="60" w:after="60" w:line="276"/>
      </w:pPr>
      <w:r>
        <w:rPr>
          <w:rFonts w:ascii="Arial" w:cs="Arial" w:eastAsia="Arial" w:hAnsi="Arial"/>
          <w:i/>
          <w:iCs/>
          <w:sz w:val="22"/>
          <w:szCs w:val="22"/>
        </w:rPr>
        <w:t xml:space="preserve">Growth dividend:</w:t>
      </w:r>
      <w:r>
        <w:rPr>
          <w:rFonts w:ascii="Arial" w:cs="Arial" w:eastAsia="Arial" w:hAnsi="Arial"/>
          <w:sz w:val="22"/>
          <w:szCs w:val="22"/>
        </w:rPr>
        <w:t xml:space="preserve"> if reforms boost sustained growth from 1.6 to 2.2 percent, the denominator effect alone would reduce the projected 2055 debt-to-GDP ratio by an estimated 30–40 points.</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all individual line items above are design-contingent estimates, not fixed yields. The package illustrates the required scale of adjustment, not a precise budget blueprint.</w:t>
      </w:r>
    </w:p>
    <w:p>
      <w:pPr>
        <w:spacing w:before="60" w:after="60" w:line="276"/>
      </w:pPr>
      <w:r>
        <w:rPr>
          <w:rFonts w:ascii="Arial" w:cs="Arial" w:eastAsia="Arial" w:hAnsi="Arial"/>
          <w:b/>
          <w:bCs/>
          <w:sz w:val="22"/>
          <w:szCs w:val="22"/>
        </w:rPr>
        <w:t xml:space="preserve">Interaction effects and double-count risk:</w:t>
      </w:r>
      <w:r>
        <w:rPr>
          <w:rFonts w:ascii="Arial" w:cs="Arial" w:eastAsia="Arial" w:hAnsi="Arial"/>
          <w:sz w:val="22"/>
          <w:szCs w:val="22"/>
        </w:rPr>
        <w:t xml:space="preserve"> The arithmetic sum of the line items above overstates the net fiscal effect for at least four reasons. First, </w:t>
      </w:r>
      <w:r>
        <w:rPr>
          <w:rFonts w:ascii="Arial" w:cs="Arial" w:eastAsia="Arial" w:hAnsi="Arial"/>
          <w:i/>
          <w:iCs/>
          <w:sz w:val="22"/>
          <w:szCs w:val="22"/>
        </w:rPr>
        <w:t xml:space="preserve">revenue interactions</w:t>
      </w:r>
      <w:r>
        <w:rPr>
          <w:rFonts w:ascii="Arial" w:cs="Arial" w:eastAsia="Arial" w:hAnsi="Arial"/>
          <w:sz w:val="22"/>
          <w:szCs w:val="22"/>
        </w:rPr>
        <w:t xml:space="preserve">: a VAT reduces the income and payroll tax base by shifting consumption patterns; CBO estimates that broad-based consumption taxes reduce income tax receipts by roughly 10–15% of the consumption tax yield. FICA cap restructuring and the donut hole interact with each other — their yields are not additive if both are enacted. Second, </w:t>
      </w:r>
      <w:r>
        <w:rPr>
          <w:rFonts w:ascii="Arial" w:cs="Arial" w:eastAsia="Arial" w:hAnsi="Arial"/>
          <w:i/>
          <w:iCs/>
          <w:sz w:val="22"/>
          <w:szCs w:val="22"/>
        </w:rPr>
        <w:t xml:space="preserve">spending-side overlaps</w:t>
      </w:r>
      <w:r>
        <w:rPr>
          <w:rFonts w:ascii="Arial" w:cs="Arial" w:eastAsia="Arial" w:hAnsi="Arial"/>
          <w:sz w:val="22"/>
          <w:szCs w:val="22"/>
        </w:rPr>
        <w:t xml:space="preserve">: healthcare efficiency savings and drug pricing expansion share some of the same cost base; gains from all-payer rate setting would reduce the incremental yield of expanded drug negotiation. Third, </w:t>
      </w:r>
      <w:r>
        <w:rPr>
          <w:rFonts w:ascii="Arial" w:cs="Arial" w:eastAsia="Arial" w:hAnsi="Arial"/>
          <w:i/>
          <w:iCs/>
          <w:sz w:val="22"/>
          <w:szCs w:val="22"/>
        </w:rPr>
        <w:t xml:space="preserve">sequencing dependence</w:t>
      </w:r>
      <w:r>
        <w:rPr>
          <w:rFonts w:ascii="Arial" w:cs="Arial" w:eastAsia="Arial" w:hAnsi="Arial"/>
          <w:sz w:val="22"/>
          <w:szCs w:val="22"/>
        </w:rPr>
        <w:t xml:space="preserve">: growth-enhancing reforms (Phase 1) improve the revenue yield of subsequent tax measures (Phase 2) by expanding the base — but the magnitude of this interaction is itself uncertain and is not reflected in the line-item estimates, which are scored under current-law baselines. Fourth, </w:t>
      </w:r>
      <w:r>
        <w:rPr>
          <w:rFonts w:ascii="Arial" w:cs="Arial" w:eastAsia="Arial" w:hAnsi="Arial"/>
          <w:i/>
          <w:iCs/>
          <w:sz w:val="22"/>
          <w:szCs w:val="22"/>
        </w:rPr>
        <w:t xml:space="preserve">behavioral responses</w:t>
      </w:r>
      <w:r>
        <w:rPr>
          <w:rFonts w:ascii="Arial" w:cs="Arial" w:eastAsia="Arial" w:hAnsi="Arial"/>
          <w:sz w:val="22"/>
          <w:szCs w:val="22"/>
        </w:rPr>
        <w:t xml:space="preserve">: capital gains reform, estate tax reform, and wealth-related provisions interact through portfolio reallocation — taxpayers who face higher capital gains rates may shift toward strategies that reduce estate tax exposure, and vice versa. A realistic net-of-interactions adjustment would reduce the gross package total by an estimated 10–20%, implying an effective adjustment closer to 3.6–4.5% of GDP rather than the 4.5–5.0% arithmetic sum. The direction of the result — that adjustment of approximately this magnitude is required — survives even under the lower bound.</w:t>
      </w:r>
    </w:p>
    <w:p>
      <w:pPr>
        <w:spacing w:before="60" w:after="60" w:line="276"/>
      </w:pPr>
      <w:r>
        <w:rPr>
          <w:rFonts w:ascii="Arial" w:cs="Arial" w:eastAsia="Arial" w:hAnsi="Arial"/>
          <w:b/>
          <w:bCs/>
          <w:sz w:val="22"/>
          <w:szCs w:val="22"/>
        </w:rPr>
        <w:t xml:space="preserve">Scenario 3: Baseline (no policy change).</w:t>
      </w:r>
      <w:r>
        <w:rPr>
          <w:rFonts w:ascii="Arial" w:cs="Arial" w:eastAsia="Arial" w:hAnsi="Arial"/>
          <w:sz w:val="22"/>
          <w:szCs w:val="22"/>
        </w:rPr>
        <w:t xml:space="preserve"> </w:t>
      </w:r>
      <w:r>
        <w:rPr>
          <w:rFonts w:ascii="Arial" w:cs="Arial" w:eastAsia="Arial" w:hAnsi="Arial"/>
          <w:b/>
          <w:bCs/>
          <w:sz w:val="22"/>
          <w:szCs w:val="22"/>
        </w:rPr>
        <w:t xml:space="preserve">Verified projection:</w:t>
      </w:r>
      <w:r>
        <w:rPr>
          <w:rFonts w:ascii="Arial" w:cs="Arial" w:eastAsia="Arial" w:hAnsi="Arial"/>
          <w:sz w:val="22"/>
          <w:szCs w:val="22"/>
        </w:rPr>
        <w:t xml:space="preserve"> CBO projects debt rising to approximately 118 percent of GDP by 2035, approximately 136 percent by 2045, and approximately 156 percent by 2055. </w:t>
      </w:r>
      <w:r>
        <w:rPr>
          <w:rFonts w:ascii="Arial" w:cs="Arial" w:eastAsia="Arial" w:hAnsi="Arial"/>
          <w:b/>
          <w:bCs/>
          <w:sz w:val="22"/>
          <w:szCs w:val="22"/>
        </w:rPr>
        <w:t xml:space="preserve">Assessment:</w:t>
      </w:r>
      <w:r>
        <w:rPr>
          <w:rFonts w:ascii="Arial" w:cs="Arial" w:eastAsia="Arial" w:hAnsi="Arial"/>
          <w:sz w:val="22"/>
          <w:szCs w:val="22"/>
        </w:rPr>
        <w:t xml:space="preserve"> this path does not necessarily trigger a sovereign funding crisis — the US borrows in its own currency with reserve currency status — but it progressively erodes fiscal capacity to respond to recessions, wars, pandemics, and demographic transition.</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8 — The Case Against Full Debt Retirement</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Some government debt is not only manageable but functionally necessary. US Treasury securities serve as the global risk-free benchmark asset; eliminating them would force financial markets to find substitutes, potentially increasing systemic risk. The Clinton-era Treasury Department itself flagged this concern when surpluses briefly raised the possibility of paying off the national debt.</w:t>
      </w:r>
    </w:p>
    <w:p>
      <w:pPr>
        <w:spacing w:before="60" w:after="60" w:line="276"/>
      </w:pPr>
      <w:r>
        <w:rPr>
          <w:rFonts w:ascii="Arial" w:cs="Arial" w:eastAsia="Arial" w:hAnsi="Arial"/>
          <w:b/>
          <w:bCs/>
          <w:sz w:val="22"/>
          <w:szCs w:val="22"/>
        </w:rPr>
        <w:t xml:space="preserve">Verified literature result:</w:t>
      </w:r>
      <w:r>
        <w:rPr>
          <w:rFonts w:ascii="Arial" w:cs="Arial" w:eastAsia="Arial" w:hAnsi="Arial"/>
          <w:sz w:val="22"/>
          <w:szCs w:val="22"/>
        </w:rPr>
        <w:t xml:space="preserve"> Blanchard's 2019 AEA presidential address argues that when safe interest rates remain below growth rates — as they have been for most of US history — debt rollovers can be feasible for long periods without requiring primary surpluses. </w:t>
      </w:r>
      <w:r>
        <w:rPr>
          <w:rFonts w:ascii="Arial" w:cs="Arial" w:eastAsia="Arial" w:hAnsi="Arial"/>
          <w:b/>
          <w:bCs/>
          <w:sz w:val="22"/>
          <w:szCs w:val="22"/>
        </w:rPr>
        <w:t xml:space="preserve">Assessment:</w:t>
      </w:r>
      <w:r>
        <w:rPr>
          <w:rFonts w:ascii="Arial" w:cs="Arial" w:eastAsia="Arial" w:hAnsi="Arial"/>
          <w:sz w:val="22"/>
          <w:szCs w:val="22"/>
        </w:rPr>
        <w:t xml:space="preserve"> however, CBO projects this favorable relationship will narrow and may reverse in later decades under current law, meaning the present trajectory would eventually lose this cushion.</w:t>
      </w:r>
    </w:p>
    <w:p>
      <w:pPr>
        <w:spacing w:before="60" w:after="60" w:line="276"/>
      </w:pPr>
      <w:r>
        <w:rPr>
          <w:rFonts w:ascii="Arial" w:cs="Arial" w:eastAsia="Arial" w:hAnsi="Arial"/>
          <w:b/>
          <w:bCs/>
          <w:sz w:val="22"/>
          <w:szCs w:val="22"/>
        </w:rPr>
        <w:t xml:space="preserve">Verified literature result:</w:t>
      </w:r>
      <w:r>
        <w:rPr>
          <w:rFonts w:ascii="Arial" w:cs="Arial" w:eastAsia="Arial" w:hAnsi="Arial"/>
          <w:sz w:val="22"/>
          <w:szCs w:val="22"/>
        </w:rPr>
        <w:t xml:space="preserve"> Japan carries approximately 237 percent gross debt-to-GDP without having experienced a debt crisis, loss of market access, or prohibitively high interest costs. A recent analysis in the *Journal of Economic Perspectives* (Chien, Du, and Lustig, Fall 2025) argues that Japan's consolidated government debt is actually approximately 77 percent of GDP when netting government financial assets and inter-entity holdings — below US levels. </w:t>
      </w:r>
      <w:r>
        <w:rPr>
          <w:rFonts w:ascii="Arial" w:cs="Arial" w:eastAsia="Arial" w:hAnsi="Arial"/>
          <w:b/>
          <w:bCs/>
          <w:sz w:val="22"/>
          <w:szCs w:val="22"/>
        </w:rPr>
        <w:t xml:space="preserve">Assessment:</w:t>
      </w:r>
      <w:r>
        <w:rPr>
          <w:rFonts w:ascii="Arial" w:cs="Arial" w:eastAsia="Arial" w:hAnsi="Arial"/>
          <w:sz w:val="22"/>
          <w:szCs w:val="22"/>
        </w:rPr>
        <w:t xml:space="preserve"> Japan's circumstances — 88 percent domestic ownership, Bank of Japan holding over half of outstanding bonds, massive household savings — are not directly transferable to the US context, but they illustrate that high gross debt ratios do not mechanically produce crises.</w:t>
      </w:r>
    </w:p>
    <w:p>
      <w:pPr>
        <w:spacing w:before="60" w:after="60" w:line="276"/>
      </w:pPr>
      <w:r>
        <w:rPr>
          <w:rFonts w:ascii="Arial" w:cs="Arial" w:eastAsia="Arial" w:hAnsi="Arial"/>
          <w:b/>
          <w:bCs/>
          <w:sz w:val="22"/>
          <w:szCs w:val="22"/>
        </w:rPr>
        <w:t xml:space="preserve">Verified literature result:</w:t>
      </w:r>
      <w:r>
        <w:rPr>
          <w:rFonts w:ascii="Arial" w:cs="Arial" w:eastAsia="Arial" w:hAnsi="Arial"/>
          <w:sz w:val="22"/>
          <w:szCs w:val="22"/>
        </w:rPr>
        <w:t xml:space="preserve"> the sharp Reinhart-Rogoff 90 percent threshold claim did not survive later scrutiny. The 2013 discovery of a coding error, selective data exclusion, and unconventional weighting eliminated the sharp growth cliff. Corrected data showed average growth above 90 percent debt-to-GDP was approximately +2.2 percent, not –0.1 percent. The IMF subsequently found little evidence of a single debt ratio above which growth falls sharply. </w:t>
      </w:r>
      <w:r>
        <w:rPr>
          <w:rFonts w:ascii="Arial" w:cs="Arial" w:eastAsia="Arial" w:hAnsi="Arial"/>
          <w:b/>
          <w:bCs/>
          <w:sz w:val="22"/>
          <w:szCs w:val="22"/>
        </w:rPr>
        <w:t xml:space="preserve">Assessment:</w:t>
      </w:r>
      <w:r>
        <w:rPr>
          <w:rFonts w:ascii="Arial" w:cs="Arial" w:eastAsia="Arial" w:hAnsi="Arial"/>
          <w:sz w:val="22"/>
          <w:szCs w:val="22"/>
        </w:rPr>
        <w:t xml:space="preserve"> high debt is risky, but the risk is gradual, contextual, and institutionally mediated rather than governed by a single cliff point.</w:t>
      </w:r>
    </w:p>
    <w:p>
      <w:pPr>
        <w:spacing w:before="60" w:after="60" w:line="276"/>
      </w:pPr>
      <w:r>
        <w:rPr>
          <w:rFonts w:ascii="Arial" w:cs="Arial" w:eastAsia="Arial" w:hAnsi="Arial"/>
          <w:b/>
          <w:bCs/>
          <w:sz w:val="22"/>
          <w:szCs w:val="22"/>
        </w:rPr>
        <w:t xml:space="preserve">Assessment regarding MMT:</w:t>
      </w:r>
      <w:r>
        <w:rPr>
          <w:rFonts w:ascii="Arial" w:cs="Arial" w:eastAsia="Arial" w:hAnsi="Arial"/>
          <w:sz w:val="22"/>
          <w:szCs w:val="22"/>
        </w:rPr>
        <w:t xml:space="preserve"> Modern Monetary Theory's core observation — that a sovereign currency issuer cannot be forced into involuntary default in its own currency — is factually correct. The real constraint is inflation, not solvency. However, MMT understates inflation risk, neglects open-economy dynamics (exchange rate depreciation), and even its leading proponents have acknowledged the need for fiscal discipline on major programs. MMT is better understood as a description of the monetary system's mechanics than as a prescription for unlimited fiscal expansion.</w:t>
      </w:r>
    </w:p>
    <w:p>
      <w:pPr>
        <w:spacing w:before="60" w:after="60" w:line="276"/>
      </w:pPr>
      <w:r>
        <w:rPr>
          <w:rFonts w:ascii="Arial" w:cs="Arial" w:eastAsia="Arial" w:hAnsi="Arial"/>
          <w:b/>
          <w:bCs/>
          <w:sz w:val="22"/>
          <w:szCs w:val="22"/>
        </w:rPr>
        <w:t xml:space="preserve">Judgment:</w:t>
      </w:r>
      <w:r>
        <w:rPr>
          <w:rFonts w:ascii="Arial" w:cs="Arial" w:eastAsia="Arial" w:hAnsi="Arial"/>
          <w:sz w:val="22"/>
          <w:szCs w:val="22"/>
        </w:rPr>
        <w:t xml:space="preserve"> a medium-term objective of stabilizing debt and gradually moving it toward a materially lower ratio than current-law projections is more defensible than a zero-debt target. A 60–80 percent range can be presented as a reasonable policy benchmark, though not as an established professional consensus.</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9 — Sequencing</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Sequencing materially affects whether consolidation lowers debt ratios or merely suppresses GDP. The literature supports protecting growth-sensitive investment, avoiding large front-loaded tightening in weak demand conditions, and recognizing that many consolidation episodes fail because denominator effects offset numerator gains.</w:t>
      </w:r>
    </w:p>
    <w:p>
      <w:pPr>
        <w:spacing w:before="60" w:after="60" w:line="276"/>
      </w:pPr>
      <w:r>
        <w:rPr>
          <w:rFonts w:ascii="Arial" w:cs="Arial" w:eastAsia="Arial" w:hAnsi="Arial"/>
          <w:sz w:val="22"/>
          <w:szCs w:val="22"/>
        </w:rPr>
        <w:t xml:space="preserve">The following five-phase framework represents a defensible policy architecture, not an empirically settled template.</w:t>
      </w:r>
    </w:p>
    <w:p>
      <w:pPr>
        <w:spacing w:before="60" w:after="60" w:line="276"/>
      </w:pPr>
      <w:r>
        <w:rPr>
          <w:rFonts w:ascii="Arial" w:cs="Arial" w:eastAsia="Arial" w:hAnsi="Arial"/>
          <w:b/>
          <w:bCs/>
          <w:sz w:val="22"/>
          <w:szCs w:val="22"/>
        </w:rPr>
        <w:t xml:space="preserve">Phase 1 (Years 1–2):</w:t>
      </w:r>
      <w:r>
        <w:rPr>
          <w:rFonts w:ascii="Arial" w:cs="Arial" w:eastAsia="Arial" w:hAnsi="Arial"/>
          <w:sz w:val="22"/>
          <w:szCs w:val="22"/>
        </w:rPr>
        <w:t xml:space="preserve"> Growth-enhancing reforms and revenue base broadening — immigration reform, permitting reform, IRS enforcement funding, R&amp;D incentives. These expand the economy before contractionary measures take effect.</w:t>
      </w:r>
    </w:p>
    <w:p>
      <w:pPr>
        <w:spacing w:before="60" w:after="60" w:line="276"/>
      </w:pPr>
      <w:r>
        <w:rPr>
          <w:rFonts w:ascii="Arial" w:cs="Arial" w:eastAsia="Arial" w:hAnsi="Arial"/>
          <w:b/>
          <w:bCs/>
          <w:sz w:val="22"/>
          <w:szCs w:val="22"/>
        </w:rPr>
        <w:t xml:space="preserve">Phase 2 (Years 2–4):</w:t>
      </w:r>
      <w:r>
        <w:rPr>
          <w:rFonts w:ascii="Arial" w:cs="Arial" w:eastAsia="Arial" w:hAnsi="Arial"/>
          <w:sz w:val="22"/>
          <w:szCs w:val="22"/>
        </w:rPr>
        <w:t xml:space="preserve"> Revenue increases on broad, minimally distortionary bases — narrow-base VAT with refundable credits, Social Security payroll cap restructuring, carbon tax with household dividends, corporate tax loophole closure.</w:t>
      </w:r>
    </w:p>
    <w:p>
      <w:pPr>
        <w:spacing w:before="60" w:after="60" w:line="276"/>
      </w:pPr>
      <w:r>
        <w:rPr>
          <w:rFonts w:ascii="Arial" w:cs="Arial" w:eastAsia="Arial" w:hAnsi="Arial"/>
          <w:b/>
          <w:bCs/>
          <w:sz w:val="22"/>
          <w:szCs w:val="22"/>
        </w:rPr>
        <w:t xml:space="preserve">Phase 3 (Years 3–7):</w:t>
      </w:r>
      <w:r>
        <w:rPr>
          <w:rFonts w:ascii="Arial" w:cs="Arial" w:eastAsia="Arial" w:hAnsi="Arial"/>
          <w:sz w:val="22"/>
          <w:szCs w:val="22"/>
        </w:rPr>
        <w:t xml:space="preserve"> Structural entitlement reform — Social Security adjustments (chained CPI, progressive benefit formula, gradually rising retirement age), healthcare payment reform, Medicaid modernization. Long phase-ins reduce disruption.</w:t>
      </w:r>
    </w:p>
    <w:p>
      <w:pPr>
        <w:spacing w:before="60" w:after="60" w:line="276"/>
      </w:pPr>
      <w:r>
        <w:rPr>
          <w:rFonts w:ascii="Arial" w:cs="Arial" w:eastAsia="Arial" w:hAnsi="Arial"/>
          <w:b/>
          <w:bCs/>
          <w:sz w:val="22"/>
          <w:szCs w:val="22"/>
        </w:rPr>
        <w:t xml:space="preserve">Phase 4 (Years 5–10):</w:t>
      </w:r>
      <w:r>
        <w:rPr>
          <w:rFonts w:ascii="Arial" w:cs="Arial" w:eastAsia="Arial" w:hAnsi="Arial"/>
          <w:sz w:val="22"/>
          <w:szCs w:val="22"/>
        </w:rPr>
        <w:t xml:space="preserve"> Discretionary spending reform — defense procurement overhaul, workforce optimization through attrition, subsidy reform, tax expenditure caps.</w:t>
      </w:r>
    </w:p>
    <w:p>
      <w:pPr>
        <w:spacing w:before="60" w:after="60" w:line="276"/>
      </w:pPr>
      <w:r>
        <w:rPr>
          <w:rFonts w:ascii="Arial" w:cs="Arial" w:eastAsia="Arial" w:hAnsi="Arial"/>
          <w:b/>
          <w:bCs/>
          <w:sz w:val="22"/>
          <w:szCs w:val="22"/>
        </w:rPr>
        <w:t xml:space="preserve">Phase 5 (Ongoing):</w:t>
      </w:r>
      <w:r>
        <w:rPr>
          <w:rFonts w:ascii="Arial" w:cs="Arial" w:eastAsia="Arial" w:hAnsi="Arial"/>
          <w:sz w:val="22"/>
          <w:szCs w:val="22"/>
        </w:rPr>
        <w:t xml:space="preserve"> Debt management — optimize Treasury issuance, extend maturities, allow the growth-interest rate differential to compound the debt-to-GDP decline.</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IMF Working Paper 2023/063 [TIER 2] finds that most consolidation efforts involve annual average improvement of 1–2% of GDP in the cyclically adjusted primary balance. A defensible pace for the US would fall within or near the lower end of this range — roughly 1% of GDP per year sustained over 7–15 years, with accommodative monetary policy and protection of public investment. Earlier drafts cited 0.5–1.0% as the IMF-recommended pace; this has been corrected.</w:t>
      </w:r>
    </w:p>
    <w:p>
      <w:pPr>
        <w:spacing w:before="60" w:after="60" w:line="276"/>
      </w:pPr>
      <w:r>
        <w:rPr>
          <w:rFonts w:ascii="Arial" w:cs="Arial" w:eastAsia="Arial" w:hAnsi="Arial"/>
          <w:b/>
          <w:bCs/>
          <w:sz w:val="22"/>
          <w:szCs w:val="22"/>
        </w:rPr>
        <w:t xml:space="preserve">Assessment regarding the austerity trap:</w:t>
      </w:r>
      <w:r>
        <w:rPr>
          <w:rFonts w:ascii="Arial" w:cs="Arial" w:eastAsia="Arial" w:hAnsi="Arial"/>
          <w:sz w:val="22"/>
          <w:szCs w:val="22"/>
        </w:rPr>
        <w:t xml:space="preserve"> the UK experience (2010–2015) illustrates the risks of premature consolidation. Despite approximately £110 billion in spending cuts and tax increases, UK public debt rose from approximately 57 percent to 90 percent of GDP as growth stalled. </w:t>
      </w:r>
      <w:r>
        <w:rPr>
          <w:rFonts w:ascii="Arial" w:cs="Arial" w:eastAsia="Arial" w:hAnsi="Arial"/>
          <w:b/>
          <w:bCs/>
          <w:sz w:val="22"/>
          <w:szCs w:val="22"/>
        </w:rPr>
        <w:t xml:space="preserve">Sourced estimate:</w:t>
      </w:r>
      <w:r>
        <w:rPr>
          <w:rFonts w:ascii="Arial" w:cs="Arial" w:eastAsia="Arial" w:hAnsi="Arial"/>
          <w:sz w:val="22"/>
          <w:szCs w:val="22"/>
        </w:rPr>
        <w:t xml:space="preserve"> the OBR estimated roughly 2% of GDP was lost to austerity [TIER 1 — OBR]. Greece's experience was more extreme — GDP collapsed approximately 25 percent, and debt-to-GDP rose from approximately 130 to 180 percent — illustrating that fiscal consolidation during recession can be self-defeating. The IMF subsequently acknowledged that its fiscal multiplier assumptions had been substantially underestimated [TIER 2 — Blanchard and Leigh, 2013].</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10 — Conclusions</w:t>
      </w:r>
    </w:p>
    <w:p>
      <w:pPr>
        <w:spacing w:before="60" w:after="60" w:line="276"/>
      </w:pPr>
      <w:r>
        <w:rPr>
          <w:rFonts w:ascii="Arial" w:cs="Arial" w:eastAsia="Arial" w:hAnsi="Arial"/>
          <w:sz w:val="22"/>
          <w:szCs w:val="22"/>
        </w:rPr>
        <w:t xml:space="preserve">The US retains institutional advantages — reserve currency status, Federal Reserve independence, deep capital markets — that provide buffers unavailable to crisis-afflicted sovereigns. These advantages are not unlimited, and the window for orderly adjustment narrows as interest costs compound.</w:t>
      </w:r>
    </w:p>
    <w:p>
      <w:pPr>
        <w:spacing w:before="60" w:after="60" w:line="276"/>
      </w:pPr>
      <w:r>
        <w:rPr>
          <w:rFonts w:ascii="Arial" w:cs="Arial" w:eastAsia="Arial" w:hAnsi="Arial"/>
          <w:sz w:val="22"/>
          <w:szCs w:val="22"/>
        </w:rPr>
        <w:t xml:space="preserve">A more defensible objective is stabilization of debt relative to GDP followed by gradual reduction over a 20–25 year horizon. A defensible policy approach pairs broad-based revenue measures (a VAT, FICA cap reform, carbon pricing, enhanced IRS enforcement) with structural spending reform (entitlement modernization, healthcare payment reform) and growth policies (immigration reform, permitting reform, infrastructure, R&amp;D incentives).</w:t>
      </w:r>
    </w:p>
    <w:p>
      <w:pPr>
        <w:spacing w:before="60" w:after="60" w:line="276"/>
      </w:pPr>
      <w:r>
        <w:rPr>
          <w:rFonts w:ascii="Arial" w:cs="Arial" w:eastAsia="Arial" w:hAnsi="Arial"/>
          <w:sz w:val="22"/>
          <w:szCs w:val="22"/>
        </w:rPr>
        <w:t xml:space="preserve">Three observations follow from this analysis. First, growth policy changes the feasibility of consolidation — the difference between 1.6% and 2.2% sustained growth changes the 2055 debt-to-GDP projection by an estimated 30–40 points — but growth does not substitute for fiscal adjustment. Second, no country has reduced a large debt burden through austerity alone; every successful episode involved some combination of growth, financial repression or favorable interest-rate conditions, and primary surpluses under specific institutional circumstances. Third, sequencing is as important as policy selection — growth-enhancing reforms should precede contractionary measures, and fiscal multiplier evidence argues against front-loaded austerity during weak demand.</w:t>
      </w:r>
    </w:p>
    <w:p>
      <w:pPr>
        <w:spacing w:before="60" w:after="60" w:line="276"/>
      </w:pPr>
      <w:r>
        <w:rPr>
          <w:rFonts w:ascii="Arial" w:cs="Arial" w:eastAsia="Arial" w:hAnsi="Arial"/>
          <w:sz w:val="22"/>
          <w:szCs w:val="22"/>
        </w:rPr>
        <w:t xml:space="preserve">A credible fiscal strategy must specify timing, burden allocation, contingency rules, and distributional effects. Without those elements, a package remains institutionally incomplete.</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11 — Adversarial Interpretation and Key Uncertainties</w:t>
      </w:r>
    </w:p>
    <w:p>
      <w:pPr>
        <w:spacing w:before="60" w:after="60" w:line="276"/>
      </w:pPr>
      <w:r>
        <w:rPr>
          <w:rFonts w:ascii="Arial" w:cs="Arial" w:eastAsia="Arial" w:hAnsi="Arial"/>
          <w:b/>
          <w:bCs/>
          <w:sz w:val="22"/>
          <w:szCs w:val="22"/>
        </w:rPr>
        <w:t xml:space="preserve">Purpose:</w:t>
      </w:r>
      <w:r>
        <w:rPr>
          <w:rFonts w:ascii="Arial" w:cs="Arial" w:eastAsia="Arial" w:hAnsi="Arial"/>
          <w:sz w:val="22"/>
          <w:szCs w:val="22"/>
        </w:rPr>
        <w:t xml:space="preserve"> This section identifies the strongest objections a hostile institutional reviewer would raise against the package proposed in this document. It is included to preempt critique, not to undermine the analysis. A policy document that does not anticipate its own vulnerabilities is not institutionally serious.</w:t>
      </w:r>
    </w:p>
    <w:p>
      <w:pPr>
        <w:spacing w:before="200" w:after="80"/>
      </w:pPr>
      <w:r>
        <w:rPr>
          <w:rFonts w:ascii="Arial" w:cs="Arial" w:eastAsia="Arial" w:hAnsi="Arial"/>
          <w:b/>
          <w:bCs/>
          <w:color w:val="4A5568"/>
          <w:sz w:val="22"/>
          <w:szCs w:val="22"/>
        </w:rPr>
        <w:t xml:space="preserve">10.1 Revenue-side vulnerabilities</w:t>
      </w:r>
    </w:p>
    <w:p>
      <w:pPr>
        <w:spacing w:before="60" w:after="60" w:line="276"/>
      </w:pPr>
      <w:r>
        <w:rPr>
          <w:rFonts w:ascii="Arial" w:cs="Arial" w:eastAsia="Arial" w:hAnsi="Arial"/>
          <w:b/>
          <w:bCs/>
          <w:sz w:val="22"/>
          <w:szCs w:val="22"/>
        </w:rPr>
        <w:t xml:space="preserve">VAT political infeasibility.</w:t>
      </w:r>
      <w:r>
        <w:rPr>
          <w:rFonts w:ascii="Arial" w:cs="Arial" w:eastAsia="Arial" w:hAnsi="Arial"/>
          <w:sz w:val="22"/>
          <w:szCs w:val="22"/>
        </w:rPr>
        <w:t xml:space="preserve"> No US administration has ever successfully introduced a federal VAT. The political economy is unfavorable: conservatives oppose it as a new revenue source that enables larger government; progressives oppose it as regressive without adequate offsetting credits. Every OECD country except the US has a VAT, but the US has rejected it for over 50 years. </w:t>
      </w:r>
      <w:r>
        <w:rPr>
          <w:rFonts w:ascii="Arial" w:cs="Arial" w:eastAsia="Arial" w:hAnsi="Arial"/>
          <w:i/>
          <w:iCs/>
          <w:sz w:val="22"/>
          <w:szCs w:val="22"/>
        </w:rPr>
        <w:t xml:space="preserve">Assessment:</w:t>
      </w:r>
      <w:r>
        <w:rPr>
          <w:rFonts w:ascii="Arial" w:cs="Arial" w:eastAsia="Arial" w:hAnsi="Arial"/>
          <w:sz w:val="22"/>
          <w:szCs w:val="22"/>
        </w:rPr>
        <w:t xml:space="preserve"> the economic case for a VAT is strong; the political path to enactment is the weakest link in the entire package. If the VAT fails politically, approximately $230 billion annually must be sourced from other instruments — and no single alternative of comparable yield exists.</w:t>
      </w:r>
    </w:p>
    <w:p>
      <w:pPr>
        <w:spacing w:before="60" w:after="60" w:line="276"/>
      </w:pPr>
      <w:r>
        <w:rPr>
          <w:rFonts w:ascii="Arial" w:cs="Arial" w:eastAsia="Arial" w:hAnsi="Arial"/>
          <w:b/>
          <w:bCs/>
          <w:sz w:val="22"/>
          <w:szCs w:val="22"/>
        </w:rPr>
        <w:t xml:space="preserve">Tax expenditure rollback difficulty.</w:t>
      </w:r>
      <w:r>
        <w:rPr>
          <w:rFonts w:ascii="Arial" w:cs="Arial" w:eastAsia="Arial" w:hAnsi="Arial"/>
          <w:sz w:val="22"/>
          <w:szCs w:val="22"/>
        </w:rPr>
        <w:t xml:space="preserve"> Each major tax expenditure — the employer health exclusion, mortgage interest deduction, retirement savings preferences, state and local tax deduction — has an organized constituency that has defeated reform for decades. The OBBBA's itemized deduction limitation (JCT: $834 billion/10yr) succeeded only by embedding it within a larger tax-cut bill. </w:t>
      </w:r>
      <w:r>
        <w:rPr>
          <w:rFonts w:ascii="Arial" w:cs="Arial" w:eastAsia="Arial" w:hAnsi="Arial"/>
          <w:i/>
          <w:iCs/>
          <w:sz w:val="22"/>
          <w:szCs w:val="22"/>
        </w:rPr>
        <w:t xml:space="preserve">Assessment:</w:t>
      </w:r>
      <w:r>
        <w:rPr>
          <w:rFonts w:ascii="Arial" w:cs="Arial" w:eastAsia="Arial" w:hAnsi="Arial"/>
          <w:sz w:val="22"/>
          <w:szCs w:val="22"/>
        </w:rPr>
        <w:t xml:space="preserve"> standalone tax expenditure reform has no modern legislative precedent at the scale required by this package. Realistic planning should assume only partial success.</w:t>
      </w:r>
    </w:p>
    <w:p>
      <w:pPr>
        <w:spacing w:before="60" w:after="60" w:line="276"/>
      </w:pPr>
      <w:r>
        <w:rPr>
          <w:rFonts w:ascii="Arial" w:cs="Arial" w:eastAsia="Arial" w:hAnsi="Arial"/>
          <w:b/>
          <w:bCs/>
          <w:sz w:val="22"/>
          <w:szCs w:val="22"/>
        </w:rPr>
        <w:t xml:space="preserve">IRS enforcement yield uncertainty.</w:t>
      </w:r>
      <w:r>
        <w:rPr>
          <w:rFonts w:ascii="Arial" w:cs="Arial" w:eastAsia="Arial" w:hAnsi="Arial"/>
          <w:sz w:val="22"/>
          <w:szCs w:val="22"/>
        </w:rPr>
        <w:t xml:space="preserve"> CBO's IRA scoring of ~$180–204 billion over ten years assumed sustained full-year funding. Actual Congressional appropriations have clawed back approximately $42 billion. If enforcement funding continues to face rescission, realized revenue will fall materially below even the corrected $18–20 billion annual estimate used in this document.</w:t>
      </w:r>
    </w:p>
    <w:p>
      <w:pPr>
        <w:spacing w:before="200" w:after="80"/>
      </w:pPr>
      <w:r>
        <w:rPr>
          <w:rFonts w:ascii="Arial" w:cs="Arial" w:eastAsia="Arial" w:hAnsi="Arial"/>
          <w:b/>
          <w:bCs/>
          <w:color w:val="4A5568"/>
          <w:sz w:val="22"/>
          <w:szCs w:val="22"/>
        </w:rPr>
        <w:t xml:space="preserve">10.2 Spending-side vulnerabilities</w:t>
      </w:r>
    </w:p>
    <w:p>
      <w:pPr>
        <w:spacing w:before="60" w:after="60" w:line="276"/>
      </w:pPr>
      <w:r>
        <w:rPr>
          <w:rFonts w:ascii="Arial" w:cs="Arial" w:eastAsia="Arial" w:hAnsi="Arial"/>
          <w:b/>
          <w:bCs/>
          <w:sz w:val="22"/>
          <w:szCs w:val="22"/>
        </w:rPr>
        <w:t xml:space="preserve">Medicare reform resistance.</w:t>
      </w:r>
      <w:r>
        <w:rPr>
          <w:rFonts w:ascii="Arial" w:cs="Arial" w:eastAsia="Arial" w:hAnsi="Arial"/>
          <w:sz w:val="22"/>
          <w:szCs w:val="22"/>
        </w:rPr>
        <w:t xml:space="preserve"> Every major proposal to reduce Medicare spending — premium increases, MA benchmark reductions, site-neutral payments — generates opposition from providers, insurers, beneficiaries, or all three. The ACA's Medicare spending reductions survived partly because they were paired with coverage expansion. This package includes no comparable sweetener. </w:t>
      </w:r>
      <w:r>
        <w:rPr>
          <w:rFonts w:ascii="Arial" w:cs="Arial" w:eastAsia="Arial" w:hAnsi="Arial"/>
          <w:i/>
          <w:iCs/>
          <w:sz w:val="22"/>
          <w:szCs w:val="22"/>
        </w:rPr>
        <w:t xml:space="preserve">Assessment:</w:t>
      </w:r>
      <w:r>
        <w:rPr>
          <w:rFonts w:ascii="Arial" w:cs="Arial" w:eastAsia="Arial" w:hAnsi="Arial"/>
          <w:sz w:val="22"/>
          <w:szCs w:val="22"/>
        </w:rPr>
        <w:t xml:space="preserve"> healthcare spending reform is the category most likely to be enacted at a fraction of its scored potential.</w:t>
      </w:r>
    </w:p>
    <w:p>
      <w:pPr>
        <w:spacing w:before="60" w:after="60" w:line="276"/>
      </w:pPr>
      <w:r>
        <w:rPr>
          <w:rFonts w:ascii="Arial" w:cs="Arial" w:eastAsia="Arial" w:hAnsi="Arial"/>
          <w:b/>
          <w:bCs/>
          <w:sz w:val="22"/>
          <w:szCs w:val="22"/>
        </w:rPr>
        <w:t xml:space="preserve">Entitlement reform timing.</w:t>
      </w:r>
      <w:r>
        <w:rPr>
          <w:rFonts w:ascii="Arial" w:cs="Arial" w:eastAsia="Arial" w:hAnsi="Arial"/>
          <w:sz w:val="22"/>
          <w:szCs w:val="22"/>
        </w:rPr>
        <w:t xml:space="preserve"> Social Security and Medicare adjustments require long phase-ins (10–20 years) to be politically viable, but the fiscal benefit is back-loaded by the same logic. The trust fund depletion dates (2033 for both OASI and HI) create a hard deadline that compresses the available phase-in period.</w:t>
      </w:r>
    </w:p>
    <w:p>
      <w:pPr>
        <w:spacing w:before="200" w:after="80"/>
      </w:pPr>
      <w:r>
        <w:rPr>
          <w:rFonts w:ascii="Arial" w:cs="Arial" w:eastAsia="Arial" w:hAnsi="Arial"/>
          <w:b/>
          <w:bCs/>
          <w:color w:val="4A5568"/>
          <w:sz w:val="22"/>
          <w:szCs w:val="22"/>
        </w:rPr>
        <w:t xml:space="preserve">10.3 Growth-assumption sensitivity</w:t>
      </w:r>
    </w:p>
    <w:p>
      <w:pPr>
        <w:spacing w:before="60" w:after="60" w:line="276"/>
      </w:pPr>
      <w:r>
        <w:rPr>
          <w:rFonts w:ascii="Arial" w:cs="Arial" w:eastAsia="Arial" w:hAnsi="Arial"/>
          <w:b/>
          <w:bCs/>
          <w:sz w:val="22"/>
          <w:szCs w:val="22"/>
        </w:rPr>
        <w:t xml:space="preserve">Growth is the highest-leverage assumption and the least controllable variable.</w:t>
      </w:r>
      <w:r>
        <w:rPr>
          <w:rFonts w:ascii="Arial" w:cs="Arial" w:eastAsia="Arial" w:hAnsi="Arial"/>
          <w:sz w:val="22"/>
          <w:szCs w:val="22"/>
        </w:rPr>
        <w:t xml:space="preserve"> The difference between 1.6% and 2.2% sustained growth changes the 2055 projection by 30–40 points of GDP. But growth depends on immigration policy (politically unstable), regulatory reform (institutionally contested), R&amp;D investment (subject to appropriations cycles), and global conditions (exogenous). </w:t>
      </w:r>
      <w:r>
        <w:rPr>
          <w:rFonts w:ascii="Arial" w:cs="Arial" w:eastAsia="Arial" w:hAnsi="Arial"/>
          <w:i/>
          <w:iCs/>
          <w:sz w:val="22"/>
          <w:szCs w:val="22"/>
        </w:rPr>
        <w:t xml:space="preserve">Assessment:</w:t>
      </w:r>
      <w:r>
        <w:rPr>
          <w:rFonts w:ascii="Arial" w:cs="Arial" w:eastAsia="Arial" w:hAnsi="Arial"/>
          <w:sz w:val="22"/>
          <w:szCs w:val="22"/>
        </w:rPr>
        <w:t xml:space="preserve"> the package is structurally sound at growth rates between 1.4% and 2.2%, but the margin for error narrows materially at the lower end. If growth averages below 1.6%, the required fiscal adjustment rises from ~4.5% to ~5.5–6.0% of GDP — approaching the outer boundary of historical feasibility.</w:t>
      </w:r>
    </w:p>
    <w:p>
      <w:pPr>
        <w:spacing w:before="200" w:after="80"/>
      </w:pPr>
      <w:r>
        <w:rPr>
          <w:rFonts w:ascii="Arial" w:cs="Arial" w:eastAsia="Arial" w:hAnsi="Arial"/>
          <w:b/>
          <w:bCs/>
          <w:color w:val="4A5568"/>
          <w:sz w:val="22"/>
          <w:szCs w:val="22"/>
        </w:rPr>
        <w:t xml:space="preserve">10.4 Interaction effects and package integrity</w:t>
      </w:r>
    </w:p>
    <w:p>
      <w:pPr>
        <w:spacing w:before="60" w:after="60" w:line="276"/>
      </w:pPr>
      <w:r>
        <w:rPr>
          <w:rFonts w:ascii="Arial" w:cs="Arial" w:eastAsia="Arial" w:hAnsi="Arial"/>
          <w:sz w:val="22"/>
          <w:szCs w:val="22"/>
        </w:rPr>
        <w:t xml:space="preserve">The interaction-effects paragraph in Part 7 (Scenario 2) estimates a 10–20% discount to the gross package total. A hostile reviewer would note that this discount is itself an author estimate, not a scored figure. </w:t>
      </w:r>
      <w:r>
        <w:rPr>
          <w:rFonts w:ascii="Arial" w:cs="Arial" w:eastAsia="Arial" w:hAnsi="Arial"/>
          <w:i/>
          <w:iCs/>
          <w:sz w:val="22"/>
          <w:szCs w:val="22"/>
        </w:rPr>
        <w:t xml:space="preserve">Assessment:</w:t>
      </w:r>
      <w:r>
        <w:rPr>
          <w:rFonts w:ascii="Arial" w:cs="Arial" w:eastAsia="Arial" w:hAnsi="Arial"/>
          <w:sz w:val="22"/>
          <w:szCs w:val="22"/>
        </w:rPr>
        <w:t xml:space="preserve"> the discount range is directionally defensible but imprecise. Under unfavorable behavioral-response assumptions, the effective discount could reach 25–30%, which would require either additional instruments or a longer consolidation timeline. The central judgment — that adjustment of approximately 4–5% of GDP is required — survives even under pessimistic interaction assumptions, but with less margin.</w:t>
      </w:r>
    </w:p>
    <w:p>
      <w:pPr>
        <w:spacing w:before="200" w:after="80"/>
      </w:pPr>
      <w:r>
        <w:rPr>
          <w:rFonts w:ascii="Arial" w:cs="Arial" w:eastAsia="Arial" w:hAnsi="Arial"/>
          <w:b/>
          <w:bCs/>
          <w:color w:val="4A5568"/>
          <w:sz w:val="22"/>
          <w:szCs w:val="22"/>
        </w:rPr>
        <w:t xml:space="preserve">10.5 What would invalidate the analysis</w:t>
      </w:r>
    </w:p>
    <w:p>
      <w:pPr>
        <w:spacing w:before="60" w:after="60" w:line="276"/>
      </w:pPr>
      <w:r>
        <w:rPr>
          <w:rFonts w:ascii="Arial" w:cs="Arial" w:eastAsia="Arial" w:hAnsi="Arial"/>
          <w:sz w:val="22"/>
          <w:szCs w:val="22"/>
        </w:rPr>
        <w:t xml:space="preserve">Three developments would materially weaken the document's central thesis:</w:t>
      </w:r>
    </w:p>
    <w:p>
      <w:pPr>
        <w:spacing w:before="60" w:after="60" w:line="276"/>
      </w:pPr>
      <w:r>
        <w:rPr>
          <w:rFonts w:ascii="Arial" w:cs="Arial" w:eastAsia="Arial" w:hAnsi="Arial"/>
          <w:sz w:val="22"/>
          <w:szCs w:val="22"/>
        </w:rPr>
        <w:t xml:space="preserve">1. </w:t>
      </w:r>
      <w:r>
        <w:rPr>
          <w:rFonts w:ascii="Arial" w:cs="Arial" w:eastAsia="Arial" w:hAnsi="Arial"/>
          <w:b/>
          <w:bCs/>
          <w:sz w:val="22"/>
          <w:szCs w:val="22"/>
        </w:rPr>
        <w:t xml:space="preserve">Sustained r &lt; g without fiscal adjustment.</w:t>
      </w:r>
      <w:r>
        <w:rPr>
          <w:rFonts w:ascii="Arial" w:cs="Arial" w:eastAsia="Arial" w:hAnsi="Arial"/>
          <w:sz w:val="22"/>
          <w:szCs w:val="22"/>
        </w:rPr>
        <w:t xml:space="preserve"> If the safe interest rate remains durably below the growth rate for the next 30 years (as Blanchard's 2019 framework suggests is possible), the urgency of fiscal consolidation diminishes. The document treats this as uncertain rather than settled — but if r &lt; g proves durable, the case for front-loaded consolidation weakens.</w:t>
      </w:r>
    </w:p>
    <w:p>
      <w:pPr>
        <w:spacing w:before="60" w:after="60" w:line="276"/>
      </w:pPr>
      <w:r>
        <w:rPr>
          <w:rFonts w:ascii="Arial" w:cs="Arial" w:eastAsia="Arial" w:hAnsi="Arial"/>
          <w:sz w:val="22"/>
          <w:szCs w:val="22"/>
        </w:rPr>
        <w:t xml:space="preserve">2. </w:t>
      </w:r>
      <w:r>
        <w:rPr>
          <w:rFonts w:ascii="Arial" w:cs="Arial" w:eastAsia="Arial" w:hAnsi="Arial"/>
          <w:b/>
          <w:bCs/>
          <w:sz w:val="22"/>
          <w:szCs w:val="22"/>
        </w:rPr>
        <w:t xml:space="preserve">A successful large-scale fiscal expansion that does not produce inflation or crowding-out.</w:t>
      </w:r>
      <w:r>
        <w:rPr>
          <w:rFonts w:ascii="Arial" w:cs="Arial" w:eastAsia="Arial" w:hAnsi="Arial"/>
          <w:sz w:val="22"/>
          <w:szCs w:val="22"/>
        </w:rPr>
        <w:t xml:space="preserve"> If the MMT view proves correct in practice — that the US can sustain larger primary deficits without adverse consequences — the framework's emphasis on deficit reduction becomes less compelling. The document treats this as empirically unresolved.</w:t>
      </w:r>
    </w:p>
    <w:p>
      <w:pPr>
        <w:spacing w:before="60" w:after="60" w:line="276"/>
      </w:pPr>
      <w:r>
        <w:rPr>
          <w:rFonts w:ascii="Arial" w:cs="Arial" w:eastAsia="Arial" w:hAnsi="Arial"/>
          <w:sz w:val="22"/>
          <w:szCs w:val="22"/>
        </w:rPr>
        <w:t xml:space="preserve">3. </w:t>
      </w:r>
      <w:r>
        <w:rPr>
          <w:rFonts w:ascii="Arial" w:cs="Arial" w:eastAsia="Arial" w:hAnsi="Arial"/>
          <w:b/>
          <w:bCs/>
          <w:sz w:val="22"/>
          <w:szCs w:val="22"/>
        </w:rPr>
        <w:t xml:space="preserve">A technological productivity shock that raises sustained growth above 2.5%.</w:t>
      </w:r>
      <w:r>
        <w:rPr>
          <w:rFonts w:ascii="Arial" w:cs="Arial" w:eastAsia="Arial" w:hAnsi="Arial"/>
          <w:sz w:val="22"/>
          <w:szCs w:val="22"/>
        </w:rPr>
        <w:t xml:space="preserve"> AI-driven productivity gains, if realized at scale, could materially improve the fiscal outlook without policy action. The document does not model this scenario because productivity shocks are inherently unpredictable.</w:t>
      </w:r>
    </w:p>
    <w:p>
      <w:pPr>
        <w:spacing w:before="60" w:after="60" w:line="276"/>
      </w:pPr>
      <w:r>
        <w:rPr>
          <w:rFonts w:ascii="Arial" w:cs="Arial" w:eastAsia="Arial" w:hAnsi="Arial"/>
          <w:i/>
          <w:iCs/>
          <w:sz w:val="22"/>
          <w:szCs w:val="22"/>
        </w:rPr>
        <w:t xml:space="preserve">Assessment:</w:t>
      </w:r>
      <w:r>
        <w:rPr>
          <w:rFonts w:ascii="Arial" w:cs="Arial" w:eastAsia="Arial" w:hAnsi="Arial"/>
          <w:sz w:val="22"/>
          <w:szCs w:val="22"/>
        </w:rPr>
        <w:t xml:space="preserve"> none of these developments is the most likely outcome under current conditions, but each is plausible enough that a responsible document should acknowledge them.</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Appendix A — Ten-Year and Thirty-Year Fiscal Score Framework</w:t>
      </w:r>
    </w:p>
    <w:p>
      <w:pPr>
        <w:spacing w:before="60" w:after="60" w:line="276"/>
      </w:pPr>
      <w:r>
        <w:rPr>
          <w:rFonts w:ascii="Arial" w:cs="Arial" w:eastAsia="Arial" w:hAnsi="Arial"/>
          <w:i/>
          <w:iCs/>
          <w:sz w:val="22"/>
          <w:szCs w:val="22"/>
        </w:rPr>
        <w:t xml:space="preserve">All figures in this appendix are illustrative planning ranges unless otherwise identified as official CBO or JCT scores. They reflect the author's synthesis of available estimates and should not be cited as independently scored values.</w:t>
      </w:r>
    </w:p>
    <w:p>
      <w:pPr>
        <w:spacing w:before="60" w:after="60" w:line="276"/>
      </w:pPr>
      <w:r>
        <w:rPr>
          <w:rFonts w:ascii="Arial" w:cs="Arial" w:eastAsia="Arial" w:hAnsi="Arial"/>
          <w:sz w:val="22"/>
          <w:szCs w:val="22"/>
        </w:rPr>
        <w:t xml:space="preserve">Policies should be judged not only by ten-year savings, but by whether they meaningfully improve debt dynamics in 2045–2055, when demographic pressure and interest costs intensify. This appendix provides both windows.</w:t>
      </w:r>
    </w:p>
    <w:p>
      <w:pPr>
        <w:spacing w:before="280" w:after="120"/>
      </w:pPr>
      <w:r>
        <w:rPr>
          <w:rFonts w:ascii="Arial" w:cs="Arial" w:eastAsia="Arial" w:hAnsi="Arial"/>
          <w:b/>
          <w:bCs/>
          <w:color w:val="1B2A4A"/>
          <w:sz w:val="24"/>
          <w:szCs w:val="24"/>
        </w:rPr>
        <w:t xml:space="preserve">A.1 Ten-Year Window (Legislative-Operational)</w:t>
      </w:r>
    </w:p>
    <w:p>
      <w:pPr>
        <w:spacing w:before="60" w:after="60" w:line="276"/>
      </w:pPr>
      <w:r>
        <w:rPr>
          <w:rFonts w:ascii="Arial" w:cs="Arial" w:eastAsia="Arial" w:hAnsi="Arial"/>
          <w:sz w:val="22"/>
          <w:szCs w:val="22"/>
        </w:rPr>
        <w:t xml:space="preserve">This is the standard budget-scorekeeping horizon. It answers whether near-term implementation is credible, how much deficit reduction is front-loaded, and what happens inside the CBO scoring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Policy Component</w:t>
            </w:r>
          </w:p>
        </w:tc>
        <w:tc>
          <w:tcPr>
            <w:tcW w:type="dxa" w:w="1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Years 1–3</w:t>
            </w:r>
          </w:p>
        </w:tc>
        <w:tc>
          <w:tcPr>
            <w:tcW w:type="dxa" w:w="1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Years 4–10</w:t>
            </w:r>
          </w:p>
        </w:tc>
        <w:tc>
          <w:tcPr>
            <w:tcW w:type="dxa" w:w="1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10-Year Total (Est.)</w:t>
            </w:r>
          </w:p>
        </w:tc>
        <w:tc>
          <w:tcPr>
            <w:tcW w:type="dxa" w:w="1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Admin Lag</w:t>
            </w:r>
          </w:p>
        </w:tc>
        <w:tc>
          <w:tcPr>
            <w:tcW w:type="dxa" w:w="1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Full-Effect Year</w:t>
            </w:r>
          </w:p>
        </w:tc>
        <w:tc>
          <w:tcPr>
            <w:tcW w:type="dxa" w:w="1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Reversal Risk</w:t>
            </w:r>
          </w:p>
        </w:tc>
        <w:tc>
          <w:tcPr>
            <w:tcW w:type="dxa" w:w="1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Source</w:t>
            </w:r>
          </w:p>
        </w:tc>
        <w:tc>
          <w:tcPr>
            <w:tcW w:type="dxa" w:w="1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Score Type</w:t>
            </w:r>
          </w:p>
        </w:tc>
      </w:tr>
      <w:tr>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VAT (5%, narrow base)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initial yield; compliance infrastructure build-out</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Higher after full implementation</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~$1.4–2.0T</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 (18–24 mo.)</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Year 3–4</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once enacted</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has officially scored a 5% broad-base VAT at ~$2.2–3.4T/10yr (Publication 60557, Dec 2024). Narrow-base estimates used here are author-derived adjustments (~40–60% yield reduction for exemptions) and are not independently scored</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Illustrative (author-adjusted from ★ CBO base)</w:t>
            </w:r>
          </w:p>
        </w:tc>
      </w:tr>
      <w:tr>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FICA donut hole ($400K+)</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Immediate payroll collection</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Stable, grows with wage base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~$670–830B</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Year 1</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(legislative)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ITEP July 2023 (~$67–83B/yr gross); 10-year total assumes wage-base growth per SSA intermediate assumptions</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Illustrative planning range (ITEP + SSA)</w:t>
            </w:r>
          </w:p>
        </w:tc>
      </w:tr>
      <w:tr>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IRS enforcement (sustained)</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Small initial; hiring/training lag</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Growing as audit pipeline matures</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~$180–200B</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 (2–3 yr)</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Year 4–5</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 (funding dependent)</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IRA scoring: $180–204B/10yr gross incremental (January 2023; updated estimates vary)</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Official score (CBO)</w:t>
            </w:r>
          </w:p>
        </w:tc>
      </w:tr>
      <w:tr>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Carbon tax ($25/ton +5%/yr)</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upstream collection</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Rising with rate escalator</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~$960B–1.1T</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(12 mo.)</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Year 2</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budget option ($25/ton: ~$96–110B/yr after income-tax offsets); 10-year total reflects rate escalator</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estimate (CBO base rate, escalator projection)</w:t>
            </w:r>
          </w:p>
        </w:tc>
      </w:tr>
      <w:tr>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Chained CPI / SS formula</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Minimal early savings</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Larger as compounding grows</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~$200–350B</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Year 5–7</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once implemented</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December 2024 (~$260B/10yr for chained CPI alone); upper range includes progressive formula changes per SSA actuarial notes</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estimate (CBO + SSA actuary)</w:t>
            </w:r>
          </w:p>
        </w:tc>
      </w:tr>
      <w:tr>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SS retirement age (67→70)</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Near zero</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Small; back-loaded beyond window</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~$50–100B</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Year 8–10+</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budget option; SSA estimates ~35% of 75-year gap closed</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Official score range (CBO)</w:t>
            </w:r>
          </w:p>
        </w:tc>
      </w:tr>
      <w:tr>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Drug pricing expansion</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Stable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~$250–400B</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Year 2–3</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IRA baseline (~$237B/10yr for current scope); upper range assumes expanded statutory scope (more drugs, earlier negotiation)</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estimate (CBO scored base + author scope extension)</w:t>
            </w:r>
          </w:p>
        </w:tc>
      </w:tr>
      <w:tr>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Defense procurement reform</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contract cycle 3–7 yrs</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as new contracts phase in</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~$100–200B</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Very High</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Year 5–7</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 (institutional)</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GAO identifies $187B in annual improper payments government-wide (FY2023); DoD share unclear; BRAC savings historically $2–4B/yr; IT modernization savings not independently scored. Range is author aggregation, not a single scored figure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Illustrative planning range (author synthesis of GAO, CBO BRAC scores)</w:t>
            </w:r>
          </w:p>
        </w:tc>
      </w:tr>
      <w:tr>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Corporate rate to 25%</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Immediate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Stable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~$400–550B</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Year 1</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(legislative)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JCT conventional scoring (~$40–55B/yr for 21→25%); 10-year assumes stable base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Modeled estimate (JCT)</w:t>
            </w:r>
          </w:p>
        </w:tc>
      </w:tr>
      <w:tr>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Tax expenditure caps</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Growing with enforcement</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~$500–800B</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Year 2–3</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 (constituency)</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December 2024: 15% deduction cap ~$200B/10yr (★); employer health exclusion cap ~$128B/10yr (★); remaining range depends on scope (retirement, capital gains preferences, mortgage interest). Upper bound assumes broad scope; lower bound assumes political constraints limit scope to deduction and health caps only</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Illustrative planning range (CBO-scored components + author scope assumptions)</w:t>
            </w:r>
          </w:p>
        </w:tc>
      </w:tr>
      <w:tr>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Step-up basis elimination</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initially</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Growing</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Could generate ~$110–180B</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Year 3–4</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carryover-basis score (~$11–18B/yr)</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Official score range (CBO)</w:t>
            </w:r>
          </w:p>
        </w:tc>
      </w:tr>
      <w:tr>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Growth package (immigration, R&amp;D, permitting)</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Variable by component</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Growing as denominator expands</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Deficit reduction ~$500–900B</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Variable</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Year 3–5</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Moderate-High</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immigration component ~$897B deficit reduction/10yr (★, January 2024); R&amp;D and permitting components not independently scored by CBO as deficit-reduction measures; scored as GDP effect, not direct deficit effect</w:t>
            </w:r>
          </w:p>
        </w:tc>
        <w:tc>
          <w:tcPr>
            <w:tcW w:type="dxa" w:w="1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 Official score (immigration) + ◇ Illustrative (R&amp;D, permitting)</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b/>
          <w:bCs/>
          <w:sz w:val="22"/>
          <w:szCs w:val="22"/>
        </w:rPr>
        <w:t xml:space="preserve">Score-type key:</w:t>
      </w:r>
    </w:p>
    <w:p>
      <w:pPr>
        <w:spacing w:before="60" w:after="60" w:line="276"/>
      </w:pPr>
      <w:r>
        <w:rPr>
          <w:rFonts w:ascii="Arial" w:cs="Arial" w:eastAsia="Arial" w:hAnsi="Arial"/>
          <w:sz w:val="22"/>
          <w:szCs w:val="22"/>
        </w:rPr>
        <w:t xml:space="preserve">- ★ </w:t>
      </w:r>
      <w:r>
        <w:rPr>
          <w:rFonts w:ascii="Arial" w:cs="Arial" w:eastAsia="Arial" w:hAnsi="Arial"/>
          <w:b/>
          <w:bCs/>
          <w:sz w:val="22"/>
          <w:szCs w:val="22"/>
        </w:rPr>
        <w:t xml:space="preserve">Official score</w:t>
      </w:r>
      <w:r>
        <w:rPr>
          <w:rFonts w:ascii="Arial" w:cs="Arial" w:eastAsia="Arial" w:hAnsi="Arial"/>
          <w:sz w:val="22"/>
          <w:szCs w:val="22"/>
        </w:rPr>
        <w:t xml:space="preserve"> = CBO, JCT, or SSA actuary has published a specific score for this or a closely analogous provision</w:t>
      </w:r>
    </w:p>
    <w:p>
      <w:pPr>
        <w:spacing w:before="60" w:after="60" w:line="276"/>
      </w:pPr>
      <w:r>
        <w:rPr>
          <w:rFonts w:ascii="Arial" w:cs="Arial" w:eastAsia="Arial" w:hAnsi="Arial"/>
          <w:sz w:val="22"/>
          <w:szCs w:val="22"/>
        </w:rPr>
        <w:t xml:space="preserve">- ◆ </w:t>
      </w:r>
      <w:r>
        <w:rPr>
          <w:rFonts w:ascii="Arial" w:cs="Arial" w:eastAsia="Arial" w:hAnsi="Arial"/>
          <w:b/>
          <w:bCs/>
          <w:sz w:val="22"/>
          <w:szCs w:val="22"/>
        </w:rPr>
        <w:t xml:space="preserve">Modeled estimate</w:t>
      </w:r>
      <w:r>
        <w:rPr>
          <w:rFonts w:ascii="Arial" w:cs="Arial" w:eastAsia="Arial" w:hAnsi="Arial"/>
          <w:sz w:val="22"/>
          <w:szCs w:val="22"/>
        </w:rPr>
        <w:t xml:space="preserve"> = derived from an identified institutional model (CBO, Treasury, JCT) but applied to a specific design variant not officially scored</w:t>
      </w:r>
    </w:p>
    <w:p>
      <w:pPr>
        <w:spacing w:before="60" w:after="60" w:line="276"/>
      </w:pPr>
      <w:r>
        <w:rPr>
          <w:rFonts w:ascii="Arial" w:cs="Arial" w:eastAsia="Arial" w:hAnsi="Arial"/>
          <w:sz w:val="22"/>
          <w:szCs w:val="22"/>
        </w:rPr>
        <w:t xml:space="preserve">- ◇ </w:t>
      </w:r>
      <w:r>
        <w:rPr>
          <w:rFonts w:ascii="Arial" w:cs="Arial" w:eastAsia="Arial" w:hAnsi="Arial"/>
          <w:b/>
          <w:bCs/>
          <w:sz w:val="22"/>
          <w:szCs w:val="22"/>
        </w:rPr>
        <w:t xml:space="preserve">Illustrative planning range</w:t>
      </w:r>
      <w:r>
        <w:rPr>
          <w:rFonts w:ascii="Arial" w:cs="Arial" w:eastAsia="Arial" w:hAnsi="Arial"/>
          <w:sz w:val="22"/>
          <w:szCs w:val="22"/>
        </w:rPr>
        <w:t xml:space="preserve"> = author synthesis of available estimates; should not be cited as independently scored</w:t>
      </w:r>
    </w:p>
    <w:p>
      <w:pPr>
        <w:spacing w:before="280" w:after="120"/>
      </w:pPr>
      <w:r>
        <w:rPr>
          <w:rFonts w:ascii="Arial" w:cs="Arial" w:eastAsia="Arial" w:hAnsi="Arial"/>
          <w:b/>
          <w:bCs/>
          <w:color w:val="1B2A4A"/>
          <w:sz w:val="24"/>
          <w:szCs w:val="24"/>
        </w:rPr>
        <w:t xml:space="preserve">A.2 Thirty-Year Window (Sustainability)</w:t>
      </w:r>
    </w:p>
    <w:p>
      <w:pPr>
        <w:spacing w:before="60" w:after="60" w:line="276"/>
      </w:pPr>
      <w:r>
        <w:rPr>
          <w:rFonts w:ascii="Arial" w:cs="Arial" w:eastAsia="Arial" w:hAnsi="Arial"/>
          <w:sz w:val="22"/>
          <w:szCs w:val="22"/>
        </w:rPr>
        <w:t xml:space="preserve">This answers whether the package bends the long-run debt curve or merely improves near-term optics.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Policy Component</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2035 Effect</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2045 Effect</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2055 Effect</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Structural or Temporary</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Main Driver</w:t>
            </w:r>
          </w:p>
        </w:tc>
        <w:tc>
          <w:tcPr>
            <w:tcW w:type="dxa" w:w="13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Source</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VAT (broad or narrow base)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Structural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Broad consumption base grows with economy</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option; author synthesis</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FICA reform (cap removal/donut)</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Structural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Aging-linked financing; wage-base growth</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SSA actuary; outside estimates</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Healthcare payment reform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Structural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Bends cost-growth curve; compounding</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scenarios; outside literature</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Growth package (immigration, R&amp;D, permitting)</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Very 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Structural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Denominator expansion + receipt growth</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(immigration); author synthesis (other)</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Carbon tax with escalator</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Structural but base-eroding</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Revenue declines as economy decarbonizes</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outside literature</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Social Security formula/age reform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Structural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Compounding benefit-formula savings</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SSA actuary; CBO options</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IRS enforcement</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Semi-structural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Depends on sustained institutional capacity</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Treasury</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Defense procurement reform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Partially structural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One-time efficiency; doesn't address cost drivers</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Author synthesis; GAO</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Federal workforce reduction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Mostly temporary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One-time level adjustment</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Author estimate</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Tariff revenue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Low-Declining</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Weak / temporary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Shrinking base from trade diversion</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Author synthesis</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Tax expenditure reform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Structural if statutory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Reduces implicit spending permanently</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options; author synthesis</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b/>
          <w:bCs/>
          <w:sz w:val="22"/>
          <w:szCs w:val="22"/>
        </w:rPr>
        <w:t xml:space="preserve">Interpretation:</w:t>
      </w:r>
      <w:r>
        <w:rPr>
          <w:rFonts w:ascii="Arial" w:cs="Arial" w:eastAsia="Arial" w:hAnsi="Arial"/>
          <w:sz w:val="22"/>
          <w:szCs w:val="22"/>
        </w:rPr>
        <w:t xml:space="preserve"> the policies that matter most for 2045–2055 debt dynamics are the VAT, FICA reform, healthcare payment reform, and the growth package. Workforce cuts and tariffs are near-term measures with negligible long-run structural effect.</w:t>
      </w:r>
    </w:p>
    <w:p>
      <w:pPr>
        <w:spacing w:before="280" w:after="120"/>
      </w:pPr>
      <w:r>
        <w:rPr>
          <w:rFonts w:ascii="Arial" w:cs="Arial" w:eastAsia="Arial" w:hAnsi="Arial"/>
          <w:b/>
          <w:bCs/>
          <w:color w:val="1B2A4A"/>
          <w:sz w:val="24"/>
          <w:szCs w:val="24"/>
        </w:rPr>
        <w:t xml:space="preserve">A.3 Score Categories</w:t>
      </w:r>
    </w:p>
    <w:p>
      <w:pPr>
        <w:spacing w:before="60" w:after="60" w:line="276"/>
      </w:pPr>
      <w:r>
        <w:rPr>
          <w:rFonts w:ascii="Arial" w:cs="Arial" w:eastAsia="Arial" w:hAnsi="Arial"/>
          <w:sz w:val="22"/>
          <w:szCs w:val="22"/>
        </w:rPr>
        <w:t xml:space="preserve">For each policy, classify as one of three types:</w:t>
      </w:r>
    </w:p>
    <w:p>
      <w:pPr>
        <w:spacing w:before="60" w:after="60" w:line="276"/>
      </w:pPr>
      <w:r>
        <w:rPr>
          <w:rFonts w:ascii="Arial" w:cs="Arial" w:eastAsia="Arial" w:hAnsi="Arial"/>
          <w:b/>
          <w:bCs/>
          <w:sz w:val="22"/>
          <w:szCs w:val="22"/>
        </w:rPr>
        <w:t xml:space="preserve">Near-term cash raiser:</w:t>
      </w:r>
      <w:r>
        <w:rPr>
          <w:rFonts w:ascii="Arial" w:cs="Arial" w:eastAsia="Arial" w:hAnsi="Arial"/>
          <w:sz w:val="22"/>
          <w:szCs w:val="22"/>
        </w:rPr>
        <w:t xml:space="preserve"> generates revenue quickly but does not structurally change the fiscal trajectory. Examples: corporate rate increase, IRS enforcement (without permanent institutional reform), tariffs.</w:t>
      </w:r>
    </w:p>
    <w:p>
      <w:pPr>
        <w:spacing w:before="60" w:after="60" w:line="276"/>
      </w:pPr>
      <w:r>
        <w:rPr>
          <w:rFonts w:ascii="Arial" w:cs="Arial" w:eastAsia="Arial" w:hAnsi="Arial"/>
          <w:b/>
          <w:bCs/>
          <w:sz w:val="22"/>
          <w:szCs w:val="22"/>
        </w:rPr>
        <w:t xml:space="preserve">Long-term structural stabilizer:</w:t>
      </w:r>
      <w:r>
        <w:rPr>
          <w:rFonts w:ascii="Arial" w:cs="Arial" w:eastAsia="Arial" w:hAnsi="Arial"/>
          <w:sz w:val="22"/>
          <w:szCs w:val="22"/>
        </w:rPr>
        <w:t xml:space="preserve"> changes the underlying growth rate of spending or revenue relative to GDP. Examples: VAT, FICA reform, healthcare payment reform, Social Security formula changes, growth-enhancing policies.</w:t>
      </w:r>
    </w:p>
    <w:p>
      <w:pPr>
        <w:spacing w:before="60" w:after="60" w:line="276"/>
      </w:pPr>
      <w:r>
        <w:rPr>
          <w:rFonts w:ascii="Arial" w:cs="Arial" w:eastAsia="Arial" w:hAnsi="Arial"/>
          <w:b/>
          <w:bCs/>
          <w:sz w:val="22"/>
          <w:szCs w:val="22"/>
        </w:rPr>
        <w:t xml:space="preserve">Bridge / transitional measure:</w:t>
      </w:r>
      <w:r>
        <w:rPr>
          <w:rFonts w:ascii="Arial" w:cs="Arial" w:eastAsia="Arial" w:hAnsi="Arial"/>
          <w:sz w:val="22"/>
          <w:szCs w:val="22"/>
        </w:rPr>
        <w:t xml:space="preserve"> buys time for structural reform but does not itself alter the long-run path. Examples: Section 122 tariffs, discretionary spending caps, temporary surtaxes, workforce reductions.</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a committee-grade package requires a critical mass of long-term structural stabilizers. A package composed primarily of near-term cash raisers and bridge measures may score well over ten years but will not meaningfully improve the 2045–2055 outlook.</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Appendix B — Burden Allocation and Distributional Tables</w:t>
      </w:r>
    </w:p>
    <w:p>
      <w:pPr>
        <w:spacing w:before="280" w:after="120"/>
      </w:pPr>
      <w:r>
        <w:rPr>
          <w:rFonts w:ascii="Arial" w:cs="Arial" w:eastAsia="Arial" w:hAnsi="Arial"/>
          <w:b/>
          <w:bCs/>
          <w:color w:val="1B2A4A"/>
          <w:sz w:val="24"/>
          <w:szCs w:val="24"/>
        </w:rPr>
        <w:t xml:space="preserve">B.1 Burden by Stakeholder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Stakeholder Group</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Main Burden</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Main Benefit</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Timing</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Exposure Level</w:t>
            </w:r>
          </w:p>
        </w:tc>
      </w:tr>
      <w:tr>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Low-income households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VAT and carbon tax unless rebated</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Lower crisis risk; preserved solvency; continued public services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Immediate burden, long-term benefit</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without credits; </w:t>
            </w:r>
            <w:r>
              <w:rPr>
                <w:rFonts w:ascii="Arial" w:cs="Arial" w:eastAsia="Arial" w:hAnsi="Arial"/>
                <w:b/>
                <w:bCs/>
                <w:color w:val="000000"/>
                <w:sz w:val="20"/>
                <w:szCs w:val="20"/>
              </w:rPr>
              <w:t xml:space="preserve">Low</w:t>
            </w:r>
            <w:r>
              <w:rPr>
                <w:rFonts w:ascii="Arial" w:cs="Arial" w:eastAsia="Arial" w:hAnsi="Arial"/>
                <w:color w:val="000000"/>
                <w:sz w:val="20"/>
                <w:szCs w:val="20"/>
              </w:rPr>
              <w:t xml:space="preserve"> with refundable offsets</w:t>
            </w:r>
          </w:p>
        </w:tc>
      </w:tr>
      <w:tr>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 earners (top 5%)</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FICA cap, capital gains reform, estate reform, IRS enforcement</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Macro stability; lower sovereign risk premium; preserved institutional credibility</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Immediate</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Retirees near retirement (60–69)</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SS formula changes if poorly phased</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Trust-fund preservation; avoidance of depletion-triggered benefit reduction</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Delayed</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Moderate-High</w:t>
            </w:r>
            <w:r>
              <w:rPr>
                <w:rFonts w:ascii="Arial" w:cs="Arial" w:eastAsia="Arial" w:hAnsi="Arial"/>
                <w:color w:val="000000"/>
                <w:sz w:val="20"/>
                <w:szCs w:val="20"/>
              </w:rPr>
              <w:t xml:space="preserve"> (design-dependent)</w:t>
            </w:r>
          </w:p>
        </w:tc>
      </w:tr>
      <w:tr>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Younger workers (under 40)</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Payroll and consumption burden</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Long-run solvency; lower interest crowd-out; preserved state fiscal capacity</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Long-term</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w:t>
            </w:r>
          </w:p>
        </w:tc>
      </w:tr>
      <w:tr>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Corporations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Tax reform, carbon pricing, compliance costs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Stable macro conditions; lower sovereign risk; regulatory predictability</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Immediate</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Moderate-High</w:t>
            </w:r>
          </w:p>
        </w:tc>
      </w:tr>
      <w:tr>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Defense contractors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Procurement reform; competitive bidding</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None direct</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Medium-term</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w:t>
            </w:r>
          </w:p>
        </w:tc>
      </w:tr>
      <w:tr>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States and healthcare providers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Healthcare payment reform spillovers; Medicaid changes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System stability; reduced cost-shifting</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Medium-term</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w:t>
            </w:r>
          </w:p>
        </w:tc>
      </w:tr>
      <w:tr>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Federal workforce</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Attrition-based reductions; agency restructuring</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None direct</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Immediate-to-medium</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w:t>
            </w:r>
          </w:p>
        </w:tc>
      </w:tr>
    </w:tbl>
    <w:p>
      <w:pPr>
        <w:spacing w:before="80" w:after="0"/>
      </w:pPr>
      <w:r>
        <w:rPr>
          <w:rFonts w:ascii="Arial" w:cs="Arial" w:eastAsia="Arial" w:hAnsi="Arial"/>
          <w:sz w:val="22"/>
          <w:szCs w:val="22"/>
        </w:rPr>
        <w:t xml:space="preserve"/>
      </w:r>
    </w:p>
    <w:p>
      <w:pPr>
        <w:spacing w:before="280" w:after="120"/>
      </w:pPr>
      <w:r>
        <w:rPr>
          <w:rFonts w:ascii="Arial" w:cs="Arial" w:eastAsia="Arial" w:hAnsi="Arial"/>
          <w:b/>
          <w:bCs/>
          <w:color w:val="1B2A4A"/>
          <w:sz w:val="24"/>
          <w:szCs w:val="24"/>
        </w:rPr>
        <w:t xml:space="preserve">B.2 Burden-Allocation Matrix by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Policy</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Low-Income Households</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High Earners</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Retirees</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Corporations</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States</w:t>
            </w:r>
          </w:p>
        </w:tc>
        <w:tc>
          <w:tcPr>
            <w:tcW w:type="dxa" w:w="13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Federal Admin Burden</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VAT (with rebate)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Medium</w:t>
            </w:r>
            <w:r>
              <w:rPr>
                <w:rFonts w:ascii="Arial" w:cs="Arial" w:eastAsia="Arial" w:hAnsi="Arial"/>
                <w:color w:val="000000"/>
                <w:sz w:val="20"/>
                <w:szCs w:val="20"/>
              </w:rPr>
              <w:t xml:space="preserve"> pre-rebate; </w:t>
            </w:r>
            <w:r>
              <w:rPr>
                <w:rFonts w:ascii="Arial" w:cs="Arial" w:eastAsia="Arial" w:hAnsi="Arial"/>
                <w:b/>
                <w:bCs/>
                <w:color w:val="000000"/>
                <w:sz w:val="20"/>
                <w:szCs w:val="20"/>
              </w:rPr>
              <w:t xml:space="preserve">Low</w:t>
            </w:r>
            <w:r>
              <w:rPr>
                <w:rFonts w:ascii="Arial" w:cs="Arial" w:eastAsia="Arial" w:hAnsi="Arial"/>
                <w:color w:val="000000"/>
                <w:sz w:val="20"/>
                <w:szCs w:val="20"/>
              </w:rPr>
              <w:t xml:space="preserve"> post-rebate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Medium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Medium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(new collection infrastructure)</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FICA donut hole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Corporate rate increase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Medium (via investment returns)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Carbon tax (with dividend)</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Medium</w:t>
            </w:r>
            <w:r>
              <w:rPr>
                <w:rFonts w:ascii="Arial" w:cs="Arial" w:eastAsia="Arial" w:hAnsi="Arial"/>
                <w:color w:val="000000"/>
                <w:sz w:val="20"/>
                <w:szCs w:val="20"/>
              </w:rPr>
              <w:t xml:space="preserve"> pre-dividend; </w:t>
            </w:r>
            <w:r>
              <w:rPr>
                <w:rFonts w:ascii="Arial" w:cs="Arial" w:eastAsia="Arial" w:hAnsi="Arial"/>
                <w:b/>
                <w:bCs/>
                <w:color w:val="000000"/>
                <w:sz w:val="20"/>
                <w:szCs w:val="20"/>
              </w:rPr>
              <w:t xml:space="preserve">Low</w:t>
            </w:r>
            <w:r>
              <w:rPr>
                <w:rFonts w:ascii="Arial" w:cs="Arial" w:eastAsia="Arial" w:hAnsi="Arial"/>
                <w:color w:val="000000"/>
                <w:sz w:val="20"/>
                <w:szCs w:val="20"/>
              </w:rPr>
              <w:t xml:space="preserve"> post-dividend</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Medium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Medium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in carbon-intensive sectors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IRS enforcement</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direct</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Medium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SS retirement age increase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now; </w:t>
            </w: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later for affected cohorts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for future retirees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Chained CPI</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Low-Medium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Medium-High</w:t>
            </w:r>
            <w:r>
              <w:rPr>
                <w:rFonts w:ascii="Arial" w:cs="Arial" w:eastAsia="Arial" w:hAnsi="Arial"/>
                <w:color w:val="000000"/>
                <w:sz w:val="20"/>
                <w:szCs w:val="20"/>
              </w:rPr>
              <w:t xml:space="preserve"> (cumulative over time)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Healthcare payment reform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Low-Medium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Low-Medium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Moderate-High</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Tax expenditure caps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Low-Medium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Medium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r>
    </w:tbl>
    <w:p>
      <w:pPr>
        <w:spacing w:before="80" w:after="0"/>
      </w:pPr>
      <w:r>
        <w:rPr>
          <w:rFonts w:ascii="Arial" w:cs="Arial" w:eastAsia="Arial" w:hAnsi="Arial"/>
          <w:sz w:val="22"/>
          <w:szCs w:val="22"/>
        </w:rPr>
        <w:t xml:space="preserve"/>
      </w:r>
    </w:p>
    <w:p>
      <w:pPr>
        <w:spacing w:before="280" w:after="120"/>
      </w:pPr>
      <w:r>
        <w:rPr>
          <w:rFonts w:ascii="Arial" w:cs="Arial" w:eastAsia="Arial" w:hAnsi="Arial"/>
          <w:b/>
          <w:bCs/>
          <w:color w:val="1B2A4A"/>
          <w:sz w:val="24"/>
          <w:szCs w:val="24"/>
        </w:rPr>
        <w:t xml:space="preserve">B.3 Fairness Design Principles</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a committee-grade package should not only maximize fiscal yield; it should allocate burden in a way that is administratively workable, politically survivable, and socially non-destructive. Three guardrails:</w:t>
      </w:r>
    </w:p>
    <w:p>
      <w:pPr>
        <w:spacing w:before="60" w:after="60" w:line="276"/>
      </w:pPr>
      <w:r>
        <w:rPr>
          <w:rFonts w:ascii="Arial" w:cs="Arial" w:eastAsia="Arial" w:hAnsi="Arial"/>
          <w:sz w:val="22"/>
          <w:szCs w:val="22"/>
        </w:rPr>
        <w:t xml:space="preserve">1. </w:t>
      </w:r>
      <w:r>
        <w:rPr>
          <w:rFonts w:ascii="Arial" w:cs="Arial" w:eastAsia="Arial" w:hAnsi="Arial"/>
          <w:b/>
          <w:bCs/>
          <w:sz w:val="22"/>
          <w:szCs w:val="22"/>
        </w:rPr>
        <w:t xml:space="preserve">Protect the bottom two income quintiles.</w:t>
      </w:r>
      <w:r>
        <w:rPr>
          <w:rFonts w:ascii="Arial" w:cs="Arial" w:eastAsia="Arial" w:hAnsi="Arial"/>
          <w:sz w:val="22"/>
          <w:szCs w:val="22"/>
        </w:rPr>
        <w:t xml:space="preserve"> Any broad-based consumption tax (VAT, carbon tax) must be paired with refundable credits or direct dividends sufficient to hold harmless households in the bottom 40 percent of the income distribution. Pre-compensation regressivity is acceptable; post-compensation regressivity is not.</w:t>
      </w:r>
    </w:p>
    <w:p>
      <w:pPr>
        <w:spacing w:before="60" w:after="60" w:line="276"/>
      </w:pPr>
      <w:r>
        <w:rPr>
          <w:rFonts w:ascii="Arial" w:cs="Arial" w:eastAsia="Arial" w:hAnsi="Arial"/>
          <w:sz w:val="22"/>
          <w:szCs w:val="22"/>
        </w:rPr>
        <w:t xml:space="preserve">2. </w:t>
      </w:r>
      <w:r>
        <w:rPr>
          <w:rFonts w:ascii="Arial" w:cs="Arial" w:eastAsia="Arial" w:hAnsi="Arial"/>
          <w:b/>
          <w:bCs/>
          <w:sz w:val="22"/>
          <w:szCs w:val="22"/>
        </w:rPr>
        <w:t xml:space="preserve">Avoid abrupt changes for near-retirees.</w:t>
      </w:r>
      <w:r>
        <w:rPr>
          <w:rFonts w:ascii="Arial" w:cs="Arial" w:eastAsia="Arial" w:hAnsi="Arial"/>
          <w:sz w:val="22"/>
          <w:szCs w:val="22"/>
        </w:rPr>
        <w:t xml:space="preserve"> No major Social Security eligibility or formula change should apply to individuals within 10 years of current full retirement age. Transition rules should be explicit, publicly announced, and irrevocable once set.</w:t>
      </w:r>
    </w:p>
    <w:p>
      <w:pPr>
        <w:spacing w:before="60" w:after="60" w:line="276"/>
      </w:pPr>
      <w:r>
        <w:rPr>
          <w:rFonts w:ascii="Arial" w:cs="Arial" w:eastAsia="Arial" w:hAnsi="Arial"/>
          <w:sz w:val="22"/>
          <w:szCs w:val="22"/>
        </w:rPr>
        <w:t xml:space="preserve">3. </w:t>
      </w:r>
      <w:r>
        <w:rPr>
          <w:rFonts w:ascii="Arial" w:cs="Arial" w:eastAsia="Arial" w:hAnsi="Arial"/>
          <w:b/>
          <w:bCs/>
          <w:sz w:val="22"/>
          <w:szCs w:val="22"/>
        </w:rPr>
        <w:t xml:space="preserve">Concentrate irreversible burden on actors with greater adjustment capacity.</w:t>
      </w:r>
      <w:r>
        <w:rPr>
          <w:rFonts w:ascii="Arial" w:cs="Arial" w:eastAsia="Arial" w:hAnsi="Arial"/>
          <w:sz w:val="22"/>
          <w:szCs w:val="22"/>
        </w:rPr>
        <w:t xml:space="preserve"> High earners, large corporations, and younger workers with long time horizons can absorb gradual tax increases more effectively than elderly populations on fixed incomes or low-income households with minimal savings buffers.</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Appendix C — Trigger Mechanisms and Fallback Rules</w:t>
      </w:r>
    </w:p>
    <w:p>
      <w:pPr>
        <w:spacing w:before="60" w:after="60" w:line="276"/>
      </w:pPr>
      <w:r>
        <w:rPr>
          <w:rFonts w:ascii="Arial" w:cs="Arial" w:eastAsia="Arial" w:hAnsi="Arial"/>
          <w:sz w:val="22"/>
          <w:szCs w:val="22"/>
        </w:rPr>
        <w:t xml:space="preserve">A fiscal consolidation plan that depends entirely on sustained political will across multiple administrations is a plan that depends on the least reliable variable in the system. Automatic triggers and preauthorized fallback rules reduce that dependency.</w:t>
      </w:r>
    </w:p>
    <w:p>
      <w:pPr>
        <w:spacing w:before="280" w:after="120"/>
      </w:pPr>
      <w:r>
        <w:rPr>
          <w:rFonts w:ascii="Arial" w:cs="Arial" w:eastAsia="Arial" w:hAnsi="Arial"/>
          <w:b/>
          <w:bCs/>
          <w:color w:val="1B2A4A"/>
          <w:sz w:val="24"/>
          <w:szCs w:val="24"/>
        </w:rPr>
        <w:t xml:space="preserve">C.1 Debt-Ratio Trigger</w:t>
      </w:r>
    </w:p>
    <w:p>
      <w:pPr>
        <w:spacing w:before="60" w:after="60" w:line="276"/>
      </w:pPr>
      <w:r>
        <w:rPr>
          <w:rFonts w:ascii="Arial" w:cs="Arial" w:eastAsia="Arial" w:hAnsi="Arial"/>
          <w:b/>
          <w:bCs/>
          <w:sz w:val="22"/>
          <w:szCs w:val="22"/>
        </w:rPr>
        <w:t xml:space="preserve">Rule:</w:t>
      </w:r>
      <w:r>
        <w:rPr>
          <w:rFonts w:ascii="Arial" w:cs="Arial" w:eastAsia="Arial" w:hAnsi="Arial"/>
          <w:sz w:val="22"/>
          <w:szCs w:val="22"/>
        </w:rPr>
        <w:t xml:space="preserve"> If debt held by the public exceeds the projected path (as defined in the most recent CBO baseline at time of enactment) by more than 3 percentage points of GDP for two consecutive fiscal years, a secondary package of preauthorized adjustments takes effect automatically.</w:t>
      </w:r>
    </w:p>
    <w:p>
      <w:pPr>
        <w:spacing w:before="60" w:after="60" w:line="276"/>
      </w:pPr>
      <w:r>
        <w:rPr>
          <w:rFonts w:ascii="Arial" w:cs="Arial" w:eastAsia="Arial" w:hAnsi="Arial"/>
          <w:b/>
          <w:bCs/>
          <w:sz w:val="22"/>
          <w:szCs w:val="22"/>
        </w:rPr>
        <w:t xml:space="preserve">Preauthorized fallback options (illustrative):</w:t>
      </w:r>
    </w:p>
    <w:p>
      <w:pPr>
        <w:spacing w:before="60" w:after="60" w:line="276"/>
      </w:pPr>
      <w:r>
        <w:rPr>
          <w:rFonts w:ascii="Arial" w:cs="Arial" w:eastAsia="Arial" w:hAnsi="Arial"/>
          <w:sz w:val="22"/>
          <w:szCs w:val="22"/>
        </w:rPr>
        <w:t xml:space="preserve">- VAT rate rises from 5% to 6%</w:t>
      </w:r>
    </w:p>
    <w:p>
      <w:pPr>
        <w:spacing w:before="60" w:after="60" w:line="276"/>
      </w:pPr>
      <w:r>
        <w:rPr>
          <w:rFonts w:ascii="Arial" w:cs="Arial" w:eastAsia="Arial" w:hAnsi="Arial"/>
          <w:sz w:val="22"/>
          <w:szCs w:val="22"/>
        </w:rPr>
        <w:t xml:space="preserve">- High-income payroll surtax of 1% activates on earnings above $500,000</w:t>
      </w:r>
    </w:p>
    <w:p>
      <w:pPr>
        <w:spacing w:before="60" w:after="60" w:line="276"/>
      </w:pPr>
      <w:r>
        <w:rPr>
          <w:rFonts w:ascii="Arial" w:cs="Arial" w:eastAsia="Arial" w:hAnsi="Arial"/>
          <w:sz w:val="22"/>
          <w:szCs w:val="22"/>
        </w:rPr>
        <w:t xml:space="preserve">- Itemized deduction cap tightens from 15% to 12% of AGI</w:t>
      </w:r>
    </w:p>
    <w:p>
      <w:pPr>
        <w:spacing w:before="60" w:after="60" w:line="276"/>
      </w:pPr>
      <w:r>
        <w:rPr>
          <w:rFonts w:ascii="Arial" w:cs="Arial" w:eastAsia="Arial" w:hAnsi="Arial"/>
          <w:sz w:val="22"/>
          <w:szCs w:val="22"/>
        </w:rPr>
        <w:t xml:space="preserve">- Discretionary spending growth cap tightens by 0.5 percentage points below baseline</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debt-ratio triggers are structurally sound but politically difficult to make binding. The Gramm-Rudman experience (1985) and BCA sequestration (2013) demonstrate that Congress will override or circumvent triggers under pressure. Credibility requires making the fallback options less painful than the alternatives, so that override is not the path of least resistance.</w:t>
      </w:r>
    </w:p>
    <w:p>
      <w:pPr>
        <w:spacing w:before="280" w:after="120"/>
      </w:pPr>
      <w:r>
        <w:rPr>
          <w:rFonts w:ascii="Arial" w:cs="Arial" w:eastAsia="Arial" w:hAnsi="Arial"/>
          <w:b/>
          <w:bCs/>
          <w:color w:val="1B2A4A"/>
          <w:sz w:val="24"/>
          <w:szCs w:val="24"/>
        </w:rPr>
        <w:t xml:space="preserve">C.2 Interest-Cost Trigger</w:t>
      </w:r>
    </w:p>
    <w:p>
      <w:pPr>
        <w:spacing w:before="60" w:after="60" w:line="276"/>
      </w:pPr>
      <w:r>
        <w:rPr>
          <w:rFonts w:ascii="Arial" w:cs="Arial" w:eastAsia="Arial" w:hAnsi="Arial"/>
          <w:b/>
          <w:bCs/>
          <w:sz w:val="22"/>
          <w:szCs w:val="22"/>
        </w:rPr>
        <w:t xml:space="preserve">Rule:</w:t>
      </w:r>
      <w:r>
        <w:rPr>
          <w:rFonts w:ascii="Arial" w:cs="Arial" w:eastAsia="Arial" w:hAnsi="Arial"/>
          <w:sz w:val="22"/>
          <w:szCs w:val="22"/>
        </w:rPr>
        <w:t xml:space="preserve"> If net interest exceeds 20 percent of federal revenue for two consecutive fiscal years, Treasury and OMB must submit a corrective fiscal package to Congress within 90 days. Pre-specified contingency measures begin within 180 days unless Congress enacts an alternative of equal or greater fiscal effect.</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interest-cost triggers are more politically intuitive than debt-ratio triggers because they connect directly to the lived experience of budget crowding-out. Framing the trigger as "one in five tax dollars going to interest" is easier to communicate than abstract debt-to-GDP ratios.</w:t>
      </w:r>
    </w:p>
    <w:p>
      <w:pPr>
        <w:spacing w:before="280" w:after="120"/>
      </w:pPr>
      <w:r>
        <w:rPr>
          <w:rFonts w:ascii="Arial" w:cs="Arial" w:eastAsia="Arial" w:hAnsi="Arial"/>
          <w:b/>
          <w:bCs/>
          <w:color w:val="1B2A4A"/>
          <w:sz w:val="24"/>
          <w:szCs w:val="24"/>
        </w:rPr>
        <w:t xml:space="preserve">C.3 Trust-Fund Trigger</w:t>
      </w:r>
    </w:p>
    <w:p>
      <w:pPr>
        <w:spacing w:before="60" w:after="60" w:line="276"/>
      </w:pPr>
      <w:r>
        <w:rPr>
          <w:rFonts w:ascii="Arial" w:cs="Arial" w:eastAsia="Arial" w:hAnsi="Arial"/>
          <w:b/>
          <w:bCs/>
          <w:sz w:val="22"/>
          <w:szCs w:val="22"/>
        </w:rPr>
        <w:t xml:space="preserve">Rule:</w:t>
      </w:r>
      <w:r>
        <w:rPr>
          <w:rFonts w:ascii="Arial" w:cs="Arial" w:eastAsia="Arial" w:hAnsi="Arial"/>
          <w:sz w:val="22"/>
          <w:szCs w:val="22"/>
        </w:rPr>
        <w:t xml:space="preserve"> If the Social Security or Medicare Trustees project insolvency of any major trust fund within 8 years, an automatic adjustment package takes effect within 12 months unless Congress enacts an alternative solvency package of equal or greater actuarial value.</w:t>
      </w:r>
    </w:p>
    <w:p>
      <w:pPr>
        <w:spacing w:before="60" w:after="60" w:line="276"/>
      </w:pPr>
      <w:r>
        <w:rPr>
          <w:rFonts w:ascii="Arial" w:cs="Arial" w:eastAsia="Arial" w:hAnsi="Arial"/>
          <w:b/>
          <w:bCs/>
          <w:sz w:val="22"/>
          <w:szCs w:val="22"/>
        </w:rPr>
        <w:t xml:space="preserve">Preauthorized fallback options (illustrative):</w:t>
      </w:r>
    </w:p>
    <w:p>
      <w:pPr>
        <w:spacing w:before="60" w:after="60" w:line="276"/>
      </w:pPr>
      <w:r>
        <w:rPr>
          <w:rFonts w:ascii="Arial" w:cs="Arial" w:eastAsia="Arial" w:hAnsi="Arial"/>
          <w:sz w:val="22"/>
          <w:szCs w:val="22"/>
        </w:rPr>
        <w:t xml:space="preserve">- Payroll tax rate increase of 0.1 percentage point per year until solvency is restored</w:t>
      </w:r>
    </w:p>
    <w:p>
      <w:pPr>
        <w:spacing w:before="60" w:after="60" w:line="276"/>
      </w:pPr>
      <w:r>
        <w:rPr>
          <w:rFonts w:ascii="Arial" w:cs="Arial" w:eastAsia="Arial" w:hAnsi="Arial"/>
          <w:sz w:val="22"/>
          <w:szCs w:val="22"/>
        </w:rPr>
        <w:t xml:space="preserve">- Gradual benefit formula adjustment for new beneficiaries only</w:t>
      </w:r>
    </w:p>
    <w:p>
      <w:pPr>
        <w:spacing w:before="60" w:after="60" w:line="276"/>
      </w:pPr>
      <w:r>
        <w:rPr>
          <w:rFonts w:ascii="Arial" w:cs="Arial" w:eastAsia="Arial" w:hAnsi="Arial"/>
          <w:sz w:val="22"/>
          <w:szCs w:val="22"/>
        </w:rPr>
        <w:t xml:space="preserve">- Retirement-age phase-in of 2 months per year for cohorts more than 10 years from eligibility</w:t>
      </w:r>
    </w:p>
    <w:p>
      <w:pPr>
        <w:spacing w:before="60" w:after="60" w:line="276"/>
      </w:pPr>
      <w:r>
        <w:rPr>
          <w:rFonts w:ascii="Arial" w:cs="Arial" w:eastAsia="Arial" w:hAnsi="Arial"/>
          <w:sz w:val="22"/>
          <w:szCs w:val="22"/>
        </w:rPr>
        <w:t xml:space="preserve">- Hold-harmless rule: no reduction in current-payment benefits for individuals 62 or older at trigger date</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this is the highest-priority trigger because trust-fund depletion is not speculative — it is projected within the decade. Absent legislative action, benefits would be cut automatically and disruptively. A preauthorized adjustment package converts a cliff into a ramp.</w:t>
      </w:r>
    </w:p>
    <w:p>
      <w:pPr>
        <w:spacing w:before="280" w:after="120"/>
      </w:pPr>
      <w:r>
        <w:rPr>
          <w:rFonts w:ascii="Arial" w:cs="Arial" w:eastAsia="Arial" w:hAnsi="Arial"/>
          <w:b/>
          <w:bCs/>
          <w:color w:val="1B2A4A"/>
          <w:sz w:val="24"/>
          <w:szCs w:val="24"/>
        </w:rPr>
        <w:t xml:space="preserve">C.4 Growth-Shortfall Trigger</w:t>
      </w:r>
    </w:p>
    <w:p>
      <w:pPr>
        <w:spacing w:before="60" w:after="60" w:line="276"/>
      </w:pPr>
      <w:r>
        <w:rPr>
          <w:rFonts w:ascii="Arial" w:cs="Arial" w:eastAsia="Arial" w:hAnsi="Arial"/>
          <w:b/>
          <w:bCs/>
          <w:sz w:val="22"/>
          <w:szCs w:val="22"/>
        </w:rPr>
        <w:t xml:space="preserve">Rule:</w:t>
      </w:r>
      <w:r>
        <w:rPr>
          <w:rFonts w:ascii="Arial" w:cs="Arial" w:eastAsia="Arial" w:hAnsi="Arial"/>
          <w:sz w:val="22"/>
          <w:szCs w:val="22"/>
        </w:rPr>
        <w:t xml:space="preserve"> If real GDP growth averages below the CBO baseline by 0.5 percentage points or more over a rolling 3-year period, front-loaded austerity measures are automatically paused and deficit reduction shifts temporarily toward revenue-side stabilizers rather than discretionary spending cuts.</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this prevents self-defeating consolidation during downturns. The UK (2010–2015) and Greece (2010–2015) illustrate the risk: fiscal tightening during weak demand can suppress GDP enough that debt-to-GDP ratios rise rather than fall. A growth-shortfall trigger embeds the IMF's core finding — that fiscal multipliers are substantially higher during recessions — into the enforcement architecture itself.</w:t>
      </w:r>
    </w:p>
    <w:p>
      <w:pPr>
        <w:spacing w:before="280" w:after="120"/>
      </w:pPr>
      <w:r>
        <w:rPr>
          <w:rFonts w:ascii="Arial" w:cs="Arial" w:eastAsia="Arial" w:hAnsi="Arial"/>
          <w:b/>
          <w:bCs/>
          <w:color w:val="1B2A4A"/>
          <w:sz w:val="24"/>
          <w:szCs w:val="24"/>
        </w:rPr>
        <w:t xml:space="preserve">C.5 Sunset-and-Review Rule</w:t>
      </w:r>
    </w:p>
    <w:p>
      <w:pPr>
        <w:spacing w:before="60" w:after="60" w:line="276"/>
      </w:pPr>
      <w:r>
        <w:rPr>
          <w:rFonts w:ascii="Arial" w:cs="Arial" w:eastAsia="Arial" w:hAnsi="Arial"/>
          <w:b/>
          <w:bCs/>
          <w:sz w:val="22"/>
          <w:szCs w:val="22"/>
        </w:rPr>
        <w:t xml:space="preserve">Rule:</w:t>
      </w:r>
      <w:r>
        <w:rPr>
          <w:rFonts w:ascii="Arial" w:cs="Arial" w:eastAsia="Arial" w:hAnsi="Arial"/>
          <w:sz w:val="22"/>
          <w:szCs w:val="22"/>
        </w:rPr>
        <w:t xml:space="preserve"> Every major provision of the consolidation package should include:</w:t>
      </w:r>
    </w:p>
    <w:p>
      <w:pPr>
        <w:spacing w:before="60" w:after="60" w:line="276"/>
      </w:pPr>
      <w:r>
        <w:rPr>
          <w:rFonts w:ascii="Arial" w:cs="Arial" w:eastAsia="Arial" w:hAnsi="Arial"/>
          <w:sz w:val="22"/>
          <w:szCs w:val="22"/>
        </w:rPr>
        <w:t xml:space="preserve">- </w:t>
      </w:r>
      <w:r>
        <w:rPr>
          <w:rFonts w:ascii="Arial" w:cs="Arial" w:eastAsia="Arial" w:hAnsi="Arial"/>
          <w:b/>
          <w:bCs/>
          <w:sz w:val="22"/>
          <w:szCs w:val="22"/>
        </w:rPr>
        <w:t xml:space="preserve">Implementation review at year 3:</w:t>
      </w:r>
      <w:r>
        <w:rPr>
          <w:rFonts w:ascii="Arial" w:cs="Arial" w:eastAsia="Arial" w:hAnsi="Arial"/>
          <w:sz w:val="22"/>
          <w:szCs w:val="22"/>
        </w:rPr>
        <w:t xml:space="preserve"> Is the instrument collecting revenue or generating savings within 20% of projected levels? If not, redesign is triggered.</w:t>
      </w:r>
    </w:p>
    <w:p>
      <w:pPr>
        <w:spacing w:before="60" w:after="60" w:line="276"/>
      </w:pPr>
      <w:r>
        <w:rPr>
          <w:rFonts w:ascii="Arial" w:cs="Arial" w:eastAsia="Arial" w:hAnsi="Arial"/>
          <w:sz w:val="22"/>
          <w:szCs w:val="22"/>
        </w:rPr>
        <w:t xml:space="preserve">- </w:t>
      </w:r>
      <w:r>
        <w:rPr>
          <w:rFonts w:ascii="Arial" w:cs="Arial" w:eastAsia="Arial" w:hAnsi="Arial"/>
          <w:b/>
          <w:bCs/>
          <w:sz w:val="22"/>
          <w:szCs w:val="22"/>
        </w:rPr>
        <w:t xml:space="preserve">Redesign review at year 7:</w:t>
      </w:r>
      <w:r>
        <w:rPr>
          <w:rFonts w:ascii="Arial" w:cs="Arial" w:eastAsia="Arial" w:hAnsi="Arial"/>
          <w:sz w:val="22"/>
          <w:szCs w:val="22"/>
        </w:rPr>
        <w:t xml:space="preserve"> Has the policy generated material unintended consequences? If distributional effects exceed guardrail thresholds (Appendix B), adjustment is mandatory.</w:t>
      </w:r>
    </w:p>
    <w:p>
      <w:pPr>
        <w:spacing w:before="60" w:after="60" w:line="276"/>
      </w:pPr>
      <w:r>
        <w:rPr>
          <w:rFonts w:ascii="Arial" w:cs="Arial" w:eastAsia="Arial" w:hAnsi="Arial"/>
          <w:sz w:val="22"/>
          <w:szCs w:val="22"/>
        </w:rPr>
        <w:t xml:space="preserve">- </w:t>
      </w:r>
      <w:r>
        <w:rPr>
          <w:rFonts w:ascii="Arial" w:cs="Arial" w:eastAsia="Arial" w:hAnsi="Arial"/>
          <w:b/>
          <w:bCs/>
          <w:sz w:val="22"/>
          <w:szCs w:val="22"/>
        </w:rPr>
        <w:t xml:space="preserve">Long-run reaffirmation or sunset at year 10:</w:t>
      </w:r>
      <w:r>
        <w:rPr>
          <w:rFonts w:ascii="Arial" w:cs="Arial" w:eastAsia="Arial" w:hAnsi="Arial"/>
          <w:sz w:val="22"/>
          <w:szCs w:val="22"/>
        </w:rPr>
        <w:t xml:space="preserve"> Major provisions should be subject to structured review and reauthorization procedures, with sunset reserved for temporary or bridge measures rather than core structural stabilizers. Structural provisions (VAT, FICA reform) should require affirmative reauthorization on a longer cycle (15–20 years) rather than automatic expiration.</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sunset rules impose discipline on both proponents and opponents. They prevent policy drift, force periodic evidence review, and create natural renegotiation points. The TCJA expiration experience illustrates the risk of sunsets without reaffirmation architecture — provisions become political hostages rather than structured checkpoints.</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Appendix D — Distributional Effects by Income and Age Cohort</w:t>
      </w:r>
    </w:p>
    <w:p>
      <w:pPr>
        <w:spacing w:before="280" w:after="120"/>
      </w:pPr>
      <w:r>
        <w:rPr>
          <w:rFonts w:ascii="Arial" w:cs="Arial" w:eastAsia="Arial" w:hAnsi="Arial"/>
          <w:b/>
          <w:bCs/>
          <w:color w:val="1B2A4A"/>
          <w:sz w:val="24"/>
          <w:szCs w:val="24"/>
        </w:rPr>
        <w:t xml:space="preserve">D.1 Income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Income Group</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VAT Effect</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FICA Cap Reform</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Carbon Tax</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IRS Enforcement</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Capital Gains / Estate Reform</w:t>
            </w:r>
          </w:p>
        </w:tc>
        <w:tc>
          <w:tcPr>
            <w:tcW w:type="dxa" w:w="13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Net Expected Effect After Credits/Rebates</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Bottom 20%</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Regressive</w:t>
            </w:r>
            <w:r>
              <w:rPr>
                <w:rFonts w:ascii="Arial" w:cs="Arial" w:eastAsia="Arial" w:hAnsi="Arial"/>
                <w:color w:val="000000"/>
                <w:sz w:val="20"/>
                <w:szCs w:val="20"/>
              </w:rPr>
              <w:t xml:space="preserve"> pre-rebate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Minimal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Regressive</w:t>
            </w:r>
            <w:r>
              <w:rPr>
                <w:rFonts w:ascii="Arial" w:cs="Arial" w:eastAsia="Arial" w:hAnsi="Arial"/>
                <w:color w:val="000000"/>
                <w:sz w:val="20"/>
                <w:szCs w:val="20"/>
              </w:rPr>
              <w:t xml:space="preserve"> pre-dividend</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Minimal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Minimal</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Neutral to mildly positive</w:t>
            </w:r>
            <w:r>
              <w:rPr>
                <w:rFonts w:ascii="Arial" w:cs="Arial" w:eastAsia="Arial" w:hAnsi="Arial"/>
                <w:color w:val="000000"/>
                <w:sz w:val="20"/>
                <w:szCs w:val="20"/>
              </w:rPr>
              <w:t xml:space="preserve"> if refundable credit and carbon dividend are adequate</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Second 20%</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Mild burden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Minimal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Mild burden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Minimal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Minimal</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Near neutral</w:t>
            </w:r>
            <w:r>
              <w:rPr>
                <w:rFonts w:ascii="Arial" w:cs="Arial" w:eastAsia="Arial" w:hAnsi="Arial"/>
                <w:color w:val="000000"/>
                <w:sz w:val="20"/>
                <w:szCs w:val="20"/>
              </w:rPr>
              <w:t xml:space="preserve"> with credits</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Middle 20%</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burden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Minimal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burden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Mild burden</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Fourth 20%</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burden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burden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Medium</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Low-Medium</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Moderate burden</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Top 20% (excl. top 1%)</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burden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Medium-High</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 burden</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Top 1%</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Limited VAT share (consumption/income ratio declines)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Variable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 burden</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b/>
          <w:bCs/>
          <w:sz w:val="22"/>
          <w:szCs w:val="22"/>
        </w:rPr>
        <w:t xml:space="preserve">Critical distinction:</w:t>
      </w:r>
      <w:r>
        <w:rPr>
          <w:rFonts w:ascii="Arial" w:cs="Arial" w:eastAsia="Arial" w:hAnsi="Arial"/>
          <w:sz w:val="22"/>
          <w:szCs w:val="22"/>
        </w:rPr>
        <w:t xml:space="preserve"> pre-compensation incidence and post-credit incidence differ substantially for the bottom two quintiles. A 5% VAT without offsets is meaningfully regressive. A 5% VAT paired with a refundable credit of $1,200–$1,500 per adult and $500 per child would hold harmless or modestly benefit the bottom 40%. Cash-flow timing matters: if the VAT is paid monthly at point of sale but the credit is delivered annually via tax filing, households experience a real liquidity burden that the annual net calculation does not capture. Quarterly advance credits mitigate this. </w:t>
      </w:r>
      <w:r>
        <w:rPr>
          <w:rFonts w:ascii="Arial" w:cs="Arial" w:eastAsia="Arial" w:hAnsi="Arial"/>
          <w:b/>
          <w:bCs/>
          <w:sz w:val="22"/>
          <w:szCs w:val="22"/>
        </w:rPr>
        <w:t xml:space="preserve">This principle applies broadly:</w:t>
      </w:r>
      <w:r>
        <w:rPr>
          <w:rFonts w:ascii="Arial" w:cs="Arial" w:eastAsia="Arial" w:hAnsi="Arial"/>
          <w:sz w:val="22"/>
          <w:szCs w:val="22"/>
        </w:rPr>
        <w:t xml:space="preserve"> households may be held harmless in annual incidence terms while still facing meaningful monthly cash-flow stress. The same logic applies to carbon dividends delivered quarterly and payroll adjustments that reduce take-home pay immediately while delivering benefits over decades.</w:t>
      </w:r>
    </w:p>
    <w:p>
      <w:pPr>
        <w:spacing w:before="200" w:after="80"/>
      </w:pPr>
      <w:r>
        <w:rPr>
          <w:rFonts w:ascii="Arial" w:cs="Arial" w:eastAsia="Arial" w:hAnsi="Arial"/>
          <w:b/>
          <w:bCs/>
          <w:color w:val="4A5568"/>
          <w:sz w:val="22"/>
          <w:szCs w:val="22"/>
        </w:rPr>
        <w:t xml:space="preserve">Compact Burden-by-Quintile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Income Quintile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Pre-Compensation Burden (% of income)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Post-Credit/Rebate Burden (% of income)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Largest Exposure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Largest Offset</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Net Assessment</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Bottom 20%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2.5–4.0%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–0.5 to +0.5%</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VAT, carbon tax</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Refundable credit, carbon dividend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Neutral to mildly positive if protections are adequate</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Second 20%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1.5–2.5%</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0.5–1.0%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VAT, carbon tax</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Partial credit phase-out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Mild net burden</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Middle 20%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1.5–2.5%</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1.0–1.5%</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VAT, carbon, payroll</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Limited credit eligibility</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 net burden</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Fourth 20%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2.0–3.0%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1.5–2.5%</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VAT, FICA (partial), carbon, IRS enforcement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Minimal offsets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Moderate-to-high net burden</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Top 20%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3.0–5.0%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3.0–5.0%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FICA cap, capital gains, estate, IRS enforcement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None designed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 net burden</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Top 1%</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4.0–7.0%+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4.0–7.0%+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FICA cap, capital gains, estate, IRS enforcement, corporate pass-through</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None designed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 net burden</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i/>
          <w:iCs/>
          <w:sz w:val="22"/>
          <w:szCs w:val="22"/>
        </w:rPr>
        <w:t xml:space="preserve">All burden estimates are illustrative ranges based on available incidence literature and package design assumptions. Actual incidence depends on statutory design, credit calibration, behavioral response, and economic conditions. Source: author synthesis of CBO distributional analyses, TPC models, and outside literature.</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the package as designed concentrates net post-credit burden on the top two quintiles, with the top 1% bearing the highest proportional burden. The bottom quintile's net position depends entirely on whether refundable credits and carbon dividends are adequate — this is the critical design parameter for distributional legitimacy.</w:t>
      </w:r>
    </w:p>
    <w:p>
      <w:pPr>
        <w:spacing w:before="280" w:after="120"/>
      </w:pPr>
      <w:r>
        <w:rPr>
          <w:rFonts w:ascii="Arial" w:cs="Arial" w:eastAsia="Arial" w:hAnsi="Arial"/>
          <w:b/>
          <w:bCs/>
          <w:color w:val="1B2A4A"/>
          <w:sz w:val="24"/>
          <w:szCs w:val="24"/>
        </w:rPr>
        <w:t xml:space="preserve">D.2 Age-Cohort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Age Cohort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Main Exposure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Main Benefit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Policy Sensitivity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Under 30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VAT, carbon tax, labor-market adjustment effects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Long-run solvency; lower crowd-out; preserved state fiscal capacity; reduced probability of future crisis-level adjustment</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exposure, </w:t>
            </w: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benefit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30–44</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Payroll tax and consumption burden; housing-cost effects of rate changes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Lower future tax shock; improved growth path; trust-fund stability</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exposure, </w:t>
            </w:r>
            <w:r>
              <w:rPr>
                <w:rFonts w:ascii="Arial" w:cs="Arial" w:eastAsia="Arial" w:hAnsi="Arial"/>
                <w:b/>
                <w:bCs/>
                <w:color w:val="000000"/>
                <w:sz w:val="20"/>
                <w:szCs w:val="20"/>
              </w:rPr>
              <w:t xml:space="preserve">high</w:t>
            </w:r>
            <w:r>
              <w:rPr>
                <w:rFonts w:ascii="Arial" w:cs="Arial" w:eastAsia="Arial" w:hAnsi="Arial"/>
                <w:color w:val="000000"/>
                <w:sz w:val="20"/>
                <w:szCs w:val="20"/>
              </w:rPr>
              <w:t xml:space="preserve"> benefit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45–59</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Transitional retirement-policy risk; investment-portfolio effects of capital gains reform</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Reduced trust-fund disorder; avoidance of abrupt benefit cuts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r>
              <w:rPr>
                <w:rFonts w:ascii="Arial" w:cs="Arial" w:eastAsia="Arial" w:hAnsi="Arial"/>
                <w:color w:val="000000"/>
                <w:sz w:val="20"/>
                <w:szCs w:val="20"/>
              </w:rPr>
              <w:t xml:space="preserve"> sensitivity to phase-in design</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60–69</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Benefit-formula adjustment sensitivity; healthcare payment reform effects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Preserved partial solvency; benefit continuity versus depletion cliff</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r>
              <w:rPr>
                <w:rFonts w:ascii="Arial" w:cs="Arial" w:eastAsia="Arial" w:hAnsi="Arial"/>
                <w:color w:val="000000"/>
                <w:sz w:val="20"/>
                <w:szCs w:val="20"/>
              </w:rPr>
              <w:t xml:space="preserve"> sensitivity; requires hold-harmless protections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70+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Least capacity to adjust; fixed-income vulnerability to chained CPI compounding</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Benefit continuity; avoidance of trust-fund exhaustion</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Very High</w:t>
            </w:r>
            <w:r>
              <w:rPr>
                <w:rFonts w:ascii="Arial" w:cs="Arial" w:eastAsia="Arial" w:hAnsi="Arial"/>
                <w:color w:val="000000"/>
                <w:sz w:val="20"/>
                <w:szCs w:val="20"/>
              </w:rPr>
              <w:t xml:space="preserve">; package credibility depends on protecting this cohort</w:t>
            </w:r>
          </w:p>
        </w:tc>
      </w:tr>
    </w:tbl>
    <w:p>
      <w:pPr>
        <w:spacing w:before="80" w:after="0"/>
      </w:pPr>
      <w:r>
        <w:rPr>
          <w:rFonts w:ascii="Arial" w:cs="Arial" w:eastAsia="Arial" w:hAnsi="Arial"/>
          <w:sz w:val="22"/>
          <w:szCs w:val="22"/>
        </w:rPr>
        <w:t xml:space="preserve"/>
      </w:r>
    </w:p>
    <w:p>
      <w:pPr>
        <w:spacing w:before="280" w:after="120"/>
      </w:pPr>
      <w:r>
        <w:rPr>
          <w:rFonts w:ascii="Arial" w:cs="Arial" w:eastAsia="Arial" w:hAnsi="Arial"/>
          <w:b/>
          <w:bCs/>
          <w:color w:val="1B2A4A"/>
          <w:sz w:val="24"/>
          <w:szCs w:val="24"/>
        </w:rPr>
        <w:t xml:space="preserve">D.3 Generational-Balance Framing</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a fiscally serious package should be evaluated not only by aggregate deficit reduction, but by whether it avoids shifting disproportionate adjustment costs onto cohorts least able to adapt — while also reducing the burden of deferred correction on younger generations who would otherwise face larger and more disruptive adjustments later.</w:t>
      </w:r>
    </w:p>
    <w:p>
      <w:pPr>
        <w:spacing w:before="60" w:after="60" w:line="276"/>
      </w:pPr>
      <w:r>
        <w:rPr>
          <w:rFonts w:ascii="Arial" w:cs="Arial" w:eastAsia="Arial" w:hAnsi="Arial"/>
          <w:sz w:val="22"/>
          <w:szCs w:val="22"/>
        </w:rPr>
        <w:t xml:space="preserve">The current trajectory imposes a specific generational injustice: each year of inaction increases the eventual adjustment required, and that adjustment will fall disproportionately on younger cohorts who had no voice in the policy choices that created the debt. Conversely, abrupt benefit cuts for current retirees would impose hardship on a population with minimal ability to adjust income or savings. A defensible package must navigate between these constraints.</w:t>
      </w:r>
    </w:p>
    <w:p>
      <w:pPr>
        <w:spacing w:before="280" w:after="120"/>
      </w:pPr>
      <w:r>
        <w:rPr>
          <w:rFonts w:ascii="Arial" w:cs="Arial" w:eastAsia="Arial" w:hAnsi="Arial"/>
          <w:b/>
          <w:bCs/>
          <w:color w:val="1B2A4A"/>
          <w:sz w:val="24"/>
          <w:szCs w:val="24"/>
        </w:rPr>
        <w:t xml:space="preserve">D.4 Transitional Protection Rules</w:t>
      </w:r>
    </w:p>
    <w:p>
      <w:pPr>
        <w:spacing w:before="60" w:after="60" w:line="276"/>
      </w:pPr>
      <w:r>
        <w:rPr>
          <w:rFonts w:ascii="Arial" w:cs="Arial" w:eastAsia="Arial" w:hAnsi="Arial"/>
          <w:sz w:val="22"/>
          <w:szCs w:val="22"/>
        </w:rPr>
        <w:t xml:space="preserve">The following protections should be explicit, statutory, and irrevocable once set:</w:t>
      </w:r>
    </w:p>
    <w:p>
      <w:pPr>
        <w:spacing w:before="60" w:after="60" w:line="276"/>
      </w:pPr>
      <w:r>
        <w:rPr>
          <w:rFonts w:ascii="Arial" w:cs="Arial" w:eastAsia="Arial" w:hAnsi="Arial"/>
          <w:sz w:val="22"/>
          <w:szCs w:val="22"/>
        </w:rPr>
        <w:t xml:space="preserve">1. </w:t>
      </w:r>
      <w:r>
        <w:rPr>
          <w:rFonts w:ascii="Arial" w:cs="Arial" w:eastAsia="Arial" w:hAnsi="Arial"/>
          <w:b/>
          <w:bCs/>
          <w:sz w:val="22"/>
          <w:szCs w:val="22"/>
        </w:rPr>
        <w:t xml:space="preserve">Social Security hold-harmless:</w:t>
      </w:r>
      <w:r>
        <w:rPr>
          <w:rFonts w:ascii="Arial" w:cs="Arial" w:eastAsia="Arial" w:hAnsi="Arial"/>
          <w:sz w:val="22"/>
          <w:szCs w:val="22"/>
        </w:rPr>
        <w:t xml:space="preserve"> No major eligibility or formula change for individuals within 10 years of current full retirement age at time of enactment. No reduction in current-payment benefits for individuals already receiving benefits.</w:t>
      </w:r>
    </w:p>
    <w:p>
      <w:pPr>
        <w:spacing w:before="60" w:after="60" w:line="276"/>
      </w:pPr>
      <w:r>
        <w:rPr>
          <w:rFonts w:ascii="Arial" w:cs="Arial" w:eastAsia="Arial" w:hAnsi="Arial"/>
          <w:sz w:val="22"/>
          <w:szCs w:val="22"/>
        </w:rPr>
        <w:t xml:space="preserve">2. </w:t>
      </w:r>
      <w:r>
        <w:rPr>
          <w:rFonts w:ascii="Arial" w:cs="Arial" w:eastAsia="Arial" w:hAnsi="Arial"/>
          <w:b/>
          <w:bCs/>
          <w:sz w:val="22"/>
          <w:szCs w:val="22"/>
        </w:rPr>
        <w:t xml:space="preserve">VAT refundable credit:</w:t>
      </w:r>
      <w:r>
        <w:rPr>
          <w:rFonts w:ascii="Arial" w:cs="Arial" w:eastAsia="Arial" w:hAnsi="Arial"/>
          <w:sz w:val="22"/>
          <w:szCs w:val="22"/>
        </w:rPr>
        <w:t xml:space="preserve"> Quarterly advance credit for households below 200% of the federal poverty level, calibrated to fully offset estimated VAT burden. Credit indexed to CPI. Delivered through existing IRS infrastructure (e.g., advance Child Tax Credit mechanism).</w:t>
      </w:r>
    </w:p>
    <w:p>
      <w:pPr>
        <w:spacing w:before="60" w:after="60" w:line="276"/>
      </w:pPr>
      <w:r>
        <w:rPr>
          <w:rFonts w:ascii="Arial" w:cs="Arial" w:eastAsia="Arial" w:hAnsi="Arial"/>
          <w:sz w:val="22"/>
          <w:szCs w:val="22"/>
        </w:rPr>
        <w:t xml:space="preserve">3. </w:t>
      </w:r>
      <w:r>
        <w:rPr>
          <w:rFonts w:ascii="Arial" w:cs="Arial" w:eastAsia="Arial" w:hAnsi="Arial"/>
          <w:b/>
          <w:bCs/>
          <w:sz w:val="22"/>
          <w:szCs w:val="22"/>
        </w:rPr>
        <w:t xml:space="preserve">Carbon dividend:</w:t>
      </w:r>
      <w:r>
        <w:rPr>
          <w:rFonts w:ascii="Arial" w:cs="Arial" w:eastAsia="Arial" w:hAnsi="Arial"/>
          <w:sz w:val="22"/>
          <w:szCs w:val="22"/>
        </w:rPr>
        <w:t xml:space="preserve"> Monthly or quarterly direct payment to all adults, funded from carbon-tax revenue. Alternatively, targeted utility-bill offset for households below 300% of FPL.</w:t>
      </w:r>
    </w:p>
    <w:p>
      <w:pPr>
        <w:spacing w:before="60" w:after="60" w:line="276"/>
      </w:pPr>
      <w:r>
        <w:rPr>
          <w:rFonts w:ascii="Arial" w:cs="Arial" w:eastAsia="Arial" w:hAnsi="Arial"/>
          <w:sz w:val="22"/>
          <w:szCs w:val="22"/>
        </w:rPr>
        <w:t xml:space="preserve">4. </w:t>
      </w:r>
      <w:r>
        <w:rPr>
          <w:rFonts w:ascii="Arial" w:cs="Arial" w:eastAsia="Arial" w:hAnsi="Arial"/>
          <w:b/>
          <w:bCs/>
          <w:sz w:val="22"/>
          <w:szCs w:val="22"/>
        </w:rPr>
        <w:t xml:space="preserve">Phase-in architecture for benefit-formula changes:</w:t>
      </w:r>
      <w:r>
        <w:rPr>
          <w:rFonts w:ascii="Arial" w:cs="Arial" w:eastAsia="Arial" w:hAnsi="Arial"/>
          <w:sz w:val="22"/>
          <w:szCs w:val="22"/>
        </w:rPr>
        <w:t xml:space="preserve"> Any change to the Social Security benefit formula or retirement age phases in over no fewer than 15 years, with annual increments small enough that no single cohort bears a disproportionate adjustment.</w:t>
      </w:r>
    </w:p>
    <w:p>
      <w:pPr>
        <w:spacing w:before="60" w:after="60" w:line="276"/>
      </w:pPr>
      <w:r>
        <w:rPr>
          <w:rFonts w:ascii="Arial" w:cs="Arial" w:eastAsia="Arial" w:hAnsi="Arial"/>
          <w:sz w:val="22"/>
          <w:szCs w:val="22"/>
        </w:rPr>
        <w:t xml:space="preserve">5. </w:t>
      </w:r>
      <w:r>
        <w:rPr>
          <w:rFonts w:ascii="Arial" w:cs="Arial" w:eastAsia="Arial" w:hAnsi="Arial"/>
          <w:b/>
          <w:bCs/>
          <w:sz w:val="22"/>
          <w:szCs w:val="22"/>
        </w:rPr>
        <w:t xml:space="preserve">Disability hold-harmless:</w:t>
      </w:r>
      <w:r>
        <w:rPr>
          <w:rFonts w:ascii="Arial" w:cs="Arial" w:eastAsia="Arial" w:hAnsi="Arial"/>
          <w:sz w:val="22"/>
          <w:szCs w:val="22"/>
        </w:rPr>
        <w:t xml:space="preserve"> No reduction in SSDI or SSI benefits under any trigger or fallback mechanism.</w:t>
      </w:r>
    </w:p>
    <w:p>
      <w:pPr>
        <w:spacing w:before="60" w:after="60" w:line="276"/>
      </w:pPr>
      <w:r>
        <w:rPr>
          <w:rFonts w:ascii="Arial" w:cs="Arial" w:eastAsia="Arial" w:hAnsi="Arial"/>
          <w:b/>
          <w:bCs/>
          <w:sz w:val="22"/>
          <w:szCs w:val="22"/>
        </w:rPr>
        <w:t xml:space="preserve">Assessment:</w:t>
      </w:r>
      <w:r>
        <w:rPr>
          <w:rFonts w:ascii="Arial" w:cs="Arial" w:eastAsia="Arial" w:hAnsi="Arial"/>
          <w:sz w:val="22"/>
          <w:szCs w:val="22"/>
        </w:rPr>
        <w:t xml:space="preserve"> these protections are not optional add-ons; they are structural requirements for political viability and social legitimacy. Historical consolidation episodes that failed to protect vulnerable populations (New Zealand 1984–1994, UK 2010–2015) generated backlash that ultimately undermined the sustainability of the reform program itself.</w:t>
      </w:r>
    </w:p>
    <w:p>
      <w:pPr>
        <w:pBdr>
          <w:bottom w:val="single" w:color="1B2A4A" w:sz="6" w:space="4"/>
        </w:pBdr>
        <w:spacing w:before="120" w:after="120"/>
      </w:pP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Limitations of the Public Record</w:t>
      </w:r>
    </w:p>
    <w:p>
      <w:pPr>
        <w:spacing w:before="60" w:after="60" w:line="276"/>
      </w:pPr>
      <w:r>
        <w:rPr>
          <w:rFonts w:ascii="Arial" w:cs="Arial" w:eastAsia="Arial" w:hAnsi="Arial"/>
          <w:sz w:val="22"/>
          <w:szCs w:val="22"/>
        </w:rPr>
        <w:t xml:space="preserve">The available reporting does not permit a firm conclusion on several matters relevant to this analysis:</w:t>
      </w:r>
    </w:p>
    <w:p>
      <w:pPr>
        <w:spacing w:before="60" w:after="60" w:line="276"/>
      </w:pPr>
      <w:r>
        <w:rPr>
          <w:rFonts w:ascii="Arial" w:cs="Arial" w:eastAsia="Arial" w:hAnsi="Arial"/>
          <w:sz w:val="22"/>
          <w:szCs w:val="22"/>
        </w:rPr>
        <w:t xml:space="preserve">1. The exact interaction effects among simultaneously enacted revenue and spending provisions. The 10–20% interaction discount used in Part 7 (Scenario 2) is an author estimate, not a scored figure. Under pessimistic behavioral-response assumptions, the effective discount could reach 25–30%.</w:t>
      </w:r>
    </w:p>
    <w:p>
      <w:pPr>
        <w:spacing w:before="60" w:after="60" w:line="276"/>
      </w:pPr>
      <w:r>
        <w:rPr>
          <w:rFonts w:ascii="Arial" w:cs="Arial" w:eastAsia="Arial" w:hAnsi="Arial"/>
          <w:sz w:val="22"/>
          <w:szCs w:val="22"/>
        </w:rPr>
        <w:t xml:space="preserve">2. The political feasibility of enacting a federal VAT, which has been rejected by every US administration for over 50 years. If the VAT fails politically, approximately $230 billion annually must be sourced from other instruments, and no single alternative of comparable yield exists.</w:t>
      </w:r>
    </w:p>
    <w:p>
      <w:pPr>
        <w:spacing w:before="60" w:after="60" w:line="276"/>
      </w:pPr>
      <w:r>
        <w:rPr>
          <w:rFonts w:ascii="Arial" w:cs="Arial" w:eastAsia="Arial" w:hAnsi="Arial"/>
          <w:sz w:val="22"/>
          <w:szCs w:val="22"/>
        </w:rPr>
        <w:t xml:space="preserve">3. The speed and magnitude of trust fund depletion responses. The 2033 depletion dates for both OASI and HI create hard deadlines that compress available phase-in periods for reform, but Congressional action timelines are unpredictable.</w:t>
      </w:r>
    </w:p>
    <w:p>
      <w:pPr>
        <w:spacing w:before="60" w:after="60" w:line="276"/>
      </w:pPr>
      <w:r>
        <w:rPr>
          <w:rFonts w:ascii="Arial" w:cs="Arial" w:eastAsia="Arial" w:hAnsi="Arial"/>
          <w:sz w:val="22"/>
          <w:szCs w:val="22"/>
        </w:rPr>
        <w:t xml:space="preserve">4. The future trajectory of interest rates relative to GDP growth. If r &lt; g persists durably, the urgency of front-loaded consolidation diminishes. If r &gt; g materializes, the required adjustment is larger and faster.</w:t>
      </w:r>
    </w:p>
    <w:p>
      <w:pPr>
        <w:spacing w:before="60" w:after="60" w:line="276"/>
      </w:pPr>
      <w:r>
        <w:rPr>
          <w:rFonts w:ascii="Arial" w:cs="Arial" w:eastAsia="Arial" w:hAnsi="Arial"/>
          <w:sz w:val="22"/>
          <w:szCs w:val="22"/>
        </w:rPr>
        <w:t xml:space="preserve">5. The distributional burden matrices in Appendix D are synthesis-grade estimates based on available CBO and TPC incidence literature, not microsimulation output. Actual incidence depends on statutory design, credit calibration, behavioral responses, and economic conditions that this analysis cannot fully specify.</w:t>
      </w:r>
    </w:p>
    <w:p>
      <w:pPr>
        <w:spacing w:before="60" w:after="60" w:line="276"/>
      </w:pPr>
      <w:r>
        <w:rPr>
          <w:rFonts w:ascii="Arial" w:cs="Arial" w:eastAsia="Arial" w:hAnsi="Arial"/>
          <w:sz w:val="22"/>
          <w:szCs w:val="22"/>
        </w:rPr>
        <w:t xml:space="preserve">6. The growth-package components other than immigration (R&amp;D incentives, permitting reform) have not been independently scored by CBO as deficit-reduction measures and should be treated as illustrative.</w:t>
      </w:r>
    </w:p>
    <w:p>
      <w:pPr>
        <w:pBdr>
          <w:bottom w:val="single" w:color="1B2A4A" w:sz="6" w:space="4"/>
        </w:pBdr>
        <w:spacing w:before="120" w:after="120"/>
      </w:pPr>
    </w:p>
    <w:p>
      <w:pPr>
        <w:spacing w:before="200" w:after="80"/>
      </w:pPr>
      <w:r>
        <w:rPr>
          <w:rFonts w:ascii="Arial" w:cs="Arial" w:eastAsia="Arial" w:hAnsi="Arial"/>
          <w:b/>
          <w:bCs/>
          <w:color w:val="4A5568"/>
          <w:sz w:val="22"/>
          <w:szCs w:val="22"/>
        </w:rPr>
        <w:t xml:space="preserve">Revision History</w:t>
      </w:r>
    </w:p>
    <w:p>
      <w:pPr>
        <w:spacing w:before="60" w:after="60" w:line="276"/>
      </w:pPr>
      <w:r>
        <w:rPr>
          <w:rFonts w:ascii="Arial" w:cs="Arial" w:eastAsia="Arial" w:hAnsi="Arial"/>
          <w:sz w:val="22"/>
          <w:szCs w:val="22"/>
        </w:rPr>
        <w:t xml:space="preserve">This document has undergone: (1) hostile institutional review; (2) four committee-grade appendices; (3) independent 93-claim fact-check with 16+ corrections; (4) senior-policy register elevation; (5) 9.5-hardening pass — scoring front sheet, source-bound Appendix A, interaction-effects paragraph; (6) publication-readiness pass — six precision fixes plus adversarial-review section; (7) WP-2026 Style Guide v3.0 formatting; (8) final editorial polish — Canada comparability caveated in decision matrix summary, score labels standardized to ★/◆/◇ syntax across all matrix rows, evaluative phrases flattened, Scenario 2 line items tagged /yr, Section 6→Part 7 cross-reference corrected.</w:t>
      </w:r>
    </w:p>
    <w:p>
      <w:pPr>
        <w:pBdr>
          <w:bottom w:val="single" w:color="1B2A4A" w:sz="6" w:space="4"/>
        </w:pBdr>
        <w:spacing w:before="120" w:after="120"/>
      </w:pPr>
    </w:p>
    <w:p>
      <w:pPr>
        <w:spacing w:before="60" w:after="60" w:line="276"/>
      </w:pPr>
      <w:r>
        <w:rPr>
          <w:rFonts w:ascii="Arial" w:cs="Arial" w:eastAsia="Arial" w:hAnsi="Arial"/>
          <w:b/>
          <w:bCs/>
          <w:sz w:val="22"/>
          <w:szCs w:val="22"/>
        </w:rPr>
        <w:t xml:space="preserve">END OF DOCUMENT — WP-2026 · FISCAL-01 — MARCH 2026 — UNCLASSIFIED // OPEN-SOURCE POLICY ANALYSIS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360"/>
      </w:tabs>
      <w:spacing w:before="80" w:after="0"/>
    </w:pPr>
    <w:r>
      <w:rPr>
        <w:rFonts w:ascii="Arial" w:cs="Arial" w:eastAsia="Arial" w:hAnsi="Arial"/>
        <w:caps/>
        <w:color w:val="4A5568"/>
        <w:sz w:val="16"/>
        <w:szCs w:val="16"/>
      </w:rPr>
      <w:t xml:space="preserve">FISCAL-01 // US FISCAL SUSTAINABILITY — FINAL // WP-2026 SERIES</w:t>
    </w:r>
    <w:r>
      <w:rPr>
        <w:rFonts w:ascii="Arial" w:cs="Arial" w:eastAsia="Arial" w:hAnsi="Arial"/>
        <w:sz w:val="16"/>
        <w:szCs w:val="16"/>
      </w:rPr>
      <w:t xml:space="preserve">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360"/>
      </w:tabs>
      <w:spacing w:before="0" w:after="80"/>
    </w:pPr>
    <w:r>
      <w:rPr>
        <w:rFonts w:ascii="Arial" w:cs="Arial" w:eastAsia="Arial" w:hAnsi="Arial"/>
        <w:caps/>
        <w:color w:val="4A5568"/>
        <w:sz w:val="16"/>
        <w:szCs w:val="16"/>
      </w:rPr>
      <w:t xml:space="preserve">UNCLASSIFIED // FOR EDUCATIONAL AND ANALYTICAL PURPOSES // CENTER FOR COMPETITIVE STATECRAFT AND STRATEGIC POLICY</w:t>
    </w:r>
    <w:r>
      <w:rPr>
        <w:rFonts w:ascii="Arial" w:cs="Arial" w:eastAsia="Arial" w:hAnsi="Arial"/>
        <w:sz w:val="16"/>
        <w:szCs w:val="16"/>
      </w:rPr>
      <w:t xml:space="preserve">	</w:t>
    </w:r>
    <w:r>
      <w:rPr>
        <w:rFonts w:ascii="Arial" w:cs="Arial" w:eastAsia="Arial" w:hAnsi="Arial"/>
        <w:color w:val="4A5568"/>
        <w:sz w:val="16"/>
        <w:szCs w:val="16"/>
      </w:rPr>
      <w:t xml:space="preserve">WP-2026 // FISCAL-01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B2A4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2026-03-29T14:18:50.975Z</dcterms:created>
  <dcterms:modified xsi:type="dcterms:W3CDTF">2026-03-29T14:18:50.976Z</dcterms:modified>
</cp:coreProperties>
</file>

<file path=docProps/custom.xml><?xml version="1.0" encoding="utf-8"?>
<Properties xmlns="http://schemas.openxmlformats.org/officeDocument/2006/custom-properties" xmlns:vt="http://schemas.openxmlformats.org/officeDocument/2006/docPropsVTypes"/>
</file>