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rPr>
          <w:rFonts w:ascii="Arial" w:cs="Arial" w:eastAsia="Arial" w:hAnsi="Arial"/>
          <w:sz w:val="22"/>
          <w:szCs w:val="22"/>
        </w:rPr>
        <w:t xml:space="preserve"/>
      </w:r>
    </w:p>
    <w:p>
      <w:pPr>
        <w:spacing w:before="0" w:after="80"/>
        <w:jc w:val="center"/>
      </w:pPr>
      <w:r>
        <w:rPr>
          <w:rFonts w:ascii="Arial" w:cs="Arial" w:eastAsia="Arial" w:hAnsi="Arial"/>
          <w:b/>
          <w:bCs/>
          <w:caps/>
          <w:color w:val="4A5568"/>
          <w:sz w:val="20"/>
          <w:szCs w:val="20"/>
        </w:rPr>
        <w:t xml:space="preserve">CENTER FOR COMPETITIVE STATECRAFT AND STRATEGIC POLICY</w:t>
      </w:r>
    </w:p>
    <w:p>
      <w:pPr>
        <w:spacing w:before="0" w:after="200"/>
        <w:jc w:val="center"/>
      </w:pPr>
      <w:r>
        <w:rPr>
          <w:rFonts w:ascii="Arial" w:cs="Arial" w:eastAsia="Arial" w:hAnsi="Arial"/>
          <w:b/>
          <w:bCs/>
          <w:color w:val="1B2A4A"/>
          <w:sz w:val="20"/>
          <w:szCs w:val="20"/>
        </w:rPr>
        <w:t xml:space="preserve">WP-2026 SERIES  ·  PAPER TARIFF-01 v9.5</w:t>
      </w:r>
    </w:p>
    <w:p>
      <w:pPr>
        <w:pBdr>
          <w:bottom w:val="single" w:color="1B2A4A" w:sz="12" w:space="8"/>
        </w:pBdr>
        <w:spacing w:before="0" w:after="80"/>
        <w:jc w:val="center"/>
      </w:pPr>
      <w:r>
        <w:rPr>
          <w:rFonts w:ascii="Arial" w:cs="Arial" w:eastAsia="Arial" w:hAnsi="Arial"/>
          <w:b/>
          <w:bCs/>
          <w:color w:val="1B2A4A"/>
          <w:sz w:val="44"/>
          <w:szCs w:val="44"/>
        </w:rPr>
        <w:t xml:space="preserve">US TARIFF ARCHITECTURE</w:t>
      </w:r>
    </w:p>
    <w:p>
      <w:pPr>
        <w:spacing w:before="160" w:after="320"/>
        <w:jc w:val="center"/>
      </w:pPr>
      <w:r>
        <w:rPr>
          <w:rFonts w:ascii="Arial" w:cs="Arial" w:eastAsia="Arial" w:hAnsi="Arial"/>
          <w:i/>
          <w:iCs/>
          <w:color w:val="4A5568"/>
          <w:sz w:val="26"/>
          <w:szCs w:val="26"/>
        </w:rPr>
        <w:t xml:space="preserve">Legal Authorities, Revenue Capacity, and Policy Alternatives — Post-Learning Resources v. Trump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Series</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WP-2026</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Identifier</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TARIFF-01</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Version</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9.5 — Publication-Ready</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Date</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March 2026</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Classification</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UNCLASSIFIED // OPEN-SOURCE POLICY ANALYSIS</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Author</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Collin George</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Affiliation</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Center for Competitive Statecraft and Strategic Policy</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ORCID</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0009-0007-8162-6839</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Score Type</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Independent fiscal and trade policy analysis based on public CBO, JCT, Treasury, USTR, Yale Budget Lab, Tax Foundation, and published academic literature</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Applies To</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Post-*Learning Resources v. Trump* (Feb. 20, 2026) US tariff policy environment</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Supersedes</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Earlier drafts (v1–v5)</w:t>
            </w:r>
          </w:p>
        </w:tc>
      </w:tr>
      <w:tr>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Repository</w:t>
            </w:r>
          </w:p>
        </w:tc>
        <w:tc>
          <w:tcPr>
            <w:tcW w:type="dxa" w:w="7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github.com/collingeorge/WP-2026</w:t>
            </w:r>
          </w:p>
        </w:tc>
      </w:tr>
    </w:tbl>
    <w:p>
      <w:pPr>
        <w:spacing w:before="120" w:after="0"/>
      </w:pPr>
      <w:r>
        <w:rPr>
          <w:rFonts w:ascii="Arial" w:cs="Arial" w:eastAsia="Arial" w:hAnsi="Arial"/>
          <w:sz w:val="22"/>
          <w:szCs w:val="22"/>
        </w:rPr>
        <w:t xml:space="preserve"/>
      </w:r>
    </w:p>
    <w:p>
      <w:pPr>
        <w:pBdr>
          <w:bottom w:val="single" w:color="1B2A4A" w:sz="6" w:space="4"/>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NOTICE</w:t>
            </w:r>
          </w:p>
          <w:p>
            <w:pPr>
              <w:spacing w:before="0" w:after="60"/>
            </w:pPr>
            <w:r>
              <w:rPr>
                <w:rFonts w:ascii="Arial" w:cs="Arial" w:eastAsia="Arial" w:hAnsi="Arial"/>
                <w:color w:val="000000"/>
                <w:sz w:val="20"/>
                <w:szCs w:val="20"/>
              </w:rPr>
              <w:t xml:space="preserve">This document is an independent open-source policy analysis. It is not an official budget score, legislative cost estimate, or institutional assessment. Illustrative planning ranges (◇) should not be cited as independently scored values. The analysis reflects publicly available data as of March 2026 and is subject to revision as new CBO publications, court decisions, or trade-policy developments emerge. Evidentiary confidence varies by section; see Part 8 for zone classification.</w:t>
            </w:r>
          </w:p>
        </w:tc>
      </w:tr>
    </w:tbl>
    <w:p>
      <w:pPr>
        <w:spacing w:before="60" w:after="0"/>
      </w:pPr>
      <w:r>
        <w:rPr>
          <w:rFonts w:ascii="Arial" w:cs="Arial" w:eastAsia="Arial" w:hAnsi="Arial"/>
          <w:sz w:val="22"/>
          <w:szCs w:val="22"/>
        </w:rPr>
        <w:t xml:space="preserve"/>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Methodological Note</w:t>
      </w:r>
    </w:p>
    <w:p>
      <w:pPr>
        <w:spacing w:before="60" w:after="60" w:line="276"/>
      </w:pPr>
      <w:r>
        <w:rPr>
          <w:rFonts w:ascii="Arial" w:cs="Arial" w:eastAsia="Arial" w:hAnsi="Arial"/>
          <w:b/>
          <w:bCs/>
          <w:sz w:val="22"/>
          <w:szCs w:val="22"/>
        </w:rPr>
        <w:t xml:space="preserve">Scoring taxonomy.</w:t>
      </w:r>
      <w:r>
        <w:rPr>
          <w:rFonts w:ascii="Arial" w:cs="Arial" w:eastAsia="Arial" w:hAnsi="Arial"/>
          <w:sz w:val="22"/>
          <w:szCs w:val="22"/>
        </w:rPr>
        <w:t xml:space="preserve"> Every fiscal estimate in this document is classified as ★ Official score (CBO, JCT, or SSA actuary), ◆ Modeled estimate (institutional model applied to a design variant not officially scored), or ◇ Illustrative planning range (author synthesis; not independently scored). See Part 8, Section 8.3 for definitions.</w:t>
      </w:r>
    </w:p>
    <w:p>
      <w:pPr>
        <w:spacing w:before="60" w:after="60" w:line="276"/>
      </w:pPr>
      <w:r>
        <w:rPr>
          <w:rFonts w:ascii="Arial" w:cs="Arial" w:eastAsia="Arial" w:hAnsi="Arial"/>
          <w:b/>
          <w:bCs/>
          <w:sz w:val="22"/>
          <w:szCs w:val="22"/>
        </w:rPr>
        <w:t xml:space="preserve">Confidence convention.</w:t>
      </w:r>
      <w:r>
        <w:rPr>
          <w:rFonts w:ascii="Arial" w:cs="Arial" w:eastAsia="Arial" w:hAnsi="Arial"/>
          <w:sz w:val="22"/>
          <w:szCs w:val="22"/>
        </w:rPr>
        <w:t xml:space="preserve"> This document uses the ODNI-anchored confidence lexicon: HIGH CONFIDENCE (directly supported by official, repeated, consistent reporting), MODERATE CONFIDENCE (supported with gaps, ambiguity, or meaningful inference), LOW CONFIDENCE (plausible inference from limited evidence). Probability terms follow ODNI convention: almost certainly, very likely, likely, roughly even odds, unlikely, very unlikely.</w:t>
      </w:r>
    </w:p>
    <w:p>
      <w:pPr>
        <w:spacing w:before="60" w:after="60" w:line="276"/>
      </w:pPr>
      <w:r>
        <w:rPr>
          <w:rFonts w:ascii="Arial" w:cs="Arial" w:eastAsia="Arial" w:hAnsi="Arial"/>
          <w:b/>
          <w:bCs/>
          <w:sz w:val="22"/>
          <w:szCs w:val="22"/>
        </w:rPr>
        <w:t xml:space="preserve">Claim classification.</w:t>
      </w:r>
      <w:r>
        <w:rPr>
          <w:rFonts w:ascii="Arial" w:cs="Arial" w:eastAsia="Arial" w:hAnsi="Arial"/>
          <w:sz w:val="22"/>
          <w:szCs w:val="22"/>
        </w:rPr>
        <w:t xml:space="preserve"> Verified fact = primary-source anchored. Published model result = calibrated output, model-dependent. Sourced estimate = identified source, approximate. Assessment = analytic inference. Illustrative estimate = directional, not precision claim.</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Key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HIGH CONFIDENCE</w:t>
            </w:r>
          </w:p>
          <w:p>
            <w:pPr>
              <w:spacing w:before="0" w:after="60"/>
            </w:pPr>
            <w:r>
              <w:rPr>
                <w:rFonts w:ascii="Arial" w:cs="Arial" w:eastAsia="Arial" w:hAnsi="Arial"/>
                <w:color w:val="000000"/>
                <w:sz w:val="20"/>
                <w:szCs w:val="20"/>
              </w:rPr>
              <w:t xml:space="preserve">The Supreme Court's February 20, 2026 ruling in </w:t>
            </w:r>
            <w:r>
              <w:rPr>
                <w:rFonts w:ascii="Arial" w:cs="Arial" w:eastAsia="Arial" w:hAnsi="Arial"/>
                <w:i/>
                <w:iCs/>
                <w:color w:val="000000"/>
                <w:sz w:val="20"/>
                <w:szCs w:val="20"/>
              </w:rPr>
              <w:t xml:space="preserve">Learning Resources, Inc. v. Trump</w:t>
            </w:r>
            <w:r>
              <w:rPr>
                <w:rFonts w:ascii="Arial" w:cs="Arial" w:eastAsia="Arial" w:hAnsi="Arial"/>
                <w:color w:val="000000"/>
                <w:sz w:val="20"/>
                <w:szCs w:val="20"/>
              </w:rPr>
              <w:t xml:space="preserve"> foreclosed IEEPA as tariff authority on statutory interpretation grounds; the major questions doctrine analysis is a plurality position (Roberts, Gorsuch, Barrett), not a holding of the Court. [TIER 1 — SCOTUS, </w:t>
            </w:r>
            <w:r>
              <w:rPr>
                <w:rFonts w:ascii="Arial" w:cs="Arial" w:eastAsia="Arial" w:hAnsi="Arial"/>
                <w:i/>
                <w:iCs/>
                <w:color w:val="000000"/>
                <w:sz w:val="20"/>
                <w:szCs w:val="20"/>
              </w:rPr>
              <w:t xml:space="preserve">Learning Resources</w:t>
            </w:r>
            <w:r>
              <w:rPr>
                <w:rFonts w:ascii="Arial" w:cs="Arial" w:eastAsia="Arial" w:hAnsi="Arial"/>
                <w:color w:val="000000"/>
                <w:sz w:val="20"/>
                <w:szCs w:val="20"/>
              </w:rPr>
              <w:t xml:space="preserve">, Feb. 20, 2026]</w:t>
            </w:r>
          </w:p>
        </w:tc>
      </w:tr>
    </w:tbl>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HIGH CONFIDENCE</w:t>
            </w:r>
          </w:p>
          <w:p>
            <w:pPr>
              <w:spacing w:before="0" w:after="60"/>
            </w:pPr>
            <w:r>
              <w:rPr>
                <w:rFonts w:ascii="Arial" w:cs="Arial" w:eastAsia="Arial" w:hAnsi="Arial"/>
                <w:color w:val="000000"/>
                <w:sz w:val="20"/>
                <w:szCs w:val="20"/>
              </w:rPr>
              <w:t xml:space="preserve">Post-</w:t>
            </w:r>
            <w:r>
              <w:rPr>
                <w:rFonts w:ascii="Arial" w:cs="Arial" w:eastAsia="Arial" w:hAnsi="Arial"/>
                <w:i/>
                <w:iCs/>
                <w:color w:val="000000"/>
                <w:sz w:val="20"/>
                <w:szCs w:val="20"/>
              </w:rPr>
              <w:t xml:space="preserve">Learning Resources</w:t>
            </w:r>
            <w:r>
              <w:rPr>
                <w:rFonts w:ascii="Arial" w:cs="Arial" w:eastAsia="Arial" w:hAnsi="Arial"/>
                <w:color w:val="000000"/>
                <w:sz w:val="20"/>
                <w:szCs w:val="20"/>
              </w:rPr>
              <w:t xml:space="preserve">, tariff revenue from remaining authorities (AD/CVD, Section 232, Section 301, Section 122) is estimated at roughly $60–130 billion per year in new revenue — a fraction of the approximately $970 billion in FY2025 net interest. Tariffs almost certainly cannot function as a primary debt-service instrument. [TIER 1 — CBO; TIER 2 — Yale Budget Lab, Tax Foundation, Tax Policy Center]</w:t>
            </w:r>
          </w:p>
        </w:tc>
      </w:tr>
    </w:tbl>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MODERATE CONFIDENCE</w:t>
            </w:r>
          </w:p>
          <w:p>
            <w:pPr>
              <w:spacing w:before="0" w:after="60"/>
            </w:pPr>
            <w:r>
              <w:rPr>
                <w:rFonts w:ascii="Arial" w:cs="Arial" w:eastAsia="Arial" w:hAnsi="Arial"/>
                <w:color w:val="000000"/>
                <w:sz w:val="20"/>
                <w:szCs w:val="20"/>
              </w:rPr>
              <w:t xml:space="preserve">The welfare-maximizing US tariff is likely approximately 9% once the dollar's reserve currency role and US external liabilities are incorporated, per the Itskhoki-Mukhin (2025) calibration. The effective post-SCOTUS rate is approximately 7–10.5% depending on Section 122 status. [TIER 2 — Itskhoki and Mukhin, NBER WP 33839; TIER 1 — CBO; TIER 2 — Yale Budget Lab, March 9, 2026]</w:t>
            </w:r>
          </w:p>
        </w:tc>
      </w:tr>
    </w:tbl>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MODERATE CONFIDENCE</w:t>
            </w:r>
          </w:p>
          <w:p>
            <w:pPr>
              <w:spacing w:before="0" w:after="60"/>
            </w:pPr>
            <w:r>
              <w:rPr>
                <w:rFonts w:ascii="Arial" w:cs="Arial" w:eastAsia="Arial" w:hAnsi="Arial"/>
                <w:color w:val="000000"/>
                <w:sz w:val="20"/>
                <w:szCs w:val="20"/>
              </w:rPr>
              <w:t xml:space="preserve">A broad-based border-adjusted consumption tax would likely generate $230–350 billion annually — comparable to or exceeding elevated tariff revenue — with lower litigation and retaliation exposure, and is generally regarded as more defensible under WTO law than broad unilateral tariffs. The constraint is political: a VAT requires legislation. [TIER 1 — CBO Publication 60557, Dec. 2024; GATT Articles II, III]</w:t>
            </w:r>
          </w:p>
        </w:tc>
      </w:tr>
    </w:tbl>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B2A4A"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E8EDF5" w:val="clear"/>
            <w:tcMar>
              <w:top w:type="dxa" w:w="80"/>
              <w:left w:type="dxa" w:w="120"/>
              <w:bottom w:type="dxa" w:w="80"/>
              <w:right w:type="dxa" w:w="120"/>
            </w:tcMar>
            <w:vAlign w:val="top"/>
          </w:tcPr>
          <w:p>
            <w:pPr>
              <w:spacing w:before="60" w:after="30"/>
            </w:pPr>
            <w:r>
              <w:rPr>
                <w:rFonts w:ascii="Arial" w:cs="Arial" w:eastAsia="Arial" w:hAnsi="Arial"/>
                <w:b/>
                <w:bCs/>
                <w:caps/>
                <w:color w:val="8B6914"/>
                <w:sz w:val="18"/>
                <w:szCs w:val="18"/>
              </w:rPr>
              <w:t xml:space="preserve">MODERATE CONFIDENCE · ANALYTICALLY INFERRED</w:t>
            </w:r>
          </w:p>
          <w:p>
            <w:pPr>
              <w:spacing w:before="0" w:after="60"/>
            </w:pPr>
            <w:r>
              <w:rPr>
                <w:rFonts w:ascii="Arial" w:cs="Arial" w:eastAsia="Arial" w:hAnsi="Arial"/>
                <w:color w:val="000000"/>
                <w:sz w:val="20"/>
                <w:szCs w:val="20"/>
              </w:rPr>
              <w:t xml:space="preserve">Under current judicial and WTO institutional conditions, the most legally durable tariff architecture combines AD/CVD (textually grounded), Section 232 (domestically secure, WTO-inconsistent but weakly enforceable), and Section 301 (domestically upheld, WTO-inconsistent but weakly enforceable). This institutional environment may not persist if the WTO Appellate Body is reconstituted or the 58-member MPIA achieves enforcement capacity. [TIER 1 — statutory text, WTO panel rulings; TIER 2 — Federal Circuit, </w:t>
            </w:r>
            <w:r>
              <w:rPr>
                <w:rFonts w:ascii="Arial" w:cs="Arial" w:eastAsia="Arial" w:hAnsi="Arial"/>
                <w:i/>
                <w:iCs/>
                <w:color w:val="000000"/>
                <w:sz w:val="20"/>
                <w:szCs w:val="20"/>
              </w:rPr>
              <w:t xml:space="preserve">HMTX Industries</w:t>
            </w:r>
            <w:r>
              <w:rPr>
                <w:rFonts w:ascii="Arial" w:cs="Arial" w:eastAsia="Arial" w:hAnsi="Arial"/>
                <w:color w:val="000000"/>
                <w:sz w:val="20"/>
                <w:szCs w:val="20"/>
              </w:rPr>
              <w:t xml:space="preserve">]</w:t>
            </w:r>
          </w:p>
        </w:tc>
      </w:tr>
    </w:tbl>
    <w:p>
      <w:pPr>
        <w:spacing w:before="60" w:after="0"/>
      </w:pPr>
      <w:r>
        <w:rPr>
          <w:rFonts w:ascii="Arial" w:cs="Arial" w:eastAsia="Arial" w:hAnsi="Arial"/>
          <w:sz w:val="22"/>
          <w:szCs w:val="22"/>
        </w:rPr>
        <w:t xml:space="preserve"/>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1 — Legal Authorities After Learning Resources</w:t>
      </w:r>
    </w:p>
    <w:p>
      <w:pPr>
        <w:spacing w:before="200" w:after="80"/>
      </w:pPr>
      <w:r>
        <w:rPr>
          <w:rFonts w:ascii="Arial" w:cs="Arial" w:eastAsia="Arial" w:hAnsi="Arial"/>
          <w:b/>
          <w:bCs/>
          <w:color w:val="4A5568"/>
          <w:sz w:val="22"/>
          <w:szCs w:val="22"/>
        </w:rPr>
        <w:t xml:space="preserve">1.1 The Ruling</w:t>
      </w:r>
    </w:p>
    <w:p>
      <w:pPr>
        <w:spacing w:before="60" w:after="60" w:line="276"/>
      </w:pPr>
      <w:r>
        <w:rPr>
          <w:rFonts w:ascii="Arial" w:cs="Arial" w:eastAsia="Arial" w:hAnsi="Arial"/>
          <w:sz w:val="22"/>
          <w:szCs w:val="22"/>
        </w:rPr>
        <w:t xml:space="preserve">On February 20, 2026, the Supreme Court held 6-3 in </w:t>
      </w:r>
      <w:r>
        <w:rPr>
          <w:rFonts w:ascii="Arial" w:cs="Arial" w:eastAsia="Arial" w:hAnsi="Arial"/>
          <w:i/>
          <w:iCs/>
          <w:sz w:val="22"/>
          <w:szCs w:val="22"/>
        </w:rPr>
        <w:t xml:space="preserve">Learning Resources, Inc. v. Trump</w:t>
      </w:r>
      <w:r>
        <w:rPr>
          <w:rFonts w:ascii="Arial" w:cs="Arial" w:eastAsia="Arial" w:hAnsi="Arial"/>
          <w:sz w:val="22"/>
          <w:szCs w:val="22"/>
        </w:rPr>
        <w:t xml:space="preserve"> that IEEPA does not authorize the imposition of tariffs [TIER 1 — SCOTUS]. Chief Justice Roberts authored the opinion. The Court resolved the case on statutory interpretation grounds: IEEPA's "regulate importation" language does not encompass the power to tax, and tariffs are categorically distinct from regulatory instruments such as sanctions.</w:t>
      </w:r>
    </w:p>
    <w:p>
      <w:pPr>
        <w:spacing w:before="60" w:after="60" w:line="276"/>
      </w:pPr>
      <w:r>
        <w:rPr>
          <w:rFonts w:ascii="Arial" w:cs="Arial" w:eastAsia="Arial" w:hAnsi="Arial"/>
          <w:sz w:val="22"/>
          <w:szCs w:val="22"/>
        </w:rPr>
        <w:t xml:space="preserve">Three justices (Roberts, Gorsuch, Barrett) additionally endorsed a major questions doctrine analysis in Parts II-A-2 and III. Three concurring justices (Kagan, Sotomayor, Jackson) explicitly declined to join that reasoning, resting instead on ordinary statutory interpretation. The MQD analysis is therefore a plurality position, not a holding of the Court. Under the </w:t>
      </w:r>
      <w:r>
        <w:rPr>
          <w:rFonts w:ascii="Arial" w:cs="Arial" w:eastAsia="Arial" w:hAnsi="Arial"/>
          <w:i/>
          <w:iCs/>
          <w:sz w:val="22"/>
          <w:szCs w:val="22"/>
        </w:rPr>
        <w:t xml:space="preserve">Marks v. United States</w:t>
      </w:r>
      <w:r>
        <w:rPr>
          <w:rFonts w:ascii="Arial" w:cs="Arial" w:eastAsia="Arial" w:hAnsi="Arial"/>
          <w:sz w:val="22"/>
          <w:szCs w:val="22"/>
        </w:rPr>
        <w:t xml:space="preserve"> framework, the Kagan concurrence may be treated as the controlling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MAIN UNCERTAINTY</w:t>
            </w:r>
          </w:p>
          <w:p>
            <w:pPr>
              <w:spacing w:before="0" w:after="60"/>
            </w:pPr>
            <w:r>
              <w:rPr>
                <w:rFonts w:ascii="Arial" w:cs="Arial" w:eastAsia="Arial" w:hAnsi="Arial"/>
                <w:color w:val="000000"/>
                <w:sz w:val="20"/>
                <w:szCs w:val="20"/>
              </w:rPr>
              <w:t xml:space="preserve">The plurality status of the MQD analysis leaves open how lower courts will apply </w:t>
            </w:r>
            <w:r>
              <w:rPr>
                <w:rFonts w:ascii="Arial" w:cs="Arial" w:eastAsia="Arial" w:hAnsi="Arial"/>
                <w:i/>
                <w:iCs/>
                <w:color w:val="000000"/>
                <w:sz w:val="20"/>
                <w:szCs w:val="20"/>
              </w:rPr>
              <w:t xml:space="preserve">Learning Resources</w:t>
            </w:r>
            <w:r>
              <w:rPr>
                <w:rFonts w:ascii="Arial" w:cs="Arial" w:eastAsia="Arial" w:hAnsi="Arial"/>
                <w:color w:val="000000"/>
                <w:sz w:val="20"/>
                <w:szCs w:val="20"/>
              </w:rPr>
              <w:t xml:space="preserve"> to other emergency-power statutes. The holding — that IEEPA does not authorize tariffs — is secure. Its broader doctrinal implications are not.</w:t>
            </w:r>
          </w:p>
        </w:tc>
      </w:tr>
    </w:tbl>
    <w:p>
      <w:pPr>
        <w:spacing w:before="60" w:after="0"/>
      </w:pPr>
      <w:r>
        <w:rPr>
          <w:rFonts w:ascii="Arial" w:cs="Arial" w:eastAsia="Arial" w:hAnsi="Arial"/>
          <w:sz w:val="22"/>
          <w:szCs w:val="22"/>
        </w:rPr>
        <w:t xml:space="preserve"/>
      </w:r>
    </w:p>
    <w:p>
      <w:pPr>
        <w:spacing w:before="200" w:after="80"/>
      </w:pPr>
      <w:r>
        <w:rPr>
          <w:rFonts w:ascii="Arial" w:cs="Arial" w:eastAsia="Arial" w:hAnsi="Arial"/>
          <w:b/>
          <w:bCs/>
          <w:color w:val="4A5568"/>
          <w:sz w:val="22"/>
          <w:szCs w:val="22"/>
        </w:rPr>
        <w:t xml:space="preserve">1.2 Remaining Authorities</w:t>
      </w:r>
    </w:p>
    <w:p>
      <w:pPr>
        <w:spacing w:before="60" w:after="60" w:line="276"/>
      </w:pPr>
      <w:r>
        <w:rPr>
          <w:rFonts w:ascii="Arial" w:cs="Arial" w:eastAsia="Arial" w:hAnsi="Arial"/>
          <w:sz w:val="22"/>
          <w:szCs w:val="22"/>
        </w:rPr>
        <w:t xml:space="preserve">The following hierarchy reflects durability under current domestic and international institutional conditions. It is not a prediction of future conditions; WTO Appellate Body restoration or new domestic legislation could alter this ranking.</w:t>
      </w:r>
    </w:p>
    <w:p>
      <w:pPr>
        <w:spacing w:before="60" w:after="60" w:line="276"/>
      </w:pPr>
      <w:r>
        <w:rPr>
          <w:rFonts w:ascii="Arial" w:cs="Arial" w:eastAsia="Arial" w:hAnsi="Arial"/>
          <w:b/>
          <w:bCs/>
          <w:sz w:val="22"/>
          <w:szCs w:val="22"/>
        </w:rPr>
        <w:t xml:space="preserve">Antidumping and countervailing duties</w:t>
      </w:r>
      <w:r>
        <w:rPr>
          <w:rFonts w:ascii="Arial" w:cs="Arial" w:eastAsia="Arial" w:hAnsi="Arial"/>
          <w:sz w:val="22"/>
          <w:szCs w:val="22"/>
        </w:rPr>
        <w:t xml:space="preserve"> are the most textually grounded trade remedy under the current legal framework [TIER 1 — GATT Article VI; WTO Anti-Dumping Agreement; SCM Agreement]. AD/CVD measures are product-specific, evidentiary, and procedurally formalized. The United States maintains hundreds of active AD/CVD orders. Their principal limitation is that they require case-by-case investigation and cannot serve as broad-based revenue instruments.</w:t>
      </w:r>
    </w:p>
    <w:p>
      <w:pPr>
        <w:spacing w:before="60" w:after="60" w:line="276"/>
      </w:pPr>
      <w:r>
        <w:rPr>
          <w:rFonts w:ascii="Arial" w:cs="Arial" w:eastAsia="Arial" w:hAnsi="Arial"/>
          <w:b/>
          <w:bCs/>
          <w:sz w:val="22"/>
          <w:szCs w:val="22"/>
        </w:rPr>
        <w:t xml:space="preserve">Section 232 national security tariffs</w:t>
      </w:r>
      <w:r>
        <w:rPr>
          <w:rFonts w:ascii="Arial" w:cs="Arial" w:eastAsia="Arial" w:hAnsi="Arial"/>
          <w:sz w:val="22"/>
          <w:szCs w:val="22"/>
        </w:rPr>
        <w:t xml:space="preserve"> remain domestically secure under </w:t>
      </w:r>
      <w:r>
        <w:rPr>
          <w:rFonts w:ascii="Arial" w:cs="Arial" w:eastAsia="Arial" w:hAnsi="Arial"/>
          <w:i/>
          <w:iCs/>
          <w:sz w:val="22"/>
          <w:szCs w:val="22"/>
        </w:rPr>
        <w:t xml:space="preserve">Federal Energy Administration v. Algonquin SNG</w:t>
      </w:r>
      <w:r>
        <w:rPr>
          <w:rFonts w:ascii="Arial" w:cs="Arial" w:eastAsia="Arial" w:hAnsi="Arial"/>
          <w:sz w:val="22"/>
          <w:szCs w:val="22"/>
        </w:rPr>
        <w:t xml:space="preserve">, 426 U.S. 548 (1976) [TIER 1]. WTO panels (DS544, DS552, DS556, DS564) found the current steel and aluminum measures inconsistent with GATT Articles I:1, II:1, and XI:1, and rejected the Article XXI(b)(iii) security exception [TIER 1 — WTO panel reports]. However, those rulings presently have limited operational effect because Appellate Body review remains unavailable — the AB lost its quorum on December 10, 2019, and the US has blocked new appointments 91 consecutive times (as of October 2025) [TIER 2 — WTO institutional reporting]. Current Section 232 rates: 50% on steel and aluminum (effective June 4, 2025); 25% on autos (effective April 3, 2025) [TIER 1 — Federal Register].</w:t>
      </w:r>
    </w:p>
    <w:p>
      <w:pPr>
        <w:spacing w:before="60" w:after="60" w:line="276"/>
      </w:pPr>
      <w:r>
        <w:rPr>
          <w:rFonts w:ascii="Arial" w:cs="Arial" w:eastAsia="Arial" w:hAnsi="Arial"/>
          <w:b/>
          <w:bCs/>
          <w:sz w:val="22"/>
          <w:szCs w:val="22"/>
        </w:rPr>
        <w:t xml:space="preserve">Section 301</w:t>
      </w:r>
      <w:r>
        <w:rPr>
          <w:rFonts w:ascii="Arial" w:cs="Arial" w:eastAsia="Arial" w:hAnsi="Arial"/>
          <w:sz w:val="22"/>
          <w:szCs w:val="22"/>
        </w:rPr>
        <w:t xml:space="preserve"> tariffs on China were found WTO-inconsistent in DS543, but that ruling is likewise weakly enforceable [TIER 1 — WTO panel]. The Federal Circuit sustained Lists 3 and 4A in </w:t>
      </w:r>
      <w:r>
        <w:rPr>
          <w:rFonts w:ascii="Arial" w:cs="Arial" w:eastAsia="Arial" w:hAnsi="Arial"/>
          <w:i/>
          <w:iCs/>
          <w:sz w:val="22"/>
          <w:szCs w:val="22"/>
        </w:rPr>
        <w:t xml:space="preserve">HMTX Industries LLC v. United States</w:t>
      </w:r>
      <w:r>
        <w:rPr>
          <w:rFonts w:ascii="Arial" w:cs="Arial" w:eastAsia="Arial" w:hAnsi="Arial"/>
          <w:sz w:val="22"/>
          <w:szCs w:val="22"/>
        </w:rPr>
        <w:t xml:space="preserve">, 156 F.4th 1236 (Fed. Cir. Sept. 25, 2025) [TIER 1]. A certiorari petition (No. 25-1012) was filed February 20, 2026. Current rates range from 7.5% to 100%, with strategic increases on EVs (100%), semiconductors (50%), and solar cells (50%) remaining in force [TIER 1 — USTR Federal Register notices].</w:t>
      </w:r>
    </w:p>
    <w:p>
      <w:pPr>
        <w:spacing w:before="60" w:after="60" w:line="276"/>
      </w:pPr>
      <w:r>
        <w:rPr>
          <w:rFonts w:ascii="Arial" w:cs="Arial" w:eastAsia="Arial" w:hAnsi="Arial"/>
          <w:b/>
          <w:bCs/>
          <w:sz w:val="22"/>
          <w:szCs w:val="22"/>
        </w:rPr>
        <w:t xml:space="preserve">Section 201 safeguard measures</w:t>
      </w:r>
      <w:r>
        <w:rPr>
          <w:rFonts w:ascii="Arial" w:cs="Arial" w:eastAsia="Arial" w:hAnsi="Arial"/>
          <w:sz w:val="22"/>
          <w:szCs w:val="22"/>
        </w:rPr>
        <w:t xml:space="preserve"> are the least durable major authority. The 2003 AB ruling against Bush-era steel safeguards resulted in actual US compliance — the only modern instance where the US repealed tariffs after a WTO ruling [TIER 1 — WTO Appellate Body]. The "unforeseen developments" requirement under GATT Article XIX:1(a) — absent from the US Section 201 statute itself, a tension the US has not resolved — together with mandatory progressive liberalization, an 8-year maximum, and rebalancing rights (WTO Article 8.2) make this authority unsuitable for sustained use.</w:t>
      </w:r>
    </w:p>
    <w:p>
      <w:pPr>
        <w:spacing w:before="60" w:after="60" w:line="276"/>
      </w:pPr>
      <w:r>
        <w:rPr>
          <w:rFonts w:ascii="Arial" w:cs="Arial" w:eastAsia="Arial" w:hAnsi="Arial"/>
          <w:b/>
          <w:bCs/>
          <w:sz w:val="22"/>
          <w:szCs w:val="22"/>
        </w:rPr>
        <w:t xml:space="preserve">Section 122</w:t>
      </w:r>
      <w:r>
        <w:rPr>
          <w:rFonts w:ascii="Arial" w:cs="Arial" w:eastAsia="Arial" w:hAnsi="Arial"/>
          <w:sz w:val="22"/>
          <w:szCs w:val="22"/>
        </w:rPr>
        <w:t xml:space="preserve"> authorizes a temporary import surcharge of up to 15% ad valorem for up to 150 days [TIER 1 — Trade Act of 1974, § 122]. The current rate (initially 10%, later raised to 15%) reflects the administration's chosen rate, not the statutory ceiling. Because it is temporary by statute, Section 122 should be treated as a bridge instrument, not a strategic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Authority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WTO Status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Domestic Status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Resilience</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AD/CVD</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Expressly authorized</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Well-established</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Highest</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Section 232</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WTO-inconsistent; weakly enforceable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Secure (</w:t>
            </w:r>
            <w:r>
              <w:rPr>
                <w:rFonts w:ascii="Arial" w:cs="Arial" w:eastAsia="Arial" w:hAnsi="Arial"/>
                <w:i/>
                <w:iCs/>
                <w:color w:val="000000"/>
                <w:sz w:val="20"/>
                <w:szCs w:val="20"/>
              </w:rPr>
              <w:t xml:space="preserve">Algonquin</w:t>
            </w:r>
            <w:r>
              <w:rPr>
                <w:rFonts w:ascii="Arial" w:cs="Arial" w:eastAsia="Arial" w:hAnsi="Arial"/>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Section 301</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WTO-inconsistent; weakly enforceable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Upheld (</w:t>
            </w:r>
            <w:r>
              <w:rPr>
                <w:rFonts w:ascii="Arial" w:cs="Arial" w:eastAsia="Arial" w:hAnsi="Arial"/>
                <w:i/>
                <w:iCs/>
                <w:color w:val="000000"/>
                <w:sz w:val="20"/>
                <w:szCs w:val="20"/>
              </w:rPr>
              <w:t xml:space="preserve">HMTX</w:t>
            </w:r>
            <w:r>
              <w:rPr>
                <w:rFonts w:ascii="Arial" w:cs="Arial" w:eastAsia="Arial" w:hAnsi="Arial"/>
                <w:color w:val="000000"/>
                <w:sz w:val="20"/>
                <w:szCs w:val="20"/>
              </w:rPr>
              <w:t xml:space="preserve">); cert pending</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Section 122</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Untested</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Untested; legally uncertain</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 (150-day; bridge only)</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Section 201</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Highly vulnerable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Established but constrained</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Low</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IEEPA</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N/A</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Foreclosed as tariff authority</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None</w:t>
            </w:r>
          </w:p>
        </w:tc>
      </w:tr>
    </w:tbl>
    <w:p>
      <w:pPr>
        <w:spacing w:before="80" w:after="0"/>
      </w:pPr>
      <w:r>
        <w:rPr>
          <w:rFonts w:ascii="Arial" w:cs="Arial" w:eastAsia="Arial" w:hAnsi="Arial"/>
          <w:sz w:val="22"/>
          <w:szCs w:val="22"/>
        </w:rPr>
        <w:t xml:space="preserve"/>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2 — Tariff Theory and Empirical Evidence</w:t>
      </w:r>
    </w:p>
    <w:p>
      <w:pPr>
        <w:spacing w:before="200" w:after="80"/>
      </w:pPr>
      <w:r>
        <w:rPr>
          <w:rFonts w:ascii="Arial" w:cs="Arial" w:eastAsia="Arial" w:hAnsi="Arial"/>
          <w:b/>
          <w:bCs/>
          <w:color w:val="4A5568"/>
          <w:sz w:val="22"/>
          <w:szCs w:val="22"/>
        </w:rPr>
        <w:t xml:space="preserve">2.1 Model Results</w:t>
      </w:r>
    </w:p>
    <w:p>
      <w:pPr>
        <w:spacing w:before="60" w:after="60" w:line="276"/>
      </w:pPr>
      <w:r>
        <w:rPr>
          <w:rFonts w:ascii="Arial" w:cs="Arial" w:eastAsia="Arial" w:hAnsi="Arial"/>
          <w:sz w:val="22"/>
          <w:szCs w:val="22"/>
        </w:rPr>
        <w:t xml:space="preserve">In Ossa's multi-country model (</w:t>
      </w:r>
      <w:r>
        <w:rPr>
          <w:rFonts w:ascii="Arial" w:cs="Arial" w:eastAsia="Arial" w:hAnsi="Arial"/>
          <w:i/>
          <w:iCs/>
          <w:sz w:val="22"/>
          <w:szCs w:val="22"/>
        </w:rPr>
        <w:t xml:space="preserve">AER</w:t>
      </w:r>
      <w:r>
        <w:rPr>
          <w:rFonts w:ascii="Arial" w:cs="Arial" w:eastAsia="Arial" w:hAnsi="Arial"/>
          <w:sz w:val="22"/>
          <w:szCs w:val="22"/>
        </w:rPr>
        <w:t xml:space="preserve">, 2014), the calibrated US optimal tariff is 60.3%, yielding an estimated 2.4% real income gain under unilateral action [TIER 2 — peer-reviewed]. In Nash equilibrium, average tariffs rise to approximately 63% and all countries lose, with mean welfare losses of roughly 2.9% of GDP.</w:t>
      </w:r>
    </w:p>
    <w:p>
      <w:pPr>
        <w:spacing w:before="60" w:after="60" w:line="276"/>
      </w:pPr>
      <w:r>
        <w:rPr>
          <w:rFonts w:ascii="Arial" w:cs="Arial" w:eastAsia="Arial" w:hAnsi="Arial"/>
          <w:sz w:val="22"/>
          <w:szCs w:val="22"/>
        </w:rPr>
        <w:t xml:space="preserve">One influential recent model — Itskhoki and Mukhin (NBER WP 33839, 2025) — incorporates the US external balance sheet [TIER 2 — peer-reviewed working paper]. Because the US holds large net foreign dollar-denominated liabilities, tariff-induced real exchange rate appreciation raises the value of those liabilities, creating a negative wealth transfer. In their calibration, this reduces the welfare-maximizing tariff from roughly 34–35% to approximately 9%. The revenue-maximizing tariff remains approximately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MAIN UNCERTAINTY</w:t>
            </w:r>
          </w:p>
          <w:p>
            <w:pPr>
              <w:spacing w:before="0" w:after="60"/>
            </w:pPr>
            <w:r>
              <w:rPr>
                <w:rFonts w:ascii="Arial" w:cs="Arial" w:eastAsia="Arial" w:hAnsi="Arial"/>
                <w:color w:val="000000"/>
                <w:sz w:val="20"/>
                <w:szCs w:val="20"/>
              </w:rPr>
              <w:t xml:space="preserve">These results are model-dependent. Different assumptions about elasticities, capital mobility, and dynamic adjustment could shift the estimates. The direction — that external liabilities reduce the optimal tariff below balanced-trade benchmarks — is robust to reasonable perturbations. The exact magnitude is not.</w:t>
            </w:r>
          </w:p>
        </w:tc>
      </w:tr>
    </w:tbl>
    <w:p>
      <w:pPr>
        <w:spacing w:before="60" w:after="0"/>
      </w:pPr>
      <w:r>
        <w:rPr>
          <w:rFonts w:ascii="Arial" w:cs="Arial" w:eastAsia="Arial" w:hAnsi="Arial"/>
          <w:sz w:val="22"/>
          <w:szCs w:val="22"/>
        </w:rPr>
        <w:t xml:space="preserve"/>
      </w:r>
    </w:p>
    <w:p>
      <w:pPr>
        <w:spacing w:before="200" w:after="80"/>
      </w:pPr>
      <w:r>
        <w:rPr>
          <w:rFonts w:ascii="Arial" w:cs="Arial" w:eastAsia="Arial" w:hAnsi="Arial"/>
          <w:b/>
          <w:bCs/>
          <w:color w:val="4A5568"/>
          <w:sz w:val="22"/>
          <w:szCs w:val="22"/>
        </w:rPr>
        <w:t xml:space="preserve">2.2 Empirical Pass-Through</w:t>
      </w:r>
    </w:p>
    <w:p>
      <w:pPr>
        <w:spacing w:before="60" w:after="60" w:line="276"/>
      </w:pPr>
      <w:r>
        <w:rPr>
          <w:rFonts w:ascii="Arial" w:cs="Arial" w:eastAsia="Arial" w:hAnsi="Arial"/>
          <w:sz w:val="22"/>
          <w:szCs w:val="22"/>
        </w:rPr>
        <w:t xml:space="preserve">Amiti, Redding, and Weinstein (2019, 2020) found complete pass-through of 2018–2019 tariffs to US import prices, with the foreign export price coefficient effectively zero [TIER 2 — peer-reviewed]. Fajgelbaum, Goldberg, Kennedy, and Khandelwal (</w:t>
      </w:r>
      <w:r>
        <w:rPr>
          <w:rFonts w:ascii="Arial" w:cs="Arial" w:eastAsia="Arial" w:hAnsi="Arial"/>
          <w:i/>
          <w:iCs/>
          <w:sz w:val="22"/>
          <w:szCs w:val="22"/>
        </w:rPr>
        <w:t xml:space="preserve">QJE</w:t>
      </w:r>
      <w:r>
        <w:rPr>
          <w:rFonts w:ascii="Arial" w:cs="Arial" w:eastAsia="Arial" w:hAnsi="Arial"/>
          <w:sz w:val="22"/>
          <w:szCs w:val="22"/>
        </w:rPr>
        <w:t xml:space="preserve">, 2020) confirmed complete pass-through, estimating annual losses of approximately $51 billion (0.27% of GDP) and net welfare losses of approximately $7.2 billion (0.04% of GDP) [TIER 2 — peer-reviewed].</w:t>
      </w:r>
    </w:p>
    <w:p>
      <w:pPr>
        <w:spacing w:before="60" w:after="60" w:line="276"/>
      </w:pPr>
      <w:r>
        <w:rPr>
          <w:rFonts w:ascii="Arial" w:cs="Arial" w:eastAsia="Arial" w:hAnsi="Arial"/>
          <w:sz w:val="22"/>
          <w:szCs w:val="22"/>
        </w:rPr>
        <w:t xml:space="preserve">The reconciliation with optimal tariff theory lies in time horizons. Short-run trade elasticities (~–0.76) converge to –1.75 to –2.25 over 7–10 years (Boehm, Levchenko, and Pandalai-Nayar, </w:t>
      </w:r>
      <w:r>
        <w:rPr>
          <w:rFonts w:ascii="Arial" w:cs="Arial" w:eastAsia="Arial" w:hAnsi="Arial"/>
          <w:i/>
          <w:iCs/>
          <w:sz w:val="22"/>
          <w:szCs w:val="22"/>
        </w:rPr>
        <w:t xml:space="preserve">AER</w:t>
      </w:r>
      <w:r>
        <w:rPr>
          <w:rFonts w:ascii="Arial" w:cs="Arial" w:eastAsia="Arial" w:hAnsi="Arial"/>
          <w:sz w:val="22"/>
          <w:szCs w:val="22"/>
        </w:rPr>
        <w:t xml:space="preserve">, 2023) [TIER 2]. Irwin (2014) found that in US sugar markets, where the US consumed more than 20% of world production, approximately 60% of tariff increases were borne by foreign exporters over longer periods [TIER 2].</w:t>
      </w:r>
    </w:p>
    <w:p>
      <w:pPr>
        <w:spacing w:before="60" w:after="60" w:line="276"/>
      </w:pPr>
      <w:r>
        <w:rPr>
          <w:rFonts w:ascii="Arial" w:cs="Arial" w:eastAsia="Arial" w:hAnsi="Arial"/>
          <w:sz w:val="22"/>
          <w:szCs w:val="22"/>
        </w:rPr>
        <w:t xml:space="preserve">Terms-of-trade gains from tariffs are available but materialize gradually and at significant transitional consumer cost. The revenue constraint identified in Part 3 is unaffected by pass-through assumptions.</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3 — Revenue Capacity</w:t>
      </w:r>
    </w:p>
    <w:p>
      <w:pPr>
        <w:spacing w:before="60" w:after="60" w:line="276"/>
      </w:pPr>
      <w:r>
        <w:rPr>
          <w:rFonts w:ascii="Arial" w:cs="Arial" w:eastAsia="Arial" w:hAnsi="Arial"/>
          <w:sz w:val="22"/>
          <w:szCs w:val="22"/>
        </w:rPr>
        <w:t xml:space="preserve">Current-law tariff revenue is too small relative to projected net-interest costs to function as a primary debt-service instrument. This constraint holds under any plausible post-SCOTUS tariff scenario.</w:t>
      </w:r>
    </w:p>
    <w:p>
      <w:pPr>
        <w:spacing w:before="60" w:after="60" w:line="276"/>
      </w:pPr>
      <w:r>
        <w:rPr>
          <w:rFonts w:ascii="Arial" w:cs="Arial" w:eastAsia="Arial" w:hAnsi="Arial"/>
          <w:sz w:val="22"/>
          <w:szCs w:val="22"/>
        </w:rPr>
        <w:t xml:space="preserve">Federal net interest was approximately $970 billion in FY2025 (Treasury MTS), consuming approximately 18.5% of federal revenue [TIER 1 — Treasury]. CBO projects net interest to exceed $1 trillion in FY2026 and to rise to roughly $2.1 trillion by FY2036 [TIER 1 — CBO].</w:t>
      </w:r>
    </w:p>
    <w:p>
      <w:pPr>
        <w:spacing w:before="60" w:after="60" w:line="276"/>
      </w:pPr>
      <w:r>
        <w:rPr>
          <w:rFonts w:ascii="Arial" w:cs="Arial" w:eastAsia="Arial" w:hAnsi="Arial"/>
          <w:sz w:val="22"/>
          <w:szCs w:val="22"/>
        </w:rPr>
        <w:t xml:space="preserve">FY2025 customs duties were approximately $195 billion on a fiscal-year basis [TIER 1 — Treasury MTS]. Roughly $142–175 billion of calendar-year collections were associated with IEEPA authority now foreclosed, creating large potential refund exposure [TIER 2 — Yale Budget Lab]. Post-SCOTUS new tariff revenue from remaining authorities is estimated at roughly $60–130 billion per year above the pre-2025 baseline: Yale Budget Lab approximately $120 billion (Section 232 only); Tax Foundation approximately $64 billion; Tax Policy Center approximately $96 billion (10-year average) [TIER 2]. Including pre-existing baseline customs duties (~$80 billion), total customs revenue would be approximately $140–210 billion — a fraction of annual interest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Est. Annual Revenue (Conventional)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Est. Annual Revenue (Dynamic)</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10% universal tariff</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~$220B</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~$140B</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20% universal tariff</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~$340B</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~$200B</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20% universal + 60% China</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~$380B</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~$250B</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Current post-SCOTUS (new revenue)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~$60–130B</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~$50–100B</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FY2025 net interest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~$970B</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w:t>
            </w:r>
          </w:p>
        </w:tc>
      </w:tr>
    </w:tbl>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MAIN UNCERTAINTY</w:t>
            </w:r>
          </w:p>
          <w:p>
            <w:pPr>
              <w:spacing w:before="0" w:after="60"/>
            </w:pPr>
            <w:r>
              <w:rPr>
                <w:rFonts w:ascii="Arial" w:cs="Arial" w:eastAsia="Arial" w:hAnsi="Arial"/>
                <w:color w:val="000000"/>
                <w:sz w:val="20"/>
                <w:szCs w:val="20"/>
              </w:rPr>
              <w:t xml:space="preserve">Revenue estimates depend on trade-diversion rates, supply-chain adjustment speed, and whether Section 122 is extended or made permanent. Even under upper-bound assumptions, the gap between tariff revenue and interest costs remains large and widens over time. The policy ranking — tariffs are insufficient as a primary fiscal instrument — does not depend on the upper-bound estimate.</w:t>
            </w:r>
          </w:p>
        </w:tc>
      </w:tr>
    </w:tbl>
    <w:p>
      <w:pPr>
        <w:spacing w:before="60" w:after="0"/>
      </w:pPr>
      <w:r>
        <w:rPr>
          <w:rFonts w:ascii="Arial" w:cs="Arial" w:eastAsia="Arial" w:hAnsi="Arial"/>
          <w:sz w:val="22"/>
          <w:szCs w:val="22"/>
        </w:rPr>
        <w:t xml:space="preserve"/>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4 — Macroeconomic Effects</w:t>
      </w:r>
    </w:p>
    <w:p>
      <w:pPr>
        <w:spacing w:before="60" w:after="60" w:line="276"/>
      </w:pPr>
      <w:r>
        <w:rPr>
          <w:rFonts w:ascii="Arial" w:cs="Arial" w:eastAsia="Arial" w:hAnsi="Arial"/>
          <w:sz w:val="22"/>
          <w:szCs w:val="22"/>
        </w:rPr>
        <w:t xml:space="preserve">The aggregate macroeconomic burden of the current tariff regime is material but bounded at moderate rates. The distributional burden is regressive, and the employment effects do not support the protective rationale.</w:t>
      </w:r>
    </w:p>
    <w:p>
      <w:pPr>
        <w:spacing w:before="60" w:after="60" w:line="276"/>
      </w:pPr>
      <w:r>
        <w:rPr>
          <w:rFonts w:ascii="Arial" w:cs="Arial" w:eastAsia="Arial" w:hAnsi="Arial"/>
          <w:sz w:val="22"/>
          <w:szCs w:val="22"/>
        </w:rPr>
        <w:t xml:space="preserve">CBO estimated that tariffs implemented through May 2025 would reduce real GDP by approximately 0.6% relative to baseline by 2035 and raise the PCE price level by roughly 0.9% by 2026 [TIER 1 — CBO]. Yale Budget Lab projected persistent GDP losses of approximately 0.6% (~$160 billion annually), with unemployment approximately 0.7 percentage points higher by end of 2026 [TIER 2 — Yale Budget Lab]. Average household losses were estimated at $1,800–$2,400 per year, with the bottom income decile bearing 2.4–3.9% of post-tax income versus 0.8–1.1% for the top decile [TIER 2].</w:t>
      </w:r>
    </w:p>
    <w:p>
      <w:pPr>
        <w:spacing w:before="60" w:after="60" w:line="276"/>
      </w:pPr>
      <w:r>
        <w:rPr>
          <w:rFonts w:ascii="Arial" w:cs="Arial" w:eastAsia="Arial" w:hAnsi="Arial"/>
          <w:sz w:val="22"/>
          <w:szCs w:val="22"/>
        </w:rPr>
        <w:t xml:space="preserve">Autor, Beck, Dorn, and Hanson (2024) found that import tariffs neither raised nor lowered US employment in protected sectors during the 2018–2019 period [TIER 2 — peer-reviewed]. Retaliatory tariffs had clear negative employment effects, primarily in agriculture — USDA estimated annual export losses of approximately $13.2 billion, with 71% concentrated in soybeans [TIER 1 — USDA].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LIMITATION</w:t>
            </w:r>
          </w:p>
          <w:p>
            <w:pPr>
              <w:spacing w:before="0" w:after="60"/>
            </w:pPr>
            <w:r>
              <w:rPr>
                <w:rFonts w:ascii="Arial" w:cs="Arial" w:eastAsia="Arial" w:hAnsi="Arial"/>
                <w:color w:val="000000"/>
                <w:sz w:val="20"/>
                <w:szCs w:val="20"/>
              </w:rPr>
              <w:t xml:space="preserve">Whether these costs are acceptable is a policy judgment that depends on the objective being served. If the objective is revenue generation, the cost-per-dollar is high relative to alternatives. If the objective is industrial policy or supply-chain resilience, the calculus differs.</w:t>
            </w:r>
          </w:p>
        </w:tc>
      </w:tr>
    </w:tbl>
    <w:p>
      <w:pPr>
        <w:spacing w:before="60" w:after="0"/>
      </w:pPr>
      <w:r>
        <w:rPr>
          <w:rFonts w:ascii="Arial" w:cs="Arial" w:eastAsia="Arial" w:hAnsi="Arial"/>
          <w:sz w:val="22"/>
          <w:szCs w:val="22"/>
        </w:rPr>
        <w:t xml:space="preserve"/>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5 — Consumption Tax as Alternative</w:t>
      </w:r>
    </w:p>
    <w:p>
      <w:pPr>
        <w:spacing w:before="60" w:after="60" w:line="276"/>
      </w:pPr>
      <w:r>
        <w:rPr>
          <w:rFonts w:ascii="Arial" w:cs="Arial" w:eastAsia="Arial" w:hAnsi="Arial"/>
          <w:sz w:val="22"/>
          <w:szCs w:val="22"/>
        </w:rPr>
        <w:t xml:space="preserve">A broad-based border-adjusted consumption tax would likely generate comparable or greater revenue than tariffs, with lower litigation exposure, lower retaliation risk, and greater fiscal efficiency. The constraint is political: tariffs require no legislation; a VAT does.</w:t>
      </w:r>
    </w:p>
    <w:p>
      <w:pPr>
        <w:spacing w:before="60" w:after="60" w:line="276"/>
      </w:pPr>
      <w:r>
        <w:rPr>
          <w:rFonts w:ascii="Arial" w:cs="Arial" w:eastAsia="Arial" w:hAnsi="Arial"/>
          <w:sz w:val="22"/>
          <w:szCs w:val="22"/>
        </w:rPr>
        <w:t xml:space="preserve">GATT Article II:2(a) permits border charges equivalent to internal taxes imposed consistently with Article III [TIER 1 — GATT text]. A VAT structured as a nondiscriminatory internal tax with lawful border adjustment is generally regarded as more defensible under WTO law than a broad unilateral tariff. CBO scores a broad-based 5% VAT at roughly $230–350 billion annually (design-contingent; CBO Publication 60557, December 2024) [TIER 1 — CBO/JCT]. Illustrative back-of-the-envelope analysis (Christensen, </w:t>
      </w:r>
      <w:r>
        <w:rPr>
          <w:rFonts w:ascii="Arial" w:cs="Arial" w:eastAsia="Arial" w:hAnsi="Arial"/>
          <w:i/>
          <w:iCs/>
          <w:sz w:val="22"/>
          <w:szCs w:val="22"/>
        </w:rPr>
        <w:t xml:space="preserve">The Market Monetarist</w:t>
      </w:r>
      <w:r>
        <w:rPr>
          <w:rFonts w:ascii="Arial" w:cs="Arial" w:eastAsia="Arial" w:hAnsi="Arial"/>
          <w:sz w:val="22"/>
          <w:szCs w:val="22"/>
        </w:rPr>
        <w:t xml:space="preserve">, May 2025 — not peer-reviewed) suggests VATs may be approximately 3–4 times more efficient per dollar of deadweight loss than tariffs under standard partial-equilibrium assumptions, though the exact ratio is sensitive to assumed elasticities and should not be treated as a precise structural parameter [TIER 3 — contextual only].</w:t>
      </w:r>
    </w:p>
    <w:p>
      <w:pPr>
        <w:spacing w:before="60" w:after="60" w:line="276"/>
      </w:pPr>
      <w:r>
        <w:rPr>
          <w:rFonts w:ascii="Arial" w:cs="Arial" w:eastAsia="Arial" w:hAnsi="Arial"/>
          <w:sz w:val="22"/>
          <w:szCs w:val="22"/>
        </w:rPr>
        <w:t xml:space="preserve">The EU CBAM entered its definitive phase on January 1, 2026 [TIER 1 — European Commission Regulation (EU) 2025/486], covering cement, iron and steel, aluminum, fertilizers, electricity, and hydrogen (actual CBAM certificate purchases were deferred to February 1, 2027 under the Omnibus Simplification Regulation). A US CBAM at $55/tCO₂ would generate an estimated $4–8 billion per year in border-tariff-only revenue [TIER 2 — Harvard Belfer Center, Sandler et al., June 2025; RFF, December 2025]. The full Clean Competition Act policy has been estimated at roughly $7–11 billion annually [TIER 2 — RFF; CSIS/Meng, January 2026].</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6 — Partner-Specific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A4000" w:val="clear"/>
            <w:tcMar>
              <w:top w:type="dxa" w:w="80"/>
              <w:left w:type="dxa" w:w="120"/>
              <w:bottom w:type="dxa" w:w="80"/>
              <w:right w:type="dxa" w:w="120"/>
            </w:tcMar>
            <w:vAlign w:val="top"/>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80"/>
              <w:left w:type="dxa" w:w="120"/>
              <w:bottom w:type="dxa" w:w="80"/>
              <w:right w:type="dxa" w:w="120"/>
            </w:tcMar>
            <w:vAlign w:val="top"/>
          </w:tcPr>
          <w:p>
            <w:pPr>
              <w:spacing w:before="80" w:after="60"/>
            </w:pPr>
            <w:r>
              <w:rPr>
                <w:rFonts w:ascii="Arial" w:cs="Arial" w:eastAsia="Arial" w:hAnsi="Arial"/>
                <w:b/>
                <w:bCs/>
                <w:caps/>
                <w:color w:val="7A4000"/>
                <w:sz w:val="20"/>
                <w:szCs w:val="20"/>
              </w:rPr>
              <w:t xml:space="preserve">CAVEAT</w:t>
            </w:r>
          </w:p>
          <w:p>
            <w:pPr>
              <w:spacing w:before="0" w:after="60"/>
            </w:pPr>
            <w:r>
              <w:rPr>
                <w:rFonts w:ascii="Arial" w:cs="Arial" w:eastAsia="Arial" w:hAnsi="Arial"/>
                <w:color w:val="000000"/>
                <w:sz w:val="20"/>
                <w:szCs w:val="20"/>
              </w:rPr>
              <w:t xml:space="preserve">The assessments below apply decision criteria to each major trading partner using publicly available trade-flow data and institutional analysis. They do not reflect classified intelligence, proprietary negotiating positions, or partner-internal political dynamics. Revenue estimates are scenario-sensitive and should be treated as bounded planning ranges, not forecasts. This section carries the lowest evidentiary confidence in the document (see Part 8, Section 8.3, Soft Zone).</w:t>
            </w:r>
          </w:p>
        </w:tc>
      </w:tr>
    </w:tbl>
    <w:p>
      <w:pPr>
        <w:spacing w:before="60" w:after="0"/>
      </w:pPr>
      <w:r>
        <w:rPr>
          <w:rFonts w:ascii="Arial" w:cs="Arial" w:eastAsia="Arial" w:hAnsi="Arial"/>
          <w:sz w:val="22"/>
          <w:szCs w:val="22"/>
        </w:rPr>
        <w:t xml:space="preserve"/>
      </w:r>
    </w:p>
    <w:p>
      <w:pPr>
        <w:spacing w:before="200" w:after="80"/>
      </w:pPr>
      <w:r>
        <w:rPr>
          <w:rFonts w:ascii="Arial" w:cs="Arial" w:eastAsia="Arial" w:hAnsi="Arial"/>
          <w:b/>
          <w:bCs/>
          <w:color w:val="4A5568"/>
          <w:sz w:val="22"/>
          <w:szCs w:val="22"/>
        </w:rPr>
        <w:t xml:space="preserve">6.1 Decision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What it measures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Data source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US import share of partner's exports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Relative leverage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Census Bureau bilateral trade data</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Partner retaliation capacity</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Ability to impose symmetric costs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Trade-policy literature (TIER 2)</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Supply-chain integration depth</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Cost to US of tariffing own inputs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USMCA/FTA compliance data; I-O tables</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Legal authority fit</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Which statute best supports sustained action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Statutory text; case law (TIER 1)</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Revenue sensitivity to diversion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How quickly rerouting erodes tariff base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2018–2024 observed experience (TIER 2)</w:t>
            </w:r>
          </w:p>
        </w:tc>
      </w:tr>
    </w:tbl>
    <w:p>
      <w:pPr>
        <w:spacing w:before="80" w:after="0"/>
      </w:pPr>
      <w:r>
        <w:rPr>
          <w:rFonts w:ascii="Arial" w:cs="Arial" w:eastAsia="Arial" w:hAnsi="Arial"/>
          <w:sz w:val="22"/>
          <w:szCs w:val="22"/>
        </w:rPr>
        <w:t xml:space="preserve"/>
      </w:r>
    </w:p>
    <w:p>
      <w:pPr>
        <w:spacing w:before="200" w:after="80"/>
      </w:pPr>
      <w:r>
        <w:rPr>
          <w:rFonts w:ascii="Arial" w:cs="Arial" w:eastAsia="Arial" w:hAnsi="Arial"/>
          <w:b/>
          <w:bCs/>
          <w:color w:val="4A5568"/>
          <w:sz w:val="22"/>
          <w:szCs w:val="22"/>
        </w:rPr>
        <w:t xml:space="preserve">6.2 Partner Assessments</w:t>
      </w:r>
    </w:p>
    <w:p>
      <w:pPr>
        <w:spacing w:before="60" w:after="60" w:line="276"/>
      </w:pPr>
      <w:r>
        <w:rPr>
          <w:rFonts w:ascii="Arial" w:cs="Arial" w:eastAsia="Arial" w:hAnsi="Arial"/>
          <w:b/>
          <w:bCs/>
          <w:sz w:val="22"/>
          <w:szCs w:val="22"/>
        </w:rPr>
        <w:t xml:space="preserve">China</w:t>
      </w:r>
      <w:r>
        <w:rPr>
          <w:rFonts w:ascii="Arial" w:cs="Arial" w:eastAsia="Arial" w:hAnsi="Arial"/>
          <w:sz w:val="22"/>
          <w:szCs w:val="22"/>
        </w:rPr>
        <w:t xml:space="preserve"> (2024 goods deficit: ~$295B) [TIER 1 — Census Bureau]. Available evidence suggests US leverage remains substantial but is declining as China diversifies export destinations. Retaliation capacity appears high and has been partially exercised. The 2018–2024 experience demonstrates significant trade diversion (import share: 21.6% → ~13.4–13.8%), which progressively erodes the tariff revenue base [TIER 2 — ECB trade-diversion data]. </w:t>
      </w:r>
      <w:r>
        <w:rPr>
          <w:rFonts w:ascii="Arial" w:cs="Arial" w:eastAsia="Arial" w:hAnsi="Arial"/>
          <w:i/>
          <w:iCs/>
          <w:sz w:val="22"/>
          <w:szCs w:val="22"/>
        </w:rPr>
        <w:t xml:space="preserve">Decision options:</w:t>
      </w:r>
      <w:r>
        <w:rPr>
          <w:rFonts w:ascii="Arial" w:cs="Arial" w:eastAsia="Arial" w:hAnsi="Arial"/>
          <w:sz w:val="22"/>
          <w:szCs w:val="22"/>
        </w:rPr>
        <w:t xml:space="preserve"> (a) maintain existing Section 301 rates, prioritizing strategic sectors; (b) expand AD/CVD enforcement; (c) if diversion continues, revenue declines materially over 5–10 years. </w:t>
      </w:r>
      <w:r>
        <w:rPr>
          <w:rFonts w:ascii="Arial" w:cs="Arial" w:eastAsia="Arial" w:hAnsi="Arial"/>
          <w:i/>
          <w:iCs/>
          <w:sz w:val="22"/>
          <w:szCs w:val="22"/>
        </w:rPr>
        <w:t xml:space="preserve">Bounded revenue range:</w:t>
      </w:r>
      <w:r>
        <w:rPr>
          <w:rFonts w:ascii="Arial" w:cs="Arial" w:eastAsia="Arial" w:hAnsi="Arial"/>
          <w:sz w:val="22"/>
          <w:szCs w:val="22"/>
        </w:rPr>
        <w:t xml:space="preserve"> ~$60–80B/year, declining.</w:t>
      </w:r>
    </w:p>
    <w:p>
      <w:pPr>
        <w:spacing w:before="60" w:after="60" w:line="276"/>
      </w:pPr>
      <w:r>
        <w:rPr>
          <w:rFonts w:ascii="Arial" w:cs="Arial" w:eastAsia="Arial" w:hAnsi="Arial"/>
          <w:b/>
          <w:bCs/>
          <w:sz w:val="22"/>
          <w:szCs w:val="22"/>
        </w:rPr>
        <w:t xml:space="preserve">EU</w:t>
      </w:r>
      <w:r>
        <w:rPr>
          <w:rFonts w:ascii="Arial" w:cs="Arial" w:eastAsia="Arial" w:hAnsi="Arial"/>
          <w:sz w:val="22"/>
          <w:szCs w:val="22"/>
        </w:rPr>
        <w:t xml:space="preserve"> (deficit: ~$236B) [TIER 1 — Census Bureau]. Public trade-flow data are consistent with the judgment that EU retaliation tools — including the Anti-Coercion Instrument (operationally available late 2023) — represent serious counter-capacity [TIER 2]. The July 2025 framework agreement established a ~10% negotiated baseline. </w:t>
      </w:r>
      <w:r>
        <w:rPr>
          <w:rFonts w:ascii="Arial" w:cs="Arial" w:eastAsia="Arial" w:hAnsi="Arial"/>
          <w:i/>
          <w:iCs/>
          <w:sz w:val="22"/>
          <w:szCs w:val="22"/>
        </w:rPr>
        <w:t xml:space="preserve">Decision options:</w:t>
      </w:r>
      <w:r>
        <w:rPr>
          <w:rFonts w:ascii="Arial" w:cs="Arial" w:eastAsia="Arial" w:hAnsi="Arial"/>
          <w:sz w:val="22"/>
          <w:szCs w:val="22"/>
        </w:rPr>
        <w:t xml:space="preserve"> (a) hold framework rate; (b) escalation risks net negative welfare outcomes. </w:t>
      </w:r>
      <w:r>
        <w:rPr>
          <w:rFonts w:ascii="Arial" w:cs="Arial" w:eastAsia="Arial" w:hAnsi="Arial"/>
          <w:i/>
          <w:iCs/>
          <w:sz w:val="22"/>
          <w:szCs w:val="22"/>
        </w:rPr>
        <w:t xml:space="preserve">Bounded revenue range:</w:t>
      </w:r>
      <w:r>
        <w:rPr>
          <w:rFonts w:ascii="Arial" w:cs="Arial" w:eastAsia="Arial" w:hAnsi="Arial"/>
          <w:sz w:val="22"/>
          <w:szCs w:val="22"/>
        </w:rPr>
        <w:t xml:space="preserve"> ~$30–40B/year at framework rate.</w:t>
      </w:r>
    </w:p>
    <w:p>
      <w:pPr>
        <w:spacing w:before="60" w:after="60" w:line="276"/>
      </w:pPr>
      <w:r>
        <w:rPr>
          <w:rFonts w:ascii="Arial" w:cs="Arial" w:eastAsia="Arial" w:hAnsi="Arial"/>
          <w:b/>
          <w:bCs/>
          <w:sz w:val="22"/>
          <w:szCs w:val="22"/>
        </w:rPr>
        <w:t xml:space="preserve">Mexico</w:t>
      </w:r>
      <w:r>
        <w:rPr>
          <w:rFonts w:ascii="Arial" w:cs="Arial" w:eastAsia="Arial" w:hAnsi="Arial"/>
          <w:sz w:val="22"/>
          <w:szCs w:val="22"/>
        </w:rPr>
        <w:t xml:space="preserve"> (deficit: ~$172B) [TIER 1 — Census Bureau]. Over 80% of Mexican exports are US-destined. USMCA supply-chain integration means tariffs on Mexican goods tax US intermediate inputs. </w:t>
      </w:r>
      <w:r>
        <w:rPr>
          <w:rFonts w:ascii="Arial" w:cs="Arial" w:eastAsia="Arial" w:hAnsi="Arial"/>
          <w:i/>
          <w:iCs/>
          <w:sz w:val="22"/>
          <w:szCs w:val="22"/>
        </w:rPr>
        <w:t xml:space="preserve">Decision options:</w:t>
      </w:r>
      <w:r>
        <w:rPr>
          <w:rFonts w:ascii="Arial" w:cs="Arial" w:eastAsia="Arial" w:hAnsi="Arial"/>
          <w:sz w:val="22"/>
          <w:szCs w:val="22"/>
        </w:rPr>
        <w:t xml:space="preserve"> (a) exempt USMCA-compliant goods; (b) broad tariffs raise US production costs. </w:t>
      </w:r>
      <w:r>
        <w:rPr>
          <w:rFonts w:ascii="Arial" w:cs="Arial" w:eastAsia="Arial" w:hAnsi="Arial"/>
          <w:i/>
          <w:iCs/>
          <w:sz w:val="22"/>
          <w:szCs w:val="22"/>
        </w:rPr>
        <w:t xml:space="preserve">Bounded revenue range:</w:t>
      </w:r>
      <w:r>
        <w:rPr>
          <w:rFonts w:ascii="Arial" w:cs="Arial" w:eastAsia="Arial" w:hAnsi="Arial"/>
          <w:sz w:val="22"/>
          <w:szCs w:val="22"/>
        </w:rPr>
        <w:t xml:space="preserve"> ~$10–15B/year from non-compliant flows.</w:t>
      </w:r>
    </w:p>
    <w:p>
      <w:pPr>
        <w:spacing w:before="60" w:after="60" w:line="276"/>
      </w:pPr>
      <w:r>
        <w:rPr>
          <w:rFonts w:ascii="Arial" w:cs="Arial" w:eastAsia="Arial" w:hAnsi="Arial"/>
          <w:b/>
          <w:bCs/>
          <w:sz w:val="22"/>
          <w:szCs w:val="22"/>
        </w:rPr>
        <w:t xml:space="preserve">Vietnam</w:t>
      </w:r>
      <w:r>
        <w:rPr>
          <w:rFonts w:ascii="Arial" w:cs="Arial" w:eastAsia="Arial" w:hAnsi="Arial"/>
          <w:sz w:val="22"/>
          <w:szCs w:val="22"/>
        </w:rPr>
        <w:t xml:space="preserve"> (deficit: ~$124B) [TIER 1 — Census Bureau]. Relative US leverage appears high; retaliation capacity appears low. The principal enforcement challenge is transshipment of Chinese goods. </w:t>
      </w:r>
      <w:r>
        <w:rPr>
          <w:rFonts w:ascii="Arial" w:cs="Arial" w:eastAsia="Arial" w:hAnsi="Arial"/>
          <w:i/>
          <w:iCs/>
          <w:sz w:val="22"/>
          <w:szCs w:val="22"/>
        </w:rPr>
        <w:t xml:space="preserve">Decision options:</w:t>
      </w:r>
      <w:r>
        <w:rPr>
          <w:rFonts w:ascii="Arial" w:cs="Arial" w:eastAsia="Arial" w:hAnsi="Arial"/>
          <w:sz w:val="22"/>
          <w:szCs w:val="22"/>
        </w:rPr>
        <w:t xml:space="preserve"> (a) Section 301 at 15–20%; (b) AD/CVD on transshipment; (c) rules-of-origin enforcement. </w:t>
      </w:r>
      <w:r>
        <w:rPr>
          <w:rFonts w:ascii="Arial" w:cs="Arial" w:eastAsia="Arial" w:hAnsi="Arial"/>
          <w:i/>
          <w:iCs/>
          <w:sz w:val="22"/>
          <w:szCs w:val="22"/>
        </w:rPr>
        <w:t xml:space="preserve">Bounded revenue range:</w:t>
      </w:r>
      <w:r>
        <w:rPr>
          <w:rFonts w:ascii="Arial" w:cs="Arial" w:eastAsia="Arial" w:hAnsi="Arial"/>
          <w:sz w:val="22"/>
          <w:szCs w:val="22"/>
        </w:rPr>
        <w:t xml:space="preserve"> ~$15–20B/year.</w:t>
      </w:r>
    </w:p>
    <w:p>
      <w:pPr>
        <w:spacing w:before="60" w:after="60" w:line="276"/>
      </w:pPr>
      <w:r>
        <w:rPr>
          <w:rFonts w:ascii="Arial" w:cs="Arial" w:eastAsia="Arial" w:hAnsi="Arial"/>
          <w:b/>
          <w:bCs/>
          <w:sz w:val="22"/>
          <w:szCs w:val="22"/>
        </w:rPr>
        <w:t xml:space="preserve">Japan, South Korea, Taiwan</w:t>
      </w:r>
      <w:r>
        <w:rPr>
          <w:rFonts w:ascii="Arial" w:cs="Arial" w:eastAsia="Arial" w:hAnsi="Arial"/>
          <w:sz w:val="22"/>
          <w:szCs w:val="22"/>
        </w:rPr>
        <w:t xml:space="preserve"> (combined deficit: ~$209B) [TIER 1 — Census Bureau]. All three have diversified export bases. Tariffs on advanced semiconductors would raise costs across the US technology sector, likely exceeding revenue benefit. </w:t>
      </w:r>
      <w:r>
        <w:rPr>
          <w:rFonts w:ascii="Arial" w:cs="Arial" w:eastAsia="Arial" w:hAnsi="Arial"/>
          <w:i/>
          <w:iCs/>
          <w:sz w:val="22"/>
          <w:szCs w:val="22"/>
        </w:rPr>
        <w:t xml:space="preserve">Decision options:</w:t>
      </w:r>
      <w:r>
        <w:rPr>
          <w:rFonts w:ascii="Arial" w:cs="Arial" w:eastAsia="Arial" w:hAnsi="Arial"/>
          <w:sz w:val="22"/>
          <w:szCs w:val="22"/>
        </w:rPr>
        <w:t xml:space="preserve"> (a) general rate ~15% with semiconductor exemption; (b) semiconductor tariffs not advisable absent mature domestic alternative supply. </w:t>
      </w:r>
      <w:r>
        <w:rPr>
          <w:rFonts w:ascii="Arial" w:cs="Arial" w:eastAsia="Arial" w:hAnsi="Arial"/>
          <w:i/>
          <w:iCs/>
          <w:sz w:val="22"/>
          <w:szCs w:val="22"/>
        </w:rPr>
        <w:t xml:space="preserve">Bounded revenue range:</w:t>
      </w:r>
      <w:r>
        <w:rPr>
          <w:rFonts w:ascii="Arial" w:cs="Arial" w:eastAsia="Arial" w:hAnsi="Arial"/>
          <w:sz w:val="22"/>
          <w:szCs w:val="22"/>
        </w:rPr>
        <w:t xml:space="preserve"> ~$15–20B combined.</w:t>
      </w:r>
    </w:p>
    <w:p>
      <w:pPr>
        <w:spacing w:before="60" w:after="60" w:line="276"/>
      </w:pPr>
      <w:r>
        <w:rPr>
          <w:rFonts w:ascii="Arial" w:cs="Arial" w:eastAsia="Arial" w:hAnsi="Arial"/>
          <w:b/>
          <w:bCs/>
          <w:sz w:val="22"/>
          <w:szCs w:val="22"/>
        </w:rPr>
        <w:t xml:space="preserve">Canada</w:t>
      </w:r>
      <w:r>
        <w:rPr>
          <w:rFonts w:ascii="Arial" w:cs="Arial" w:eastAsia="Arial" w:hAnsi="Arial"/>
          <w:sz w:val="22"/>
          <w:szCs w:val="22"/>
        </w:rPr>
        <w:t xml:space="preserve"> (deficit: ~$63B) [TIER 1 — Census Bureau]. Deepest supply-chain integration of any US partner, especially in energy and autos. Tariffs on Canadian crude directly increase US gasoline prices with high pass-through. </w:t>
      </w:r>
      <w:r>
        <w:rPr>
          <w:rFonts w:ascii="Arial" w:cs="Arial" w:eastAsia="Arial" w:hAnsi="Arial"/>
          <w:i/>
          <w:iCs/>
          <w:sz w:val="22"/>
          <w:szCs w:val="22"/>
        </w:rPr>
        <w:t xml:space="preserve">Decision options:</w:t>
      </w:r>
      <w:r>
        <w:rPr>
          <w:rFonts w:ascii="Arial" w:cs="Arial" w:eastAsia="Arial" w:hAnsi="Arial"/>
          <w:sz w:val="22"/>
          <w:szCs w:val="22"/>
        </w:rPr>
        <w:t xml:space="preserve"> (a) exempt USMCA-compliant goods; (b) Section 232 on non-compliant steel/aluminum only. </w:t>
      </w:r>
      <w:r>
        <w:rPr>
          <w:rFonts w:ascii="Arial" w:cs="Arial" w:eastAsia="Arial" w:hAnsi="Arial"/>
          <w:i/>
          <w:iCs/>
          <w:sz w:val="22"/>
          <w:szCs w:val="22"/>
        </w:rPr>
        <w:t xml:space="preserve">Bounded revenue range:</w:t>
      </w:r>
      <w:r>
        <w:rPr>
          <w:rFonts w:ascii="Arial" w:cs="Arial" w:eastAsia="Arial" w:hAnsi="Arial"/>
          <w:sz w:val="22"/>
          <w:szCs w:val="22"/>
        </w:rPr>
        <w:t xml:space="preserve"> ~$8–12B/year.</w:t>
      </w:r>
    </w:p>
    <w:p>
      <w:pPr>
        <w:spacing w:before="60" w:after="60" w:line="276"/>
      </w:pPr>
      <w:r>
        <w:rPr>
          <w:rFonts w:ascii="Arial" w:cs="Arial" w:eastAsia="Arial" w:hAnsi="Arial"/>
          <w:b/>
          <w:bCs/>
          <w:sz w:val="22"/>
          <w:szCs w:val="22"/>
        </w:rPr>
        <w:t xml:space="preserve">India</w:t>
      </w:r>
      <w:r>
        <w:rPr>
          <w:rFonts w:ascii="Arial" w:cs="Arial" w:eastAsia="Arial" w:hAnsi="Arial"/>
          <w:sz w:val="22"/>
          <w:szCs w:val="22"/>
        </w:rPr>
        <w:t xml:space="preserve"> (deficit: ~$46B) [TIER 1 — Census Bureau]. India maintains high own tariffs (MFN average ~16.2%) [TIER 1 — WTO 2024 Tariff Profile]. Low retaliation capacity. Limited US import dependence reduces leverage. </w:t>
      </w:r>
      <w:r>
        <w:rPr>
          <w:rFonts w:ascii="Arial" w:cs="Arial" w:eastAsia="Arial" w:hAnsi="Arial"/>
          <w:i/>
          <w:iCs/>
          <w:sz w:val="22"/>
          <w:szCs w:val="22"/>
        </w:rPr>
        <w:t xml:space="preserve">Decision options:</w:t>
      </w:r>
      <w:r>
        <w:rPr>
          <w:rFonts w:ascii="Arial" w:cs="Arial" w:eastAsia="Arial" w:hAnsi="Arial"/>
          <w:sz w:val="22"/>
          <w:szCs w:val="22"/>
        </w:rPr>
        <w:t xml:space="preserve"> (a) Section 301 at 18–25% as negotiating tool; (b) rate should be explicitly conditioned on India's tariff trajectory. </w:t>
      </w:r>
      <w:r>
        <w:rPr>
          <w:rFonts w:ascii="Arial" w:cs="Arial" w:eastAsia="Arial" w:hAnsi="Arial"/>
          <w:i/>
          <w:iCs/>
          <w:sz w:val="22"/>
          <w:szCs w:val="22"/>
        </w:rPr>
        <w:t xml:space="preserve">Bounded revenue range:</w:t>
      </w:r>
      <w:r>
        <w:rPr>
          <w:rFonts w:ascii="Arial" w:cs="Arial" w:eastAsia="Arial" w:hAnsi="Arial"/>
          <w:sz w:val="22"/>
          <w:szCs w:val="22"/>
        </w:rPr>
        <w:t xml:space="preserve"> ~$8–12B/year.</w:t>
      </w:r>
    </w:p>
    <w:p>
      <w:pPr>
        <w:spacing w:before="60" w:after="60" w:line="276"/>
      </w:pPr>
      <w:r>
        <w:rPr>
          <w:rFonts w:ascii="Arial" w:cs="Arial" w:eastAsia="Arial" w:hAnsi="Arial"/>
          <w:b/>
          <w:bCs/>
          <w:sz w:val="22"/>
          <w:szCs w:val="22"/>
        </w:rPr>
        <w:t xml:space="preserve">Aggregate bounded range across all partners:</w:t>
      </w:r>
      <w:r>
        <w:rPr>
          <w:rFonts w:ascii="Arial" w:cs="Arial" w:eastAsia="Arial" w:hAnsi="Arial"/>
          <w:sz w:val="22"/>
          <w:szCs w:val="22"/>
        </w:rPr>
        <w:t xml:space="preserve"> ~$150–200B/year. This sits at the upper end of institutional estimates ($60–130B from Yale/TPC/TF) and should be treated as a planning ceiling, not a forecast.</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7 — Historical Record</w:t>
      </w:r>
    </w:p>
    <w:p>
      <w:pPr>
        <w:spacing w:before="60" w:after="60" w:line="276"/>
      </w:pPr>
      <w:r>
        <w:rPr>
          <w:rFonts w:ascii="Arial" w:cs="Arial" w:eastAsia="Arial" w:hAnsi="Arial"/>
          <w:sz w:val="22"/>
          <w:szCs w:val="22"/>
        </w:rPr>
        <w:t xml:space="preserve">Historical US tariff episodes illustrate the mechanisms and constraints of protectionist policy but do not provide transplantable models.</w:t>
      </w:r>
    </w:p>
    <w:p>
      <w:pPr>
        <w:spacing w:before="60" w:after="60" w:line="276"/>
      </w:pPr>
      <w:r>
        <w:rPr>
          <w:rFonts w:ascii="Arial" w:cs="Arial" w:eastAsia="Arial" w:hAnsi="Arial"/>
          <w:b/>
          <w:bCs/>
          <w:sz w:val="22"/>
          <w:szCs w:val="22"/>
        </w:rPr>
        <w:t xml:space="preserve">Smoot-Hawley (1930).</w:t>
      </w:r>
      <w:r>
        <w:rPr>
          <w:rFonts w:ascii="Arial" w:cs="Arial" w:eastAsia="Arial" w:hAnsi="Arial"/>
          <w:sz w:val="22"/>
          <w:szCs w:val="22"/>
        </w:rPr>
        <w:t xml:space="preserve"> Effective tariffs rose from approximately 13.5% to 19.8%. Retaliation from 23+ countries contributed to a 66% collapse in world trade [TIER 2 — established historiography]. Total trade constituted approximately 9% of GNP in 1930 versus roughly 25% of GDP today; equivalent protectionism would produce larger effects in the current economy.</w:t>
      </w:r>
    </w:p>
    <w:p>
      <w:pPr>
        <w:spacing w:before="60" w:after="60" w:line="276"/>
      </w:pPr>
      <w:r>
        <w:rPr>
          <w:rFonts w:ascii="Arial" w:cs="Arial" w:eastAsia="Arial" w:hAnsi="Arial"/>
          <w:b/>
          <w:bCs/>
          <w:sz w:val="22"/>
          <w:szCs w:val="22"/>
        </w:rPr>
        <w:t xml:space="preserve">Nixon surcharge (1971).</w:t>
      </w:r>
      <w:r>
        <w:rPr>
          <w:rFonts w:ascii="Arial" w:cs="Arial" w:eastAsia="Arial" w:hAnsi="Arial"/>
          <w:sz w:val="22"/>
          <w:szCs w:val="22"/>
        </w:rPr>
        <w:t xml:space="preserve"> The 10% surcharge lasted approximately four months (August 15 – December 20, 1971) [TIER 1 — Federal Register]. Japan revalued the yen 16.9% at the Smithsonian Agreement on December 18. It succeeded because it had a defined demand, a credible exit, and a short duration — conditions absent from current tariff policy.</w:t>
      </w:r>
    </w:p>
    <w:p>
      <w:pPr>
        <w:spacing w:before="60" w:after="60" w:line="276"/>
      </w:pPr>
      <w:r>
        <w:rPr>
          <w:rFonts w:ascii="Arial" w:cs="Arial" w:eastAsia="Arial" w:hAnsi="Arial"/>
          <w:b/>
          <w:bCs/>
          <w:sz w:val="22"/>
          <w:szCs w:val="22"/>
        </w:rPr>
        <w:t xml:space="preserve">Reagan-era VERs on Japanese autos (1981–1994).</w:t>
      </w:r>
      <w:r>
        <w:rPr>
          <w:rFonts w:ascii="Arial" w:cs="Arial" w:eastAsia="Arial" w:hAnsi="Arial"/>
          <w:sz w:val="22"/>
          <w:szCs w:val="22"/>
        </w:rPr>
        <w:t xml:space="preserve"> VERs transferred quota rents (approximately $13 billion in consumer welfare losses) to Japanese firms rather than the US Treasury [TIER 2 — trade economics literature]. Japanese automakers responded by moving upmarket and building US plants. The bilateral trade deficit did not shrink.</w:t>
      </w:r>
    </w:p>
    <w:p>
      <w:pPr>
        <w:spacing w:before="60" w:after="60" w:line="276"/>
      </w:pPr>
      <w:r>
        <w:rPr>
          <w:rFonts w:ascii="Arial" w:cs="Arial" w:eastAsia="Arial" w:hAnsi="Arial"/>
          <w:b/>
          <w:bCs/>
          <w:sz w:val="22"/>
          <w:szCs w:val="22"/>
        </w:rPr>
        <w:t xml:space="preserve">2018–2024 Section 301/232 tariffs.</w:t>
      </w:r>
      <w:r>
        <w:rPr>
          <w:rFonts w:ascii="Arial" w:cs="Arial" w:eastAsia="Arial" w:hAnsi="Arial"/>
          <w:sz w:val="22"/>
          <w:szCs w:val="22"/>
        </w:rPr>
        <w:t xml:space="preserve"> China's import share fell from 21.6% to approximately 13.4–13.8% [TIER 1 — Census Bureau]. The aggregate trade deficit widened. Manufacturing employment showed no measurable net gains [TIER 2 — Autor et al., 2024]. Both administrations maintained and expanded the tariffs, illustrating that tariffs, once imposed, are politically difficult to remove.</w:t>
      </w:r>
    </w:p>
    <w:p>
      <w:pPr>
        <w:spacing w:before="60" w:after="60" w:line="276"/>
      </w:pPr>
      <w:r>
        <w:rPr>
          <w:rFonts w:ascii="Arial" w:cs="Arial" w:eastAsia="Arial" w:hAnsi="Arial"/>
          <w:sz w:val="22"/>
          <w:szCs w:val="22"/>
        </w:rPr>
        <w:t xml:space="preserve">The historical record supports the judgment that tariffs can serve specific, time-limited strategic objectives but do not durably close aggregate trade deficits. Trade deficits are driven by the savings-investment gap — a macroeconomic condition that tariffs do not address.</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8 — Execution Architecture</w:t>
      </w:r>
    </w:p>
    <w:p>
      <w:pPr>
        <w:spacing w:before="200" w:after="80"/>
      </w:pPr>
      <w:r>
        <w:rPr>
          <w:rFonts w:ascii="Arial" w:cs="Arial" w:eastAsia="Arial" w:hAnsi="Arial"/>
          <w:b/>
          <w:bCs/>
          <w:color w:val="4A5568"/>
          <w:sz w:val="22"/>
          <w:szCs w:val="22"/>
        </w:rPr>
        <w:t xml:space="preserve">8.1 Execution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Phase</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Timeline</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Action</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Lead Agency</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Authority</w:t>
            </w:r>
          </w:p>
        </w:tc>
        <w:tc>
          <w:tcPr>
            <w:tcW w:type="dxa" w:w="1337"/>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Key Risk</w:t>
            </w:r>
          </w:p>
        </w:tc>
        <w:tc>
          <w:tcPr>
            <w:tcW w:type="dxa" w:w="133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20"/>
                <w:szCs w:val="20"/>
              </w:rPr>
              <w:t xml:space="preserve">Review Trigger</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Preserve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Day 0–30</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Maintain AD/CVD pipeline; freeze unsourced tariff actions; assess Section 122 extension</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Commerce; USTR; Treasury</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GATT VI; 19 U.S.C. §§ 1671, 1673; Trade Act §§ 301, 122</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Section 122 expiration</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Day 30 status report</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Define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Day 30–90</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Establish formal Section 232/301 target criteria; publish objective metrics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USTR; Commerce; NEC</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Existing statutory authority</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Criteria scope</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Day 90 interagency review</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Legislate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Day 90–180</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Introduce VAT/consumption-tax legislation with border-adjustment provisions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Treasury; NEC; Congress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New legislation required</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Political feasibility</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180-day legislative status</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Design</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6–12 months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Border-adjustment implementation; compliance infrastructure</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Treasury; IRS; CBP</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Pending legislation</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Administrative complexity</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12-month design review</w:t>
            </w:r>
          </w:p>
        </w:tc>
      </w:tr>
      <w:tr>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b/>
                <w:bCs/>
                <w:color w:val="000000"/>
                <w:sz w:val="20"/>
                <w:szCs w:val="20"/>
              </w:rPr>
              <w:t xml:space="preserve">Review</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Annual</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Revenue, retaliation, diversion, litigation status</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OMB; USTR; NEC</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Standing executive authority</w:t>
            </w:r>
          </w:p>
        </w:tc>
        <w:tc>
          <w:tcPr>
            <w:tcW w:type="dxa" w:w="1337"/>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Review becomes pro forma</w:t>
            </w:r>
          </w:p>
        </w:tc>
        <w:tc>
          <w:tcPr>
            <w:tcW w:type="dxa" w:w="133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before="60" w:after="60"/>
            </w:pPr>
            <w:r>
              <w:rPr>
                <w:rFonts w:ascii="Arial" w:cs="Arial" w:eastAsia="Arial" w:hAnsi="Arial"/>
                <w:color w:val="000000"/>
                <w:sz w:val="20"/>
                <w:szCs w:val="20"/>
              </w:rPr>
              <w:t xml:space="preserve">Automatic annual cycle</w:t>
            </w:r>
          </w:p>
        </w:tc>
      </w:tr>
    </w:tbl>
    <w:p>
      <w:pPr>
        <w:spacing w:before="80" w:after="0"/>
      </w:pPr>
      <w:r>
        <w:rPr>
          <w:rFonts w:ascii="Arial" w:cs="Arial" w:eastAsia="Arial" w:hAnsi="Arial"/>
          <w:sz w:val="22"/>
          <w:szCs w:val="22"/>
        </w:rPr>
        <w:t xml:space="preserve"/>
      </w:r>
    </w:p>
    <w:p>
      <w:pPr>
        <w:spacing w:before="200" w:after="80"/>
      </w:pPr>
      <w:r>
        <w:rPr>
          <w:rFonts w:ascii="Arial" w:cs="Arial" w:eastAsia="Arial" w:hAnsi="Arial"/>
          <w:b/>
          <w:bCs/>
          <w:color w:val="4A5568"/>
          <w:sz w:val="22"/>
          <w:szCs w:val="22"/>
        </w:rPr>
        <w:t xml:space="preserve">8.2 Trigger and Fallback Rules</w:t>
      </w:r>
    </w:p>
    <w:p>
      <w:pPr>
        <w:spacing w:before="60" w:after="60" w:line="276"/>
      </w:pPr>
      <w:r>
        <w:rPr>
          <w:rFonts w:ascii="Arial" w:cs="Arial" w:eastAsia="Arial" w:hAnsi="Arial"/>
          <w:b/>
          <w:bCs/>
          <w:sz w:val="22"/>
          <w:szCs w:val="22"/>
        </w:rPr>
        <w:t xml:space="preserve">Retaliation trigger.</w:t>
      </w:r>
      <w:r>
        <w:rPr>
          <w:rFonts w:ascii="Arial" w:cs="Arial" w:eastAsia="Arial" w:hAnsi="Arial"/>
          <w:sz w:val="22"/>
          <w:szCs w:val="22"/>
        </w:rPr>
        <w:t xml:space="preserve"> If retaliatory tariffs reduce US exports by more than $15 billion annualized against the 24-month pre-tariff baseline, a 60-day interagency review is convened. Options: rate reduction, scope narrowing, or shift to AD/CVD enforcement. </w:t>
      </w:r>
      <w:r>
        <w:rPr>
          <w:rFonts w:ascii="Arial" w:cs="Arial" w:eastAsia="Arial" w:hAnsi="Arial"/>
          <w:i/>
          <w:iCs/>
          <w:sz w:val="22"/>
          <w:szCs w:val="22"/>
        </w:rPr>
        <w:t xml:space="preserve">Basis:</w:t>
      </w:r>
      <w:r>
        <w:rPr>
          <w:rFonts w:ascii="Arial" w:cs="Arial" w:eastAsia="Arial" w:hAnsi="Arial"/>
          <w:sz w:val="22"/>
          <w:szCs w:val="22"/>
        </w:rPr>
        <w:t xml:space="preserve"> 2018–2019 agricultural retaliation cost ~$13.2 billion annually [TIER 1 — USDA].</w:t>
      </w:r>
    </w:p>
    <w:p>
      <w:pPr>
        <w:spacing w:before="60" w:after="60" w:line="276"/>
      </w:pPr>
      <w:r>
        <w:rPr>
          <w:rFonts w:ascii="Arial" w:cs="Arial" w:eastAsia="Arial" w:hAnsi="Arial"/>
          <w:b/>
          <w:bCs/>
          <w:sz w:val="22"/>
          <w:szCs w:val="22"/>
        </w:rPr>
        <w:t xml:space="preserve">Trade-diversion trigger.</w:t>
      </w:r>
      <w:r>
        <w:rPr>
          <w:rFonts w:ascii="Arial" w:cs="Arial" w:eastAsia="Arial" w:hAnsi="Arial"/>
          <w:sz w:val="22"/>
          <w:szCs w:val="22"/>
        </w:rPr>
        <w:t xml:space="preserve"> If the targeted partner's import share in affected categories declines more than 30% over 24 months while aggregate imports remain stable, enforcement shifts toward AD/CVD transshipment actions. </w:t>
      </w:r>
      <w:r>
        <w:rPr>
          <w:rFonts w:ascii="Arial" w:cs="Arial" w:eastAsia="Arial" w:hAnsi="Arial"/>
          <w:i/>
          <w:iCs/>
          <w:sz w:val="22"/>
          <w:szCs w:val="22"/>
        </w:rPr>
        <w:t xml:space="preserve">Basis:</w:t>
      </w:r>
      <w:r>
        <w:rPr>
          <w:rFonts w:ascii="Arial" w:cs="Arial" w:eastAsia="Arial" w:hAnsi="Arial"/>
          <w:sz w:val="22"/>
          <w:szCs w:val="22"/>
        </w:rPr>
        <w:t xml:space="preserve"> China's import share fell from 21.6% to ~13.4–13.8% over 2017–2024 [TIER 1 — Census Bureau].</w:t>
      </w:r>
    </w:p>
    <w:p>
      <w:pPr>
        <w:spacing w:before="60" w:after="60" w:line="276"/>
      </w:pPr>
      <w:r>
        <w:rPr>
          <w:rFonts w:ascii="Arial" w:cs="Arial" w:eastAsia="Arial" w:hAnsi="Arial"/>
          <w:b/>
          <w:bCs/>
          <w:sz w:val="22"/>
          <w:szCs w:val="22"/>
        </w:rPr>
        <w:t xml:space="preserve">Domestic litigation trigger.</w:t>
      </w:r>
      <w:r>
        <w:rPr>
          <w:rFonts w:ascii="Arial" w:cs="Arial" w:eastAsia="Arial" w:hAnsi="Arial"/>
          <w:sz w:val="22"/>
          <w:szCs w:val="22"/>
        </w:rPr>
        <w:t xml:space="preserve"> If a court narrows or enjoins a major tariff authority, a 90-day contingency plan activates: (a) expanded AD/CVD; (b) Section 122 bridge (up to 150 days); (c) legislative substitute. </w:t>
      </w:r>
      <w:r>
        <w:rPr>
          <w:rFonts w:ascii="Arial" w:cs="Arial" w:eastAsia="Arial" w:hAnsi="Arial"/>
          <w:i/>
          <w:iCs/>
          <w:sz w:val="22"/>
          <w:szCs w:val="22"/>
        </w:rPr>
        <w:t xml:space="preserve">Basis:</w:t>
      </w:r>
      <w:r>
        <w:rPr>
          <w:rFonts w:ascii="Arial" w:cs="Arial" w:eastAsia="Arial" w:hAnsi="Arial"/>
          <w:sz w:val="22"/>
          <w:szCs w:val="22"/>
        </w:rPr>
        <w:t xml:space="preserve"> </w:t>
      </w:r>
      <w:r>
        <w:rPr>
          <w:rFonts w:ascii="Arial" w:cs="Arial" w:eastAsia="Arial" w:hAnsi="Arial"/>
          <w:i/>
          <w:iCs/>
          <w:sz w:val="22"/>
          <w:szCs w:val="22"/>
        </w:rPr>
        <w:t xml:space="preserve">Learning Resources</w:t>
      </w:r>
      <w:r>
        <w:rPr>
          <w:rFonts w:ascii="Arial" w:cs="Arial" w:eastAsia="Arial" w:hAnsi="Arial"/>
          <w:sz w:val="22"/>
          <w:szCs w:val="22"/>
        </w:rPr>
        <w:t xml:space="preserve"> eliminated a majority of tariff revenue within weeks.</w:t>
      </w:r>
    </w:p>
    <w:p>
      <w:pPr>
        <w:spacing w:before="60" w:after="60" w:line="276"/>
      </w:pPr>
      <w:r>
        <w:rPr>
          <w:rFonts w:ascii="Arial" w:cs="Arial" w:eastAsia="Arial" w:hAnsi="Arial"/>
          <w:b/>
          <w:bCs/>
          <w:sz w:val="22"/>
          <w:szCs w:val="22"/>
        </w:rPr>
        <w:t xml:space="preserve">Revenue shortfall rule.</w:t>
      </w:r>
      <w:r>
        <w:rPr>
          <w:rFonts w:ascii="Arial" w:cs="Arial" w:eastAsia="Arial" w:hAnsi="Arial"/>
          <w:sz w:val="22"/>
          <w:szCs w:val="22"/>
        </w:rPr>
        <w:t xml:space="preserve"> If collections fall below 75% of projected range for two consecutive quarters, OMB reports to Congress with structural vs. cyclical assessment.</w:t>
      </w:r>
    </w:p>
    <w:p>
      <w:pPr>
        <w:spacing w:before="60" w:after="60" w:line="276"/>
      </w:pPr>
      <w:r>
        <w:rPr>
          <w:rFonts w:ascii="Arial" w:cs="Arial" w:eastAsia="Arial" w:hAnsi="Arial"/>
          <w:b/>
          <w:bCs/>
          <w:sz w:val="22"/>
          <w:szCs w:val="22"/>
        </w:rPr>
        <w:t xml:space="preserve">WTO institutional change trigger.</w:t>
      </w:r>
      <w:r>
        <w:rPr>
          <w:rFonts w:ascii="Arial" w:cs="Arial" w:eastAsia="Arial" w:hAnsi="Arial"/>
          <w:sz w:val="22"/>
          <w:szCs w:val="22"/>
        </w:rPr>
        <w:t xml:space="preserve"> If the Appellate Body is reconstituted or the MPIA achieves enforcement capacity, legal-resilience rankings in Part 1 are reassessed within 90 days.</w:t>
      </w:r>
    </w:p>
    <w:p>
      <w:pPr>
        <w:spacing w:before="200" w:after="80"/>
      </w:pPr>
      <w:r>
        <w:rPr>
          <w:rFonts w:ascii="Arial" w:cs="Arial" w:eastAsia="Arial" w:hAnsi="Arial"/>
          <w:b/>
          <w:bCs/>
          <w:color w:val="4A5568"/>
          <w:sz w:val="22"/>
          <w:szCs w:val="22"/>
        </w:rPr>
        <w:t xml:space="preserve">8.3 Evidentiary Zone Classification</w:t>
      </w:r>
    </w:p>
    <w:p>
      <w:pPr>
        <w:spacing w:before="60" w:after="60" w:line="276"/>
      </w:pPr>
      <w:r>
        <w:rPr>
          <w:rFonts w:ascii="Arial" w:cs="Arial" w:eastAsia="Arial" w:hAnsi="Arial"/>
          <w:b/>
          <w:bCs/>
          <w:sz w:val="22"/>
          <w:szCs w:val="22"/>
        </w:rPr>
        <w:t xml:space="preserve">Hard zone</w:t>
      </w:r>
      <w:r>
        <w:rPr>
          <w:rFonts w:ascii="Arial" w:cs="Arial" w:eastAsia="Arial" w:hAnsi="Arial"/>
          <w:sz w:val="22"/>
          <w:szCs w:val="22"/>
        </w:rPr>
        <w:t xml:space="preserve"> (primary-source anchored): Part 1 (legal authorities), Part 3 (revenue capacity), Part 7 (historical record). Claims directly verifiable against court opinions, statutes, Treasury data, CBO publications. </w:t>
      </w:r>
      <w:r>
        <w:rPr>
          <w:rFonts w:ascii="Arial" w:cs="Arial" w:eastAsia="Arial" w:hAnsi="Arial"/>
          <w:i/>
          <w:iCs/>
          <w:sz w:val="22"/>
          <w:szCs w:val="22"/>
        </w:rPr>
        <w:t xml:space="preserve">Confidence level:</w:t>
      </w:r>
      <w:r>
        <w:rPr>
          <w:rFonts w:ascii="Arial" w:cs="Arial" w:eastAsia="Arial" w:hAnsi="Arial"/>
          <w:sz w:val="22"/>
          <w:szCs w:val="22"/>
        </w:rPr>
        <w:t xml:space="preserve"> High. These claims survived independent 50-claim fact-check with minimal corrections.</w:t>
      </w:r>
    </w:p>
    <w:p>
      <w:pPr>
        <w:spacing w:before="60" w:after="60" w:line="276"/>
      </w:pPr>
      <w:r>
        <w:rPr>
          <w:rFonts w:ascii="Arial" w:cs="Arial" w:eastAsia="Arial" w:hAnsi="Arial"/>
          <w:b/>
          <w:bCs/>
          <w:sz w:val="22"/>
          <w:szCs w:val="22"/>
        </w:rPr>
        <w:t xml:space="preserve">Intermediate zone</w:t>
      </w:r>
      <w:r>
        <w:rPr>
          <w:rFonts w:ascii="Arial" w:cs="Arial" w:eastAsia="Arial" w:hAnsi="Arial"/>
          <w:sz w:val="22"/>
          <w:szCs w:val="22"/>
        </w:rPr>
        <w:t xml:space="preserve"> (model-dependent): Part 2 (tariff theory), Part 4 (macroeconomic effects), Part 5 (consumption tax). Derived from published models or scoring estimates subject to assumption sensitivity. </w:t>
      </w:r>
      <w:r>
        <w:rPr>
          <w:rFonts w:ascii="Arial" w:cs="Arial" w:eastAsia="Arial" w:hAnsi="Arial"/>
          <w:i/>
          <w:iCs/>
          <w:sz w:val="22"/>
          <w:szCs w:val="22"/>
        </w:rPr>
        <w:t xml:space="preserve">Confidence level:</w:t>
      </w:r>
      <w:r>
        <w:rPr>
          <w:rFonts w:ascii="Arial" w:cs="Arial" w:eastAsia="Arial" w:hAnsi="Arial"/>
          <w:sz w:val="22"/>
          <w:szCs w:val="22"/>
        </w:rPr>
        <w:t xml:space="preserve"> Moderate-to-high for direction; moderate for magnitude. The policy ranking does not depend on upper-bound estimates.</w:t>
      </w:r>
    </w:p>
    <w:p>
      <w:pPr>
        <w:spacing w:before="60" w:after="60" w:line="276"/>
      </w:pPr>
      <w:r>
        <w:rPr>
          <w:rFonts w:ascii="Arial" w:cs="Arial" w:eastAsia="Arial" w:hAnsi="Arial"/>
          <w:b/>
          <w:bCs/>
          <w:sz w:val="22"/>
          <w:szCs w:val="22"/>
        </w:rPr>
        <w:t xml:space="preserve">Soft zone</w:t>
      </w:r>
      <w:r>
        <w:rPr>
          <w:rFonts w:ascii="Arial" w:cs="Arial" w:eastAsia="Arial" w:hAnsi="Arial"/>
          <w:sz w:val="22"/>
          <w:szCs w:val="22"/>
        </w:rPr>
        <w:t xml:space="preserve"> (analytic judgment): Part 6 (partner-specific framework). Reflects author inference from publicly available trade-flow data. </w:t>
      </w:r>
      <w:r>
        <w:rPr>
          <w:rFonts w:ascii="Arial" w:cs="Arial" w:eastAsia="Arial" w:hAnsi="Arial"/>
          <w:i/>
          <w:iCs/>
          <w:sz w:val="22"/>
          <w:szCs w:val="22"/>
        </w:rPr>
        <w:t xml:space="preserve">Confidence level:</w:t>
      </w:r>
      <w:r>
        <w:rPr>
          <w:rFonts w:ascii="Arial" w:cs="Arial" w:eastAsia="Arial" w:hAnsi="Arial"/>
          <w:sz w:val="22"/>
          <w:szCs w:val="22"/>
        </w:rPr>
        <w:t xml:space="preserve"> Moderate for direction; low-to-moderate for magnitudes. Treat as decision inputs requiring further intelligence and negotiating context.</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Part 9 — Conclusions</w:t>
      </w:r>
    </w:p>
    <w:p>
      <w:pPr>
        <w:spacing w:before="60" w:after="60" w:line="276"/>
      </w:pPr>
      <w:r>
        <w:rPr>
          <w:rFonts w:ascii="Arial" w:cs="Arial" w:eastAsia="Arial" w:hAnsi="Arial"/>
          <w:sz w:val="22"/>
          <w:szCs w:val="22"/>
        </w:rPr>
        <w:t xml:space="preserve">In Itskhoki and Mukhin's calibration, the welfare-maximizing US tariff is approximately 9% once the dollar's reserve currency role and US external liabilities are incorporated [TIER 2]. CBO estimated the post-SCOTUS effective tariff rate at approximately 7% without the Section 122 replacement; Yale Budget Lab's March 9, 2026 update estimated 7.3% post-ruling, rising to approximately 10.5% after Section 122 tariffs were imposed [TIER 1 — CBO; TIER 2 — Yale Budget Lab].</w:t>
      </w:r>
    </w:p>
    <w:p>
      <w:pPr>
        <w:spacing w:before="60" w:after="60" w:line="276"/>
      </w:pPr>
      <w:r>
        <w:rPr>
          <w:rFonts w:ascii="Arial" w:cs="Arial" w:eastAsia="Arial" w:hAnsi="Arial"/>
          <w:sz w:val="22"/>
          <w:szCs w:val="22"/>
        </w:rPr>
        <w:t xml:space="preserve">Even under elevated-rate scenarios, tariff revenue remains too small relative to projected net-interest costs to function as a primary debt-service instrument. Post-SCOTUS new tariff revenue is estimated at $60–130 billion per year against approximately $970 billion in annual interest payments. This gap widens over time as interest costs rise and supply chains adjust.</w:t>
      </w:r>
    </w:p>
    <w:p>
      <w:pPr>
        <w:spacing w:before="60" w:after="60" w:line="276"/>
      </w:pPr>
      <w:r>
        <w:rPr>
          <w:rFonts w:ascii="Arial" w:cs="Arial" w:eastAsia="Arial" w:hAnsi="Arial"/>
          <w:sz w:val="22"/>
          <w:szCs w:val="22"/>
        </w:rPr>
        <w:t xml:space="preserve">Under current judicial and WTO institutional conditions, the most legally durable tariff architecture combines AD/CVD, Section 232, and Section 301. WTO Appellate Body dysfunction renders international constraints weakly enforceable, but the 58-member MPIA represents a parallel enforcement track, and this institutional environment may not persist.</w:t>
      </w:r>
    </w:p>
    <w:p>
      <w:pPr>
        <w:spacing w:before="60" w:after="60" w:line="276"/>
      </w:pPr>
      <w:r>
        <w:rPr>
          <w:rFonts w:ascii="Arial" w:cs="Arial" w:eastAsia="Arial" w:hAnsi="Arial"/>
          <w:sz w:val="22"/>
          <w:szCs w:val="22"/>
        </w:rPr>
        <w:t xml:space="preserve">A more defensible revenue strategy would include a broad-based border-adjusted consumption tax — generally treated as WTO-compatible if structured as a nondiscriminatory internal tax with lawful border adjustment under Articles II and III — which could generate $230–350 billion annually with lower litigation and retaliation exposure. The obstacle is political: tariffs require no legislation, while a VAT does.</w:t>
      </w:r>
    </w:p>
    <w:p>
      <w:pPr>
        <w:spacing w:before="60" w:after="60" w:line="276"/>
      </w:pPr>
      <w:r>
        <w:rPr>
          <w:rFonts w:ascii="Arial" w:cs="Arial" w:eastAsia="Arial" w:hAnsi="Arial"/>
          <w:sz w:val="22"/>
          <w:szCs w:val="22"/>
        </w:rPr>
        <w:t xml:space="preserve">Historical US tariff episodes do not show durable elimination of aggregate trade deficits through tariff policy alone. Until fiscal policy addresses the savings-investment imbalance, tariffs will function as a regressive consumption tax that redistributes income from consumers to protected producers and the Treasury, without resolving the underlying structural condition.</w:t>
      </w:r>
    </w:p>
    <w:p>
      <w:pPr>
        <w:pBdr>
          <w:bottom w:val="single" w:color="1B2A4A" w:sz="6" w:space="4"/>
        </w:pBdr>
        <w:spacing w:before="120" w:after="120"/>
      </w:pPr>
    </w:p>
    <w:p>
      <w:pPr>
        <w:spacing w:before="280" w:after="120"/>
      </w:pPr>
      <w:r>
        <w:rPr>
          <w:rFonts w:ascii="Arial" w:cs="Arial" w:eastAsia="Arial" w:hAnsi="Arial"/>
          <w:b/>
          <w:bCs/>
          <w:color w:val="1B2A4A"/>
          <w:sz w:val="24"/>
          <w:szCs w:val="24"/>
        </w:rPr>
        <w:t xml:space="preserve">Limitations of the Public Record</w:t>
      </w:r>
    </w:p>
    <w:p>
      <w:pPr>
        <w:spacing w:before="60" w:after="60" w:line="276"/>
      </w:pPr>
      <w:r>
        <w:rPr>
          <w:rFonts w:ascii="Arial" w:cs="Arial" w:eastAsia="Arial" w:hAnsi="Arial"/>
          <w:sz w:val="22"/>
          <w:szCs w:val="22"/>
        </w:rPr>
        <w:t xml:space="preserve">The available reporting does not permit a firm conclusion on several matters relevant to this analysis:</w:t>
      </w:r>
    </w:p>
    <w:p>
      <w:pPr>
        <w:spacing w:before="60" w:after="60" w:line="276"/>
      </w:pPr>
      <w:r>
        <w:rPr>
          <w:rFonts w:ascii="Arial" w:cs="Arial" w:eastAsia="Arial" w:hAnsi="Arial"/>
          <w:sz w:val="22"/>
          <w:szCs w:val="22"/>
        </w:rPr>
        <w:t xml:space="preserve">1. The exact post-SCOTUS refund exposure, which depends on litigation strategy, Treasury implementation decisions, and potential Congressional action to ratify existing tariff structures under new statutory authority.</w:t>
      </w:r>
    </w:p>
    <w:p>
      <w:pPr>
        <w:spacing w:before="60" w:after="60" w:line="276"/>
      </w:pPr>
      <w:r>
        <w:rPr>
          <w:rFonts w:ascii="Arial" w:cs="Arial" w:eastAsia="Arial" w:hAnsi="Arial"/>
          <w:sz w:val="22"/>
          <w:szCs w:val="22"/>
        </w:rPr>
        <w:t xml:space="preserve">2. The speed and magnitude of supply-chain adjustment to the post-</w:t>
      </w:r>
      <w:r>
        <w:rPr>
          <w:rFonts w:ascii="Arial" w:cs="Arial" w:eastAsia="Arial" w:hAnsi="Arial"/>
          <w:i/>
          <w:iCs/>
          <w:sz w:val="22"/>
          <w:szCs w:val="22"/>
        </w:rPr>
        <w:t xml:space="preserve">Learning Resources</w:t>
      </w:r>
      <w:r>
        <w:rPr>
          <w:rFonts w:ascii="Arial" w:cs="Arial" w:eastAsia="Arial" w:hAnsi="Arial"/>
          <w:sz w:val="22"/>
          <w:szCs w:val="22"/>
        </w:rPr>
        <w:t xml:space="preserve"> tariff environment, which will determine whether the $60–130 billion revenue range narrows from above or below.</w:t>
      </w:r>
    </w:p>
    <w:p>
      <w:pPr>
        <w:spacing w:before="60" w:after="60" w:line="276"/>
      </w:pPr>
      <w:r>
        <w:rPr>
          <w:rFonts w:ascii="Arial" w:cs="Arial" w:eastAsia="Arial" w:hAnsi="Arial"/>
          <w:sz w:val="22"/>
          <w:szCs w:val="22"/>
        </w:rPr>
        <w:t xml:space="preserve">3. The probability that Congress enacts a VAT or CBAM within any specific timeline, which is a political variable that this analysis cannot assess.</w:t>
      </w:r>
    </w:p>
    <w:p>
      <w:pPr>
        <w:spacing w:before="60" w:after="60" w:line="276"/>
      </w:pPr>
      <w:r>
        <w:rPr>
          <w:rFonts w:ascii="Arial" w:cs="Arial" w:eastAsia="Arial" w:hAnsi="Arial"/>
          <w:sz w:val="22"/>
          <w:szCs w:val="22"/>
        </w:rPr>
        <w:t xml:space="preserve">4. The internal negotiating positions of major trading partners, which would materially affect the partner-specific assessments in Part 6.</w:t>
      </w:r>
    </w:p>
    <w:p>
      <w:pPr>
        <w:spacing w:before="60" w:after="60" w:line="276"/>
      </w:pPr>
      <w:r>
        <w:rPr>
          <w:rFonts w:ascii="Arial" w:cs="Arial" w:eastAsia="Arial" w:hAnsi="Arial"/>
          <w:sz w:val="22"/>
          <w:szCs w:val="22"/>
        </w:rPr>
        <w:t xml:space="preserve">5. The future institutional status of the WTO Appellate Body and the MPIA's enforcement capacity, which could alter the legal-resilience rankings in Part 1.</w:t>
      </w:r>
    </w:p>
    <w:p>
      <w:pPr>
        <w:pBdr>
          <w:bottom w:val="single" w:color="1B2A4A" w:sz="6" w:space="4"/>
        </w:pBdr>
        <w:spacing w:before="120" w:after="120"/>
      </w:pPr>
    </w:p>
    <w:p>
      <w:pPr>
        <w:spacing w:before="200" w:after="80"/>
      </w:pPr>
      <w:r>
        <w:rPr>
          <w:rFonts w:ascii="Arial" w:cs="Arial" w:eastAsia="Arial" w:hAnsi="Arial"/>
          <w:b/>
          <w:bCs/>
          <w:color w:val="4A5568"/>
          <w:sz w:val="22"/>
          <w:szCs w:val="22"/>
        </w:rPr>
        <w:t xml:space="preserve">Revision History</w:t>
      </w:r>
    </w:p>
    <w:p>
      <w:pPr>
        <w:spacing w:before="60" w:after="60" w:line="276"/>
      </w:pPr>
      <w:r>
        <w:rPr>
          <w:rFonts w:ascii="Arial" w:cs="Arial" w:eastAsia="Arial" w:hAnsi="Arial"/>
          <w:sz w:val="22"/>
          <w:szCs w:val="22"/>
        </w:rPr>
        <w:t xml:space="preserve">This document has undergone: (1) initial hostile institutional review; (2) independent 50-claim fact-check with 18 corrections; (3) senior-policy register elevation; (4) compression pass; (5) 9.5-hardening pass — decision framework, execution matrix, trigger architecture, evidentiary zone classification; (6) WP-2026 Style Guide v3.0 formatting.</w:t>
      </w:r>
    </w:p>
    <w:p>
      <w:pPr>
        <w:pBdr>
          <w:bottom w:val="single" w:color="1B2A4A" w:sz="6" w:space="4"/>
        </w:pBdr>
        <w:spacing w:before="120" w:after="120"/>
      </w:pPr>
    </w:p>
    <w:p>
      <w:pPr>
        <w:spacing w:before="60" w:after="60" w:line="276"/>
      </w:pPr>
      <w:r>
        <w:rPr>
          <w:rFonts w:ascii="Arial" w:cs="Arial" w:eastAsia="Arial" w:hAnsi="Arial"/>
          <w:b/>
          <w:bCs/>
          <w:sz w:val="22"/>
          <w:szCs w:val="22"/>
        </w:rPr>
        <w:t xml:space="preserve">END OF DOCUMENT — WP-2026 · TARIFF-01 — MARCH 2026 — UNCLASSIFIED // OPEN-SOURCE POLICY ANALYSIS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tabs>
        <w:tab w:val="right" w:pos="9360"/>
      </w:tabs>
      <w:spacing w:before="80" w:after="0"/>
    </w:pPr>
    <w:r>
      <w:rPr>
        <w:rFonts w:ascii="Arial" w:cs="Arial" w:eastAsia="Arial" w:hAnsi="Arial"/>
        <w:caps/>
        <w:color w:val="4A5568"/>
        <w:sz w:val="16"/>
        <w:szCs w:val="16"/>
      </w:rPr>
      <w:t xml:space="preserve">TARIFF-01 v9.5 // US TARIFF ARCHITECTURE — FINAL // WP-2026 SERIES</w:t>
    </w:r>
    <w:r>
      <w:rPr>
        <w:rFonts w:ascii="Arial" w:cs="Arial" w:eastAsia="Arial" w:hAnsi="Arial"/>
        <w:sz w:val="16"/>
        <w:szCs w:val="16"/>
      </w:rPr>
      <w:t xml:space="preserve">	</w:t>
    </w: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tabs>
        <w:tab w:val="right" w:pos="9360"/>
      </w:tabs>
      <w:spacing w:before="0" w:after="80"/>
    </w:pPr>
    <w:r>
      <w:rPr>
        <w:rFonts w:ascii="Arial" w:cs="Arial" w:eastAsia="Arial" w:hAnsi="Arial"/>
        <w:caps/>
        <w:color w:val="4A5568"/>
        <w:sz w:val="16"/>
        <w:szCs w:val="16"/>
      </w:rPr>
      <w:t xml:space="preserve">UNCLASSIFIED // FOR EDUCATIONAL AND ANALYTICAL PURPOSES // CENTER FOR COMPETITIVE STATECRAFT AND STRATEGIC POLICY</w:t>
    </w:r>
    <w:r>
      <w:rPr>
        <w:rFonts w:ascii="Arial" w:cs="Arial" w:eastAsia="Arial" w:hAnsi="Arial"/>
        <w:sz w:val="16"/>
        <w:szCs w:val="16"/>
      </w:rPr>
      <w:t xml:space="preserve">	</w:t>
    </w:r>
    <w:r>
      <w:rPr>
        <w:rFonts w:ascii="Arial" w:cs="Arial" w:eastAsia="Arial" w:hAnsi="Arial"/>
        <w:color w:val="4A5568"/>
        <w:sz w:val="16"/>
        <w:szCs w:val="16"/>
      </w:rPr>
      <w:t xml:space="preserve">WP-2026 // TARIFF-01 v9.5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B2A4A"/>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2026-03-29T14:07:47.098Z</dcterms:created>
  <dcterms:modified xsi:type="dcterms:W3CDTF">2026-03-29T14:07:47.099Z</dcterms:modified>
</cp:coreProperties>
</file>

<file path=docProps/custom.xml><?xml version="1.0" encoding="utf-8"?>
<Properties xmlns="http://schemas.openxmlformats.org/officeDocument/2006/custom-properties" xmlns:vt="http://schemas.openxmlformats.org/officeDocument/2006/docPropsVTypes"/>
</file>